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2F" w:rsidRDefault="00A84138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9525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EEB"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9525" b="9525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D2F" w:rsidRDefault="00580EEB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A74D2F" w:rsidRDefault="00580EEB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A74D2F" w:rsidRDefault="00580EEB">
      <w:pPr>
        <w:pStyle w:val="2"/>
      </w:pPr>
      <w:r>
        <w:t>Сьоме демократичне скликання</w:t>
      </w:r>
      <w:r>
        <w:br/>
        <w:t>(</w:t>
      </w:r>
      <w:r w:rsidR="006D16A6">
        <w:t>Шістнадцята</w:t>
      </w:r>
      <w:r>
        <w:t xml:space="preserve"> сесія)</w:t>
      </w:r>
    </w:p>
    <w:p w:rsidR="00A74D2F" w:rsidRDefault="00580EEB">
      <w:pPr>
        <w:pStyle w:val="3"/>
      </w:pPr>
      <w:r>
        <w:t>РІШЕННЯ</w:t>
      </w:r>
    </w:p>
    <w:p w:rsidR="00A74D2F" w:rsidRDefault="00A74D2F">
      <w:pPr>
        <w:rPr>
          <w:rFonts w:cs="Arial"/>
        </w:rPr>
      </w:pPr>
    </w:p>
    <w:p w:rsidR="00D91C1E" w:rsidRDefault="00580EEB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D91C1E">
        <w:rPr>
          <w:rFonts w:cs="Arial"/>
        </w:rPr>
        <w:t>30.06.2017.</w:t>
      </w:r>
      <w:r>
        <w:rPr>
          <w:rFonts w:cs="Arial"/>
        </w:rPr>
        <w:t xml:space="preserve"> № </w:t>
      </w:r>
      <w:r w:rsidR="00D91C1E">
        <w:rPr>
          <w:rFonts w:cs="Arial"/>
        </w:rPr>
        <w:t>526-16/2017</w:t>
      </w:r>
    </w:p>
    <w:p w:rsidR="00A74D2F" w:rsidRDefault="00580EEB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A74D2F" w:rsidRDefault="00A74D2F"/>
    <w:p w:rsidR="006D16A6" w:rsidRPr="009F4F64" w:rsidRDefault="006D16A6" w:rsidP="006D16A6">
      <w:pPr>
        <w:pStyle w:val="Standard"/>
        <w:spacing w:after="0" w:line="240" w:lineRule="auto"/>
        <w:rPr>
          <w:rFonts w:ascii="Arial" w:hAnsi="Arial" w:cs="Arial"/>
          <w:sz w:val="24"/>
          <w:szCs w:val="24"/>
          <w:lang w:val="uk-UA"/>
        </w:rPr>
      </w:pPr>
      <w:r w:rsidRPr="009F4F64">
        <w:rPr>
          <w:rFonts w:ascii="Arial" w:hAnsi="Arial" w:cs="Arial"/>
          <w:b/>
          <w:sz w:val="24"/>
          <w:szCs w:val="24"/>
          <w:lang w:val="uk-UA"/>
        </w:rPr>
        <w:t xml:space="preserve">Про </w:t>
      </w:r>
      <w:r w:rsidRPr="009F4F64">
        <w:rPr>
          <w:rFonts w:ascii="Arial" w:hAnsi="Arial" w:cs="Arial"/>
          <w:b/>
          <w:bCs/>
          <w:sz w:val="24"/>
          <w:szCs w:val="24"/>
          <w:lang w:val="uk-UA"/>
        </w:rPr>
        <w:t>звернення обласної ради</w:t>
      </w:r>
    </w:p>
    <w:p w:rsidR="006D16A6" w:rsidRPr="006D16A6" w:rsidRDefault="006D16A6" w:rsidP="006D16A6">
      <w:pPr>
        <w:pStyle w:val="Standard"/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9F4F64">
        <w:rPr>
          <w:rFonts w:ascii="Arial" w:hAnsi="Arial" w:cs="Arial"/>
          <w:b/>
          <w:bCs/>
          <w:sz w:val="24"/>
          <w:szCs w:val="24"/>
          <w:lang w:val="uk-UA"/>
        </w:rPr>
        <w:t xml:space="preserve">щодо </w:t>
      </w:r>
      <w:r w:rsidRPr="006D16A6">
        <w:rPr>
          <w:rFonts w:ascii="Arial" w:hAnsi="Arial" w:cs="Arial"/>
          <w:b/>
          <w:sz w:val="24"/>
          <w:szCs w:val="24"/>
          <w:lang w:val="uk-UA"/>
        </w:rPr>
        <w:t>спрощення використання</w:t>
      </w:r>
      <w:r>
        <w:rPr>
          <w:rFonts w:ascii="Arial" w:hAnsi="Arial" w:cs="Arial"/>
          <w:b/>
          <w:sz w:val="24"/>
          <w:szCs w:val="24"/>
          <w:lang w:val="uk-UA"/>
        </w:rPr>
        <w:br/>
      </w:r>
      <w:r w:rsidRPr="006D16A6">
        <w:rPr>
          <w:rFonts w:ascii="Arial" w:hAnsi="Arial" w:cs="Arial"/>
          <w:b/>
          <w:sz w:val="24"/>
          <w:szCs w:val="24"/>
          <w:lang w:val="uk-UA"/>
        </w:rPr>
        <w:t>наркотичних  та психотропних засобів</w:t>
      </w:r>
      <w:r>
        <w:rPr>
          <w:rFonts w:ascii="Arial" w:hAnsi="Arial" w:cs="Arial"/>
          <w:b/>
          <w:sz w:val="24"/>
          <w:szCs w:val="24"/>
          <w:lang w:val="uk-UA"/>
        </w:rPr>
        <w:br/>
      </w:r>
      <w:r w:rsidRPr="006D16A6">
        <w:rPr>
          <w:rFonts w:ascii="Arial" w:hAnsi="Arial" w:cs="Arial"/>
          <w:b/>
          <w:sz w:val="24"/>
          <w:szCs w:val="24"/>
          <w:lang w:val="uk-UA"/>
        </w:rPr>
        <w:t>у віддалених структурних підрозділах</w:t>
      </w:r>
      <w:r>
        <w:rPr>
          <w:rFonts w:ascii="Arial" w:hAnsi="Arial" w:cs="Arial"/>
          <w:b/>
          <w:sz w:val="24"/>
          <w:szCs w:val="24"/>
          <w:lang w:val="uk-UA"/>
        </w:rPr>
        <w:br/>
      </w:r>
      <w:r w:rsidRPr="006D16A6">
        <w:rPr>
          <w:rFonts w:ascii="Arial" w:hAnsi="Arial" w:cs="Arial"/>
          <w:b/>
          <w:sz w:val="24"/>
          <w:szCs w:val="24"/>
          <w:lang w:val="uk-UA"/>
        </w:rPr>
        <w:t>лікувальних закладів</w:t>
      </w:r>
      <w:r w:rsidR="00C06A53">
        <w:rPr>
          <w:rFonts w:ascii="Arial" w:hAnsi="Arial" w:cs="Arial"/>
          <w:b/>
          <w:sz w:val="24"/>
          <w:szCs w:val="24"/>
          <w:lang w:val="uk-UA"/>
        </w:rPr>
        <w:t>,</w:t>
      </w:r>
      <w:r w:rsidR="000B55A0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6D16A6">
        <w:rPr>
          <w:rFonts w:ascii="Arial" w:hAnsi="Arial" w:cs="Arial"/>
          <w:b/>
          <w:sz w:val="24"/>
          <w:szCs w:val="24"/>
          <w:lang w:val="uk-UA"/>
        </w:rPr>
        <w:t>розташован</w:t>
      </w:r>
      <w:r w:rsidR="000B55A0">
        <w:rPr>
          <w:rFonts w:ascii="Arial" w:hAnsi="Arial" w:cs="Arial"/>
          <w:b/>
          <w:sz w:val="24"/>
          <w:szCs w:val="24"/>
          <w:lang w:val="uk-UA"/>
        </w:rPr>
        <w:t>их</w:t>
      </w:r>
      <w:r w:rsidR="000B55A0">
        <w:rPr>
          <w:rFonts w:ascii="Arial" w:hAnsi="Arial" w:cs="Arial"/>
          <w:b/>
          <w:sz w:val="24"/>
          <w:szCs w:val="24"/>
          <w:lang w:val="uk-UA"/>
        </w:rPr>
        <w:br/>
      </w:r>
      <w:r w:rsidRPr="006D16A6">
        <w:rPr>
          <w:rFonts w:ascii="Arial" w:hAnsi="Arial" w:cs="Arial"/>
          <w:b/>
          <w:sz w:val="24"/>
          <w:szCs w:val="24"/>
          <w:lang w:val="uk-UA"/>
        </w:rPr>
        <w:t>у сільській місцевості</w:t>
      </w:r>
    </w:p>
    <w:p w:rsidR="006D16A6" w:rsidRDefault="006D16A6" w:rsidP="006D16A6">
      <w:pPr>
        <w:pStyle w:val="Standard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6D16A6" w:rsidRPr="009F4F64" w:rsidRDefault="006D16A6" w:rsidP="006D16A6">
      <w:pPr>
        <w:pStyle w:val="Standard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9F4F64">
        <w:rPr>
          <w:rFonts w:ascii="Arial" w:hAnsi="Arial" w:cs="Arial"/>
          <w:sz w:val="24"/>
          <w:szCs w:val="24"/>
          <w:lang w:val="uk-UA"/>
        </w:rPr>
        <w:t>Керуючись статтею 43 Закону України “Про місцеве самоврядування в Україні”, обласна рада</w:t>
      </w:r>
    </w:p>
    <w:p w:rsidR="00A74D2F" w:rsidRDefault="00A74D2F"/>
    <w:p w:rsidR="00A74D2F" w:rsidRDefault="00580EEB">
      <w:pPr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0B55A0" w:rsidRPr="009F4F64" w:rsidRDefault="000B55A0" w:rsidP="000B55A0">
      <w:pPr>
        <w:pStyle w:val="20"/>
        <w:rPr>
          <w:rFonts w:ascii="Arial" w:hAnsi="Arial" w:cs="Arial"/>
          <w:sz w:val="24"/>
          <w:szCs w:val="24"/>
        </w:rPr>
      </w:pPr>
      <w:r w:rsidRPr="009F4F64">
        <w:rPr>
          <w:rFonts w:ascii="Arial" w:hAnsi="Arial" w:cs="Arial"/>
          <w:sz w:val="24"/>
          <w:szCs w:val="24"/>
        </w:rPr>
        <w:t xml:space="preserve">1. Схвалити звернення обласної ради до Кабінету Міністрів України, </w:t>
      </w:r>
      <w:r w:rsidR="00C06A53">
        <w:rPr>
          <w:rFonts w:ascii="Arial" w:hAnsi="Arial" w:cs="Arial"/>
          <w:sz w:val="24"/>
          <w:szCs w:val="24"/>
        </w:rPr>
        <w:t xml:space="preserve">Міністерства внутрішніх справ України, Міністерства охорони здоров'я України, </w:t>
      </w:r>
      <w:r w:rsidR="00F72615">
        <w:rPr>
          <w:rFonts w:ascii="Arial" w:hAnsi="Arial" w:cs="Arial"/>
          <w:sz w:val="24"/>
          <w:szCs w:val="24"/>
        </w:rPr>
        <w:t>К</w:t>
      </w:r>
      <w:r w:rsidR="00C06A53">
        <w:rPr>
          <w:rFonts w:ascii="Arial" w:hAnsi="Arial" w:cs="Arial"/>
          <w:sz w:val="24"/>
          <w:szCs w:val="24"/>
        </w:rPr>
        <w:t xml:space="preserve">омітету </w:t>
      </w:r>
      <w:r w:rsidRPr="009F4F64">
        <w:rPr>
          <w:rFonts w:ascii="Arial" w:hAnsi="Arial" w:cs="Arial"/>
          <w:sz w:val="24"/>
          <w:szCs w:val="24"/>
        </w:rPr>
        <w:t>Верховної Ради України</w:t>
      </w:r>
      <w:r w:rsidR="00C06A53">
        <w:rPr>
          <w:rFonts w:ascii="Arial" w:hAnsi="Arial" w:cs="Arial"/>
          <w:sz w:val="24"/>
          <w:szCs w:val="24"/>
        </w:rPr>
        <w:t xml:space="preserve"> з питань охорони здоров'я </w:t>
      </w:r>
      <w:r w:rsidRPr="009F4F64">
        <w:rPr>
          <w:rFonts w:ascii="Arial" w:hAnsi="Arial" w:cs="Arial"/>
          <w:sz w:val="24"/>
          <w:szCs w:val="24"/>
        </w:rPr>
        <w:t xml:space="preserve">щодо </w:t>
      </w:r>
      <w:r w:rsidR="00C06A53" w:rsidRPr="00C06A53">
        <w:rPr>
          <w:rFonts w:ascii="Arial" w:hAnsi="Arial" w:cs="Arial"/>
          <w:sz w:val="24"/>
          <w:szCs w:val="24"/>
        </w:rPr>
        <w:t>спро</w:t>
      </w:r>
      <w:r w:rsidR="006C67FF">
        <w:rPr>
          <w:rFonts w:ascii="Arial" w:hAnsi="Arial" w:cs="Arial"/>
          <w:sz w:val="24"/>
          <w:szCs w:val="24"/>
        </w:rPr>
        <w:t xml:space="preserve">щення використання наркотичних </w:t>
      </w:r>
      <w:r w:rsidR="00C06A53" w:rsidRPr="00C06A53">
        <w:rPr>
          <w:rFonts w:ascii="Arial" w:hAnsi="Arial" w:cs="Arial"/>
          <w:sz w:val="24"/>
          <w:szCs w:val="24"/>
        </w:rPr>
        <w:t>та психотропних засобів у віддалених структурних підрозділах лікувальних закладів, розташован</w:t>
      </w:r>
      <w:r w:rsidR="00C06A53">
        <w:rPr>
          <w:rFonts w:ascii="Arial" w:hAnsi="Arial" w:cs="Arial"/>
          <w:sz w:val="24"/>
          <w:szCs w:val="24"/>
        </w:rPr>
        <w:t>их</w:t>
      </w:r>
      <w:r w:rsidR="00C06A53" w:rsidRPr="00C06A53">
        <w:rPr>
          <w:rFonts w:ascii="Arial" w:hAnsi="Arial" w:cs="Arial"/>
          <w:sz w:val="24"/>
          <w:szCs w:val="24"/>
        </w:rPr>
        <w:t xml:space="preserve"> у сільській місцевості</w:t>
      </w:r>
      <w:r w:rsidR="00C06A53" w:rsidRPr="009F4F64">
        <w:rPr>
          <w:rFonts w:ascii="Arial" w:hAnsi="Arial" w:cs="Arial"/>
          <w:sz w:val="24"/>
          <w:szCs w:val="24"/>
        </w:rPr>
        <w:t xml:space="preserve"> </w:t>
      </w:r>
      <w:r w:rsidRPr="009F4F64">
        <w:rPr>
          <w:rFonts w:ascii="Arial" w:hAnsi="Arial" w:cs="Arial"/>
          <w:sz w:val="24"/>
          <w:szCs w:val="24"/>
        </w:rPr>
        <w:t>(додається).</w:t>
      </w:r>
    </w:p>
    <w:p w:rsidR="000B55A0" w:rsidRPr="009F4F64" w:rsidRDefault="000B55A0" w:rsidP="000B55A0">
      <w:pPr>
        <w:pStyle w:val="20"/>
        <w:rPr>
          <w:rFonts w:ascii="Arial" w:hAnsi="Arial" w:cs="Arial"/>
          <w:sz w:val="24"/>
          <w:szCs w:val="24"/>
        </w:rPr>
      </w:pPr>
      <w:r w:rsidRPr="009F4F64">
        <w:rPr>
          <w:rFonts w:ascii="Arial" w:hAnsi="Arial" w:cs="Arial"/>
          <w:sz w:val="24"/>
          <w:szCs w:val="24"/>
        </w:rPr>
        <w:t xml:space="preserve">2. Рішення надіслати </w:t>
      </w:r>
      <w:r w:rsidR="00FB69FE" w:rsidRPr="009F4F64">
        <w:rPr>
          <w:rFonts w:ascii="Arial" w:hAnsi="Arial" w:cs="Arial"/>
          <w:sz w:val="24"/>
          <w:szCs w:val="24"/>
        </w:rPr>
        <w:t xml:space="preserve">Кабінету Міністрів України, </w:t>
      </w:r>
      <w:r w:rsidR="00FB69FE">
        <w:rPr>
          <w:rFonts w:ascii="Arial" w:hAnsi="Arial" w:cs="Arial"/>
          <w:sz w:val="24"/>
          <w:szCs w:val="24"/>
        </w:rPr>
        <w:t xml:space="preserve">Міністерству внутрішніх справ України, Міністерству охорони здоров'я України, </w:t>
      </w:r>
      <w:r w:rsidR="00F72615">
        <w:rPr>
          <w:rFonts w:ascii="Arial" w:hAnsi="Arial" w:cs="Arial"/>
          <w:sz w:val="24"/>
          <w:szCs w:val="24"/>
        </w:rPr>
        <w:t>К</w:t>
      </w:r>
      <w:r w:rsidR="00FB69FE">
        <w:rPr>
          <w:rFonts w:ascii="Arial" w:hAnsi="Arial" w:cs="Arial"/>
          <w:sz w:val="24"/>
          <w:szCs w:val="24"/>
        </w:rPr>
        <w:t xml:space="preserve">омітету </w:t>
      </w:r>
      <w:r w:rsidR="00FB69FE" w:rsidRPr="009F4F64">
        <w:rPr>
          <w:rFonts w:ascii="Arial" w:hAnsi="Arial" w:cs="Arial"/>
          <w:sz w:val="24"/>
          <w:szCs w:val="24"/>
        </w:rPr>
        <w:t>Верховної Ради України</w:t>
      </w:r>
      <w:r w:rsidR="00FB69FE">
        <w:rPr>
          <w:rFonts w:ascii="Arial" w:hAnsi="Arial" w:cs="Arial"/>
          <w:sz w:val="24"/>
          <w:szCs w:val="24"/>
        </w:rPr>
        <w:t xml:space="preserve"> з питань охорони здоров'я</w:t>
      </w:r>
      <w:r w:rsidRPr="009F4F64">
        <w:rPr>
          <w:rFonts w:ascii="Arial" w:hAnsi="Arial" w:cs="Arial"/>
          <w:sz w:val="24"/>
          <w:szCs w:val="24"/>
        </w:rPr>
        <w:t>.</w:t>
      </w:r>
    </w:p>
    <w:p w:rsidR="000B55A0" w:rsidRDefault="00FB69FE" w:rsidP="000B55A0">
      <w:pPr>
        <w:pStyle w:val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B55A0" w:rsidRPr="009F4F64">
        <w:rPr>
          <w:rFonts w:ascii="Arial" w:hAnsi="Arial" w:cs="Arial"/>
          <w:sz w:val="24"/>
          <w:szCs w:val="24"/>
        </w:rPr>
        <w:t>. Текст звернення опублікувати в газеті “Галичина”, розмістити на інтернет-сторінці обласної ради та оприлюднити в інших засобах масової інформації області.</w:t>
      </w:r>
    </w:p>
    <w:p w:rsidR="00827967" w:rsidRPr="009F4F64" w:rsidRDefault="0044298E" w:rsidP="00827967">
      <w:pPr>
        <w:pStyle w:val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827967" w:rsidRPr="009F4F64">
        <w:rPr>
          <w:rFonts w:ascii="Arial" w:hAnsi="Arial" w:cs="Arial"/>
          <w:sz w:val="24"/>
          <w:szCs w:val="24"/>
        </w:rPr>
        <w:t xml:space="preserve">Контроль за виконанням рішення покласти на </w:t>
      </w:r>
      <w:r w:rsidR="00827967">
        <w:rPr>
          <w:rFonts w:ascii="Arial" w:hAnsi="Arial" w:cs="Arial"/>
          <w:sz w:val="24"/>
          <w:szCs w:val="24"/>
        </w:rPr>
        <w:t xml:space="preserve">першого </w:t>
      </w:r>
      <w:r w:rsidR="00827967" w:rsidRPr="009F4F64">
        <w:rPr>
          <w:rFonts w:ascii="Arial" w:hAnsi="Arial" w:cs="Arial"/>
          <w:sz w:val="24"/>
          <w:szCs w:val="24"/>
        </w:rPr>
        <w:t xml:space="preserve">заступника голови обласної ради </w:t>
      </w:r>
      <w:r w:rsidR="00827967">
        <w:rPr>
          <w:rFonts w:ascii="Arial" w:hAnsi="Arial" w:cs="Arial"/>
          <w:sz w:val="24"/>
          <w:szCs w:val="24"/>
        </w:rPr>
        <w:t>В</w:t>
      </w:r>
      <w:r w:rsidR="00827967" w:rsidRPr="009F4F64">
        <w:rPr>
          <w:rFonts w:ascii="Arial" w:hAnsi="Arial" w:cs="Arial"/>
          <w:sz w:val="24"/>
          <w:szCs w:val="24"/>
        </w:rPr>
        <w:t xml:space="preserve">. </w:t>
      </w:r>
      <w:r w:rsidR="00827967">
        <w:rPr>
          <w:rFonts w:ascii="Arial" w:hAnsi="Arial" w:cs="Arial"/>
          <w:sz w:val="24"/>
          <w:szCs w:val="24"/>
        </w:rPr>
        <w:t>Гладія</w:t>
      </w:r>
      <w:r w:rsidR="00827967" w:rsidRPr="009F4F64">
        <w:rPr>
          <w:rFonts w:ascii="Arial" w:hAnsi="Arial" w:cs="Arial"/>
          <w:sz w:val="24"/>
          <w:szCs w:val="24"/>
        </w:rPr>
        <w:t xml:space="preserve"> і постійну комісію обласної ради з питань </w:t>
      </w:r>
      <w:r w:rsidR="00827967">
        <w:rPr>
          <w:rFonts w:ascii="Arial" w:hAnsi="Arial" w:cs="Arial"/>
          <w:sz w:val="24"/>
          <w:szCs w:val="24"/>
        </w:rPr>
        <w:t xml:space="preserve">охорони здоров'я та соціальної політики </w:t>
      </w:r>
      <w:r w:rsidR="00827967" w:rsidRPr="009F4F64">
        <w:rPr>
          <w:rFonts w:ascii="Arial" w:hAnsi="Arial" w:cs="Arial"/>
          <w:sz w:val="24"/>
          <w:szCs w:val="24"/>
        </w:rPr>
        <w:t>(</w:t>
      </w:r>
      <w:r w:rsidR="00827967">
        <w:rPr>
          <w:rFonts w:ascii="Arial" w:hAnsi="Arial" w:cs="Arial"/>
          <w:sz w:val="24"/>
          <w:szCs w:val="24"/>
        </w:rPr>
        <w:t>М</w:t>
      </w:r>
      <w:r w:rsidR="00827967" w:rsidRPr="009F4F6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27967">
        <w:rPr>
          <w:rFonts w:ascii="Arial" w:hAnsi="Arial" w:cs="Arial"/>
          <w:sz w:val="24"/>
          <w:szCs w:val="24"/>
        </w:rPr>
        <w:t>Піцуряк</w:t>
      </w:r>
      <w:proofErr w:type="spellEnd"/>
      <w:r w:rsidR="00827967" w:rsidRPr="009F4F64">
        <w:rPr>
          <w:rFonts w:ascii="Arial" w:hAnsi="Arial" w:cs="Arial"/>
          <w:sz w:val="24"/>
          <w:szCs w:val="24"/>
        </w:rPr>
        <w:t>).</w:t>
      </w:r>
    </w:p>
    <w:p w:rsidR="0044298E" w:rsidRPr="009F4F64" w:rsidRDefault="0044298E" w:rsidP="000B55A0">
      <w:pPr>
        <w:pStyle w:val="20"/>
        <w:rPr>
          <w:rFonts w:ascii="Arial" w:hAnsi="Arial" w:cs="Arial"/>
          <w:sz w:val="24"/>
          <w:szCs w:val="24"/>
        </w:rPr>
      </w:pPr>
    </w:p>
    <w:p w:rsidR="00A74D2F" w:rsidRDefault="00A74D2F"/>
    <w:p w:rsidR="00B730EF" w:rsidRDefault="00B730EF"/>
    <w:p w:rsidR="00A74D2F" w:rsidRDefault="00A74D2F"/>
    <w:p w:rsidR="00A74D2F" w:rsidRDefault="00580EEB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</w:p>
    <w:p w:rsidR="00B730EF" w:rsidRPr="004A1394" w:rsidRDefault="00B81429" w:rsidP="00B730EF">
      <w:pPr>
        <w:pStyle w:val="10"/>
        <w:pageBreakBefore/>
        <w:widowControl w:val="0"/>
        <w:shd w:val="clear" w:color="auto" w:fill="FFFFFF" w:themeFill="background1"/>
        <w:ind w:left="5103"/>
        <w:outlineLvl w:val="0"/>
        <w:rPr>
          <w:rFonts w:ascii="Arial" w:eastAsia="Arial" w:hAnsi="Arial" w:cs="Arial"/>
          <w:color w:val="auto"/>
          <w:lang w:val="uk-UA"/>
        </w:rPr>
      </w:pPr>
      <w:bookmarkStart w:id="0" w:name="_GoBack"/>
      <w:bookmarkEnd w:id="0"/>
      <w:r>
        <w:rPr>
          <w:rFonts w:ascii="Arial" w:hAnsi="Arial" w:cs="Arial"/>
          <w:color w:val="auto"/>
          <w:lang w:val="uk-UA"/>
        </w:rPr>
        <w:lastRenderedPageBreak/>
        <w:t>Додаток</w:t>
      </w:r>
    </w:p>
    <w:p w:rsidR="00B730EF" w:rsidRPr="004A1394" w:rsidRDefault="00B730EF" w:rsidP="00B730EF">
      <w:pPr>
        <w:pStyle w:val="10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lang w:val="uk-UA"/>
        </w:rPr>
      </w:pPr>
      <w:r w:rsidRPr="004A1394">
        <w:rPr>
          <w:rFonts w:ascii="Arial" w:hAnsi="Arial" w:cs="Arial"/>
          <w:color w:val="auto"/>
          <w:lang w:val="uk-UA"/>
        </w:rPr>
        <w:t>до рішення обласної ради</w:t>
      </w:r>
    </w:p>
    <w:p w:rsidR="00D91C1E" w:rsidRDefault="00B730EF" w:rsidP="00D91C1E">
      <w:pPr>
        <w:ind w:firstLine="5103"/>
        <w:rPr>
          <w:rFonts w:cs="Arial"/>
        </w:rPr>
      </w:pPr>
      <w:r>
        <w:rPr>
          <w:rFonts w:cs="Arial"/>
        </w:rPr>
        <w:t xml:space="preserve">від </w:t>
      </w:r>
      <w:r w:rsidR="00D91C1E">
        <w:rPr>
          <w:rFonts w:cs="Arial"/>
        </w:rPr>
        <w:t>30.06.2017. № 526-16/2017</w:t>
      </w:r>
    </w:p>
    <w:p w:rsidR="00D91C1E" w:rsidRDefault="00D91C1E" w:rsidP="00D91C1E">
      <w:pPr>
        <w:ind w:firstLine="5103"/>
        <w:rPr>
          <w:rFonts w:cs="Arial"/>
        </w:rPr>
      </w:pPr>
    </w:p>
    <w:p w:rsidR="00B730EF" w:rsidRPr="00952661" w:rsidRDefault="00B730EF" w:rsidP="00D91C1E">
      <w:pPr>
        <w:pStyle w:val="10"/>
        <w:widowControl w:val="0"/>
        <w:shd w:val="clear" w:color="auto" w:fill="FFFFFF" w:themeFill="background1"/>
        <w:ind w:left="5103"/>
        <w:rPr>
          <w:rFonts w:ascii="Arial" w:hAnsi="Arial" w:cs="Arial"/>
          <w:b/>
          <w:lang w:val="uk-UA"/>
        </w:rPr>
      </w:pPr>
      <w:r w:rsidRPr="00952661">
        <w:rPr>
          <w:rFonts w:ascii="Arial" w:hAnsi="Arial" w:cs="Arial"/>
          <w:b/>
          <w:lang w:val="uk-UA"/>
        </w:rPr>
        <w:t>Кабінет Міністрів України</w:t>
      </w:r>
    </w:p>
    <w:p w:rsidR="00B730EF" w:rsidRPr="004F0199" w:rsidRDefault="00B730EF" w:rsidP="004F0199">
      <w:pPr>
        <w:pStyle w:val="a9"/>
        <w:spacing w:before="120"/>
        <w:ind w:left="5103"/>
        <w:rPr>
          <w:rFonts w:ascii="Arial" w:hAnsi="Arial" w:cs="Arial"/>
          <w:b/>
          <w:sz w:val="24"/>
          <w:szCs w:val="24"/>
        </w:rPr>
      </w:pPr>
      <w:r w:rsidRPr="004F0199">
        <w:rPr>
          <w:rFonts w:ascii="Arial" w:hAnsi="Arial" w:cs="Arial"/>
          <w:b/>
          <w:sz w:val="24"/>
          <w:szCs w:val="24"/>
        </w:rPr>
        <w:t xml:space="preserve">Міністерство внутрішніх </w:t>
      </w:r>
      <w:r w:rsidR="004F0199" w:rsidRPr="004F0199">
        <w:rPr>
          <w:rFonts w:ascii="Arial" w:hAnsi="Arial" w:cs="Arial"/>
          <w:b/>
          <w:sz w:val="24"/>
          <w:szCs w:val="24"/>
        </w:rPr>
        <w:br/>
      </w:r>
      <w:r w:rsidRPr="004F0199">
        <w:rPr>
          <w:rFonts w:ascii="Arial" w:hAnsi="Arial" w:cs="Arial"/>
          <w:b/>
          <w:sz w:val="24"/>
          <w:szCs w:val="24"/>
        </w:rPr>
        <w:t>справ України</w:t>
      </w:r>
    </w:p>
    <w:p w:rsidR="00B730EF" w:rsidRPr="004F0199" w:rsidRDefault="00B730EF" w:rsidP="004F0199">
      <w:pPr>
        <w:pStyle w:val="a9"/>
        <w:spacing w:before="120"/>
        <w:ind w:left="5103"/>
        <w:rPr>
          <w:rFonts w:ascii="Arial" w:hAnsi="Arial" w:cs="Arial"/>
          <w:b/>
          <w:sz w:val="24"/>
          <w:szCs w:val="24"/>
        </w:rPr>
      </w:pPr>
      <w:r w:rsidRPr="004F0199">
        <w:rPr>
          <w:rFonts w:ascii="Arial" w:hAnsi="Arial" w:cs="Arial"/>
          <w:b/>
          <w:sz w:val="24"/>
          <w:szCs w:val="24"/>
        </w:rPr>
        <w:t xml:space="preserve">Міністерство охорони </w:t>
      </w:r>
      <w:r w:rsidR="004F0199" w:rsidRPr="004F0199">
        <w:rPr>
          <w:rFonts w:ascii="Arial" w:hAnsi="Arial" w:cs="Arial"/>
          <w:b/>
          <w:sz w:val="24"/>
          <w:szCs w:val="24"/>
        </w:rPr>
        <w:br/>
      </w:r>
      <w:r w:rsidRPr="004F0199">
        <w:rPr>
          <w:rFonts w:ascii="Arial" w:hAnsi="Arial" w:cs="Arial"/>
          <w:b/>
          <w:sz w:val="24"/>
          <w:szCs w:val="24"/>
        </w:rPr>
        <w:t>здоров’я України</w:t>
      </w:r>
    </w:p>
    <w:p w:rsidR="00B730EF" w:rsidRPr="004F0199" w:rsidRDefault="00B730EF" w:rsidP="004F0199">
      <w:pPr>
        <w:pStyle w:val="a9"/>
        <w:spacing w:before="120"/>
        <w:ind w:left="5103"/>
        <w:rPr>
          <w:rFonts w:ascii="Arial" w:hAnsi="Arial" w:cs="Arial"/>
          <w:b/>
          <w:sz w:val="24"/>
          <w:szCs w:val="24"/>
        </w:rPr>
      </w:pPr>
      <w:r w:rsidRPr="004F0199">
        <w:rPr>
          <w:rFonts w:ascii="Arial" w:hAnsi="Arial" w:cs="Arial"/>
          <w:b/>
          <w:sz w:val="24"/>
          <w:szCs w:val="24"/>
        </w:rPr>
        <w:t xml:space="preserve">Комітет Верховної </w:t>
      </w:r>
      <w:r w:rsidR="00B81429">
        <w:rPr>
          <w:rFonts w:ascii="Arial" w:hAnsi="Arial" w:cs="Arial"/>
          <w:b/>
          <w:sz w:val="24"/>
          <w:szCs w:val="24"/>
        </w:rPr>
        <w:t>Р</w:t>
      </w:r>
      <w:r w:rsidRPr="004F0199">
        <w:rPr>
          <w:rFonts w:ascii="Arial" w:hAnsi="Arial" w:cs="Arial"/>
          <w:b/>
          <w:sz w:val="24"/>
          <w:szCs w:val="24"/>
        </w:rPr>
        <w:t xml:space="preserve">ади України </w:t>
      </w:r>
      <w:r w:rsidR="004F0199" w:rsidRPr="004F0199">
        <w:rPr>
          <w:rFonts w:ascii="Arial" w:hAnsi="Arial" w:cs="Arial"/>
          <w:b/>
          <w:sz w:val="24"/>
          <w:szCs w:val="24"/>
        </w:rPr>
        <w:br/>
      </w:r>
      <w:r w:rsidRPr="004F0199">
        <w:rPr>
          <w:rFonts w:ascii="Arial" w:hAnsi="Arial" w:cs="Arial"/>
          <w:b/>
          <w:sz w:val="24"/>
          <w:szCs w:val="24"/>
        </w:rPr>
        <w:t>з питань охорони здоров’я</w:t>
      </w:r>
    </w:p>
    <w:p w:rsidR="00B730EF" w:rsidRPr="00B50C23" w:rsidRDefault="00B730EF" w:rsidP="00B730EF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B730EF" w:rsidRPr="004F0199" w:rsidRDefault="00B730EF" w:rsidP="00B730EF">
      <w:pPr>
        <w:jc w:val="center"/>
        <w:rPr>
          <w:rFonts w:cs="Arial"/>
          <w:b/>
          <w:szCs w:val="24"/>
        </w:rPr>
      </w:pPr>
      <w:r w:rsidRPr="004F0199">
        <w:rPr>
          <w:rFonts w:cs="Arial"/>
          <w:b/>
          <w:szCs w:val="24"/>
        </w:rPr>
        <w:t xml:space="preserve">ЗВЕРНЕННЯ </w:t>
      </w:r>
    </w:p>
    <w:p w:rsidR="00B730EF" w:rsidRPr="004F0199" w:rsidRDefault="00B730EF" w:rsidP="00900D9C">
      <w:pPr>
        <w:pStyle w:val="a9"/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 w:rsidRPr="004F0199">
        <w:rPr>
          <w:rFonts w:ascii="Arial" w:hAnsi="Arial" w:cs="Arial"/>
          <w:sz w:val="24"/>
          <w:szCs w:val="24"/>
        </w:rPr>
        <w:t xml:space="preserve">Ми, депутати </w:t>
      </w:r>
      <w:r w:rsidR="00B81429">
        <w:rPr>
          <w:rFonts w:ascii="Arial" w:hAnsi="Arial" w:cs="Arial"/>
          <w:sz w:val="24"/>
          <w:szCs w:val="24"/>
        </w:rPr>
        <w:t>Івано-Франківської обласної ради</w:t>
      </w:r>
      <w:r w:rsidR="008E6C78">
        <w:rPr>
          <w:rFonts w:ascii="Arial" w:hAnsi="Arial" w:cs="Arial"/>
          <w:sz w:val="24"/>
          <w:szCs w:val="24"/>
        </w:rPr>
        <w:t>,</w:t>
      </w:r>
      <w:r w:rsidR="00B81429">
        <w:rPr>
          <w:rFonts w:ascii="Arial" w:hAnsi="Arial" w:cs="Arial"/>
          <w:sz w:val="24"/>
          <w:szCs w:val="24"/>
        </w:rPr>
        <w:t xml:space="preserve"> звертаємось </w:t>
      </w:r>
      <w:r w:rsidRPr="004F0199">
        <w:rPr>
          <w:rFonts w:ascii="Arial" w:hAnsi="Arial" w:cs="Arial"/>
          <w:sz w:val="24"/>
          <w:szCs w:val="24"/>
        </w:rPr>
        <w:t xml:space="preserve">щодо спрощення використання наркотичних та психотропних засобів у віддалених структурних підрозділах лікувальних закладів, що розташовані у сільській місцевості, а саме, фельдшерсько-акушерських пунктах,  </w:t>
      </w:r>
      <w:r w:rsidR="00F60E40">
        <w:rPr>
          <w:rFonts w:ascii="Arial" w:hAnsi="Arial" w:cs="Arial"/>
          <w:sz w:val="24"/>
          <w:szCs w:val="24"/>
        </w:rPr>
        <w:t>амбулаторіях загальної практики</w:t>
      </w:r>
      <w:r w:rsidR="00952661" w:rsidRPr="004F0199">
        <w:rPr>
          <w:rFonts w:ascii="Arial" w:hAnsi="Arial" w:cs="Arial"/>
          <w:sz w:val="24"/>
          <w:szCs w:val="24"/>
        </w:rPr>
        <w:t>-</w:t>
      </w:r>
      <w:r w:rsidRPr="004F0199">
        <w:rPr>
          <w:rFonts w:ascii="Arial" w:hAnsi="Arial" w:cs="Arial"/>
          <w:sz w:val="24"/>
          <w:szCs w:val="24"/>
        </w:rPr>
        <w:t>сімейної медицини, дільничних лікарнях, бригадах екстреної медичної допомоги.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8"/>
      </w:tblGrid>
      <w:tr w:rsidR="00B730EF" w:rsidRPr="004F0199" w:rsidTr="0090748D">
        <w:trPr>
          <w:tblCellSpacing w:w="0" w:type="dxa"/>
        </w:trPr>
        <w:tc>
          <w:tcPr>
            <w:tcW w:w="5000" w:type="pct"/>
            <w:hideMark/>
          </w:tcPr>
          <w:p w:rsidR="00B730EF" w:rsidRPr="004F0199" w:rsidRDefault="00B730EF" w:rsidP="00565079">
            <w:pPr>
              <w:pStyle w:val="a9"/>
              <w:ind w:firstLine="709"/>
              <w:jc w:val="both"/>
              <w:rPr>
                <w:rStyle w:val="rvts23"/>
                <w:rFonts w:ascii="Arial" w:hAnsi="Arial" w:cs="Arial"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>На сьогодні п</w:t>
            </w:r>
            <w:r w:rsidR="00B81429">
              <w:rPr>
                <w:rFonts w:ascii="Arial" w:hAnsi="Arial" w:cs="Arial"/>
                <w:sz w:val="24"/>
                <w:szCs w:val="24"/>
              </w:rPr>
              <w:t>унктом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83 Ліцензійних умов провадження 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</w:rPr>
              <w:t>господарської діяльності щодо виготовлення, зберігання, перевезення, придбання, реалізації, використання, знищення наркотичних засобів, психотропних речовин і прекурсорів</w:t>
            </w:r>
            <w:r w:rsidR="00565079">
              <w:rPr>
                <w:rStyle w:val="rvts23"/>
                <w:rFonts w:ascii="Arial" w:hAnsi="Arial" w:cs="Arial"/>
                <w:sz w:val="24"/>
                <w:szCs w:val="24"/>
              </w:rPr>
              <w:t>,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</w:rPr>
              <w:t xml:space="preserve"> включених до списку № 1 таблиці І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="006C67FF">
              <w:rPr>
                <w:rStyle w:val="rvts23"/>
                <w:rFonts w:ascii="Arial" w:hAnsi="Arial" w:cs="Arial"/>
                <w:sz w:val="24"/>
                <w:szCs w:val="24"/>
              </w:rPr>
              <w:t xml:space="preserve"> переліку</w:t>
            </w:r>
            <w:r w:rsidR="00565079">
              <w:rPr>
                <w:rStyle w:val="rvts23"/>
                <w:rFonts w:ascii="Arial" w:hAnsi="Arial" w:cs="Arial"/>
                <w:sz w:val="24"/>
                <w:szCs w:val="24"/>
              </w:rPr>
              <w:t>,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</w:rPr>
              <w:t xml:space="preserve"> затвердженого постановою Кабінету Міністрів України </w:t>
            </w:r>
            <w:r w:rsidR="00565079">
              <w:rPr>
                <w:rStyle w:val="rvts9"/>
                <w:rFonts w:ascii="Arial" w:hAnsi="Arial" w:cs="Arial"/>
                <w:sz w:val="24"/>
                <w:szCs w:val="24"/>
              </w:rPr>
              <w:t>від 6 квітня 2016 р. № 282,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передбачено ряд вимог до приміщень, призначених для здійснення діяльності з обігу наркотичних засобів, 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</w:rPr>
              <w:t xml:space="preserve">психотропних речовин і прекурсорів, які </w:t>
            </w:r>
            <w:r w:rsidR="00565079" w:rsidRPr="004F0199">
              <w:rPr>
                <w:rStyle w:val="rvts23"/>
                <w:rFonts w:ascii="Arial" w:hAnsi="Arial" w:cs="Arial"/>
                <w:sz w:val="24"/>
                <w:szCs w:val="24"/>
              </w:rPr>
              <w:t xml:space="preserve">виконати </w:t>
            </w:r>
            <w:r w:rsidRPr="004F0199">
              <w:rPr>
                <w:rStyle w:val="rvts23"/>
                <w:rFonts w:ascii="Arial" w:hAnsi="Arial" w:cs="Arial"/>
                <w:sz w:val="24"/>
                <w:szCs w:val="24"/>
              </w:rPr>
              <w:t>неможливо.</w:t>
            </w:r>
          </w:p>
          <w:p w:rsidR="00B730EF" w:rsidRPr="004F0199" w:rsidRDefault="00B730EF" w:rsidP="00595526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 xml:space="preserve">Зокрема, </w:t>
            </w:r>
            <w:r w:rsidR="00595526">
              <w:rPr>
                <w:rFonts w:ascii="Arial" w:hAnsi="Arial" w:cs="Arial"/>
                <w:sz w:val="24"/>
                <w:szCs w:val="24"/>
              </w:rPr>
              <w:t>фінансові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витрати на охоронне обладнання та технічне укріплення приміщень</w:t>
            </w:r>
            <w:r w:rsidR="00595526">
              <w:rPr>
                <w:rFonts w:ascii="Arial" w:hAnsi="Arial" w:cs="Arial"/>
                <w:sz w:val="24"/>
                <w:szCs w:val="24"/>
              </w:rPr>
              <w:t>,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де зберігаються засоби наркотичної та психотропної </w:t>
            </w:r>
            <w:r w:rsidR="00595526">
              <w:rPr>
                <w:rFonts w:ascii="Arial" w:hAnsi="Arial" w:cs="Arial"/>
                <w:sz w:val="24"/>
                <w:szCs w:val="24"/>
              </w:rPr>
              <w:t>дії,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не </w:t>
            </w:r>
            <w:r w:rsidR="00595526">
              <w:rPr>
                <w:rFonts w:ascii="Arial" w:hAnsi="Arial" w:cs="Arial"/>
                <w:sz w:val="24"/>
                <w:szCs w:val="24"/>
              </w:rPr>
              <w:t>відповідають вартості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декілько</w:t>
            </w:r>
            <w:r w:rsidR="00595526">
              <w:rPr>
                <w:rFonts w:ascii="Arial" w:hAnsi="Arial" w:cs="Arial"/>
                <w:sz w:val="24"/>
                <w:szCs w:val="24"/>
              </w:rPr>
              <w:t>х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ампул наркотичних та психотропних засобів, які </w:t>
            </w:r>
            <w:r w:rsidR="00FB4663">
              <w:rPr>
                <w:rFonts w:ascii="Arial" w:hAnsi="Arial" w:cs="Arial"/>
                <w:sz w:val="24"/>
                <w:szCs w:val="24"/>
              </w:rPr>
              <w:t>повинні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бути в аптечці для надання невідкладної допомоги.</w:t>
            </w:r>
          </w:p>
          <w:p w:rsidR="00B730EF" w:rsidRPr="004F0199" w:rsidRDefault="004F0199" w:rsidP="00900D9C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>Н</w:t>
            </w:r>
            <w:r w:rsidR="00B730EF" w:rsidRPr="004F0199">
              <w:rPr>
                <w:rFonts w:ascii="Arial" w:hAnsi="Arial" w:cs="Arial"/>
                <w:sz w:val="24"/>
                <w:szCs w:val="24"/>
              </w:rPr>
              <w:t xml:space="preserve">аркотичні засоби та психотропні речовини є вкрай необхідними препаратами </w:t>
            </w:r>
            <w:r w:rsidR="00EA7299" w:rsidRPr="004F0199">
              <w:rPr>
                <w:rFonts w:ascii="Arial" w:hAnsi="Arial" w:cs="Arial"/>
                <w:sz w:val="24"/>
                <w:szCs w:val="24"/>
              </w:rPr>
              <w:t>при травматичному, опіковому шоках, гострому інфаркті міокарду, різних видах судом та інших критичних станах</w:t>
            </w:r>
            <w:r w:rsidR="00EA7299">
              <w:rPr>
                <w:rFonts w:ascii="Arial" w:hAnsi="Arial" w:cs="Arial"/>
                <w:sz w:val="24"/>
                <w:szCs w:val="24"/>
              </w:rPr>
              <w:t>, саме вони</w:t>
            </w:r>
            <w:r w:rsidR="00B730EF" w:rsidRPr="004F0199">
              <w:rPr>
                <w:rFonts w:ascii="Arial" w:hAnsi="Arial" w:cs="Arial"/>
                <w:sz w:val="24"/>
                <w:szCs w:val="24"/>
              </w:rPr>
              <w:t xml:space="preserve"> рятують людські життя </w:t>
            </w:r>
            <w:r w:rsidR="008E6C78">
              <w:rPr>
                <w:rFonts w:ascii="Arial" w:hAnsi="Arial" w:cs="Arial"/>
                <w:sz w:val="24"/>
                <w:szCs w:val="24"/>
              </w:rPr>
              <w:t>в</w:t>
            </w:r>
            <w:r w:rsidR="00B730EF" w:rsidRPr="004F0199">
              <w:rPr>
                <w:rFonts w:ascii="Arial" w:hAnsi="Arial" w:cs="Arial"/>
                <w:sz w:val="24"/>
                <w:szCs w:val="24"/>
              </w:rPr>
              <w:t xml:space="preserve"> перш</w:t>
            </w:r>
            <w:r w:rsidR="008E6C78">
              <w:rPr>
                <w:rFonts w:ascii="Arial" w:hAnsi="Arial" w:cs="Arial"/>
                <w:sz w:val="24"/>
                <w:szCs w:val="24"/>
              </w:rPr>
              <w:t>і</w:t>
            </w:r>
            <w:r w:rsidR="00B730EF" w:rsidRPr="004F0199">
              <w:rPr>
                <w:rFonts w:ascii="Arial" w:hAnsi="Arial" w:cs="Arial"/>
                <w:sz w:val="24"/>
                <w:szCs w:val="24"/>
              </w:rPr>
              <w:t xml:space="preserve"> хвилин</w:t>
            </w:r>
            <w:r w:rsidR="008E6C78">
              <w:rPr>
                <w:rFonts w:ascii="Arial" w:hAnsi="Arial" w:cs="Arial"/>
                <w:sz w:val="24"/>
                <w:szCs w:val="24"/>
              </w:rPr>
              <w:t>и</w:t>
            </w:r>
            <w:r w:rsidR="00B730EF" w:rsidRPr="004F0199">
              <w:rPr>
                <w:rFonts w:ascii="Arial" w:hAnsi="Arial" w:cs="Arial"/>
                <w:sz w:val="24"/>
                <w:szCs w:val="24"/>
              </w:rPr>
              <w:t xml:space="preserve"> надання невідкладної медичної допомоги.</w:t>
            </w:r>
          </w:p>
          <w:p w:rsidR="00B730EF" w:rsidRDefault="00B730EF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 xml:space="preserve">Пропонуємо пункт 83 Ліцензійних умов провадження господарської діяльності з обігу наркотичних засобів та психотропних речовин викласти у </w:t>
            </w:r>
            <w:r w:rsidR="00945434">
              <w:rPr>
                <w:rFonts w:ascii="Arial" w:hAnsi="Arial" w:cs="Arial"/>
                <w:sz w:val="24"/>
                <w:szCs w:val="24"/>
              </w:rPr>
              <w:t>такій</w:t>
            </w:r>
            <w:r w:rsidRPr="004F0199">
              <w:rPr>
                <w:rFonts w:ascii="Arial" w:hAnsi="Arial" w:cs="Arial"/>
                <w:sz w:val="24"/>
                <w:szCs w:val="24"/>
              </w:rPr>
              <w:t xml:space="preserve"> редакції:</w:t>
            </w:r>
          </w:p>
          <w:p w:rsidR="00945434" w:rsidRDefault="00945434" w:rsidP="0044298E">
            <w:pPr>
              <w:pStyle w:val="rvps2"/>
              <w:spacing w:before="120" w:beforeAutospacing="0" w:after="0" w:afterAutospacing="0"/>
              <w:ind w:firstLine="709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"</w:t>
            </w:r>
            <w:r w:rsidRPr="004F0199">
              <w:rPr>
                <w:rFonts w:ascii="Arial" w:hAnsi="Arial" w:cs="Arial"/>
                <w:lang w:val="uk-UA"/>
              </w:rPr>
              <w:t>83. Приміщення, які використовуються для зберігання наркотичних засобів, психотропних речовин і прекурсорів</w:t>
            </w:r>
            <w:r w:rsidR="008E6C78">
              <w:rPr>
                <w:rFonts w:ascii="Arial" w:hAnsi="Arial" w:cs="Arial"/>
                <w:lang w:val="uk-UA"/>
              </w:rPr>
              <w:t>,</w:t>
            </w:r>
            <w:r w:rsidRPr="004F0199">
              <w:rPr>
                <w:rFonts w:ascii="Arial" w:hAnsi="Arial" w:cs="Arial"/>
                <w:lang w:val="uk-UA"/>
              </w:rPr>
              <w:t xml:space="preserve"> включених до </w:t>
            </w:r>
            <w:r>
              <w:rPr>
                <w:rFonts w:ascii="Arial" w:hAnsi="Arial" w:cs="Arial"/>
                <w:lang w:val="uk-UA"/>
              </w:rPr>
              <w:t>списку № 1 та</w:t>
            </w:r>
            <w:r w:rsidRPr="004F0199">
              <w:rPr>
                <w:rFonts w:ascii="Arial" w:hAnsi="Arial" w:cs="Arial"/>
                <w:lang w:val="uk-UA"/>
              </w:rPr>
              <w:t xml:space="preserve">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в закладах охорони здоров’я та їх відділеннях, постах денного стаціонару</w:t>
            </w:r>
            <w:r w:rsidRPr="00D91C1E">
              <w:rPr>
                <w:rFonts w:ascii="Arial" w:hAnsi="Arial" w:cs="Arial"/>
                <w:lang w:val="uk-UA"/>
              </w:rPr>
              <w:t>;</w:t>
            </w:r>
            <w:r w:rsidRPr="004F0199">
              <w:rPr>
                <w:rFonts w:ascii="Arial" w:hAnsi="Arial" w:cs="Arial"/>
                <w:b/>
                <w:lang w:val="uk-UA"/>
              </w:rPr>
              <w:t xml:space="preserve"> у</w:t>
            </w:r>
            <w:r w:rsidRPr="00D91C1E">
              <w:rPr>
                <w:rFonts w:ascii="Arial" w:hAnsi="Arial" w:cs="Arial"/>
                <w:b/>
                <w:lang w:val="uk-UA"/>
              </w:rPr>
              <w:t xml:space="preserve"> фельдшерсько</w:t>
            </w:r>
            <w:r w:rsidR="00952661" w:rsidRPr="00952661">
              <w:rPr>
                <w:rFonts w:ascii="Arial" w:hAnsi="Arial" w:cs="Arial"/>
                <w:b/>
                <w:lang w:val="uk-UA"/>
              </w:rPr>
              <w:t>-</w:t>
            </w:r>
            <w:r w:rsidRPr="00D91C1E">
              <w:rPr>
                <w:rFonts w:ascii="Arial" w:hAnsi="Arial" w:cs="Arial"/>
                <w:b/>
                <w:lang w:val="uk-UA"/>
              </w:rPr>
              <w:t xml:space="preserve">акушерських пунктах, </w:t>
            </w:r>
            <w:r w:rsidR="00D91C1E">
              <w:rPr>
                <w:rFonts w:ascii="Arial" w:hAnsi="Arial" w:cs="Arial"/>
                <w:b/>
                <w:lang w:val="uk-UA"/>
              </w:rPr>
              <w:t>амбулаторіях загальної практики</w:t>
            </w:r>
            <w:r w:rsidR="00952661" w:rsidRPr="00952661">
              <w:rPr>
                <w:rFonts w:ascii="Arial" w:hAnsi="Arial" w:cs="Arial"/>
                <w:b/>
                <w:lang w:val="uk-UA"/>
              </w:rPr>
              <w:t>-</w:t>
            </w:r>
            <w:r w:rsidRPr="00D91C1E">
              <w:rPr>
                <w:rFonts w:ascii="Arial" w:hAnsi="Arial" w:cs="Arial"/>
                <w:b/>
                <w:lang w:val="uk-UA"/>
              </w:rPr>
              <w:t>сімейної медицини,</w:t>
            </w:r>
            <w:r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D91C1E">
              <w:rPr>
                <w:rFonts w:ascii="Arial" w:hAnsi="Arial" w:cs="Arial"/>
                <w:b/>
                <w:lang w:val="uk-UA"/>
              </w:rPr>
              <w:t>дільничних лікарнях, бригад</w:t>
            </w:r>
            <w:r w:rsidRPr="004F0199">
              <w:rPr>
                <w:rFonts w:ascii="Arial" w:hAnsi="Arial" w:cs="Arial"/>
                <w:b/>
                <w:lang w:val="uk-UA"/>
              </w:rPr>
              <w:t>ах</w:t>
            </w:r>
            <w:r w:rsidRPr="00D91C1E">
              <w:rPr>
                <w:rFonts w:ascii="Arial" w:hAnsi="Arial" w:cs="Arial"/>
                <w:b/>
                <w:lang w:val="uk-UA"/>
              </w:rPr>
              <w:t xml:space="preserve"> екстреної медичної допомоги</w:t>
            </w:r>
            <w:r w:rsidRPr="004F0199">
              <w:rPr>
                <w:rFonts w:ascii="Arial" w:hAnsi="Arial" w:cs="Arial"/>
                <w:lang w:val="uk-UA"/>
              </w:rPr>
              <w:t xml:space="preserve">; у вимірювальних, діагностичних лабораторіях; лабораторіях ветеринарної медицини; науково-дослідних інститутах, навчальних закладах; у лабораторіях контролю якості; у лабораторіях експертних установ; у фізичних осіб - підприємців, які мають ліцензію на провадження медичної або ветеринарної практики (за умови одночасного щомісячного зберігання препаратів наркотичних засобів, психотропних речовин і прекурсорів, в яких загальна кількість діючої речовини не перевищує 10 грамів), та (або) які використовуються для зберігання прекурсорів, включених до списку № 2 таблиці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за умови місячного обсягу запасу цих речовин не більше ніж 15 кілограмів (літрів), повинні відповідати таким вимогам:</w:t>
            </w:r>
          </w:p>
          <w:p w:rsidR="00D91C1E" w:rsidRDefault="00D91C1E" w:rsidP="001F20C0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lang w:val="uk-UA"/>
              </w:rPr>
            </w:pPr>
          </w:p>
          <w:p w:rsidR="00945434" w:rsidRPr="004F0199" w:rsidRDefault="00945434" w:rsidP="001F20C0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lastRenderedPageBreak/>
              <w:t>кімната</w:t>
            </w:r>
            <w:proofErr w:type="spellEnd"/>
            <w:r w:rsidRPr="004F0199">
              <w:rPr>
                <w:rFonts w:ascii="Arial" w:hAnsi="Arial" w:cs="Arial"/>
              </w:rPr>
              <w:t xml:space="preserve"> в </w:t>
            </w:r>
            <w:proofErr w:type="spellStart"/>
            <w:r w:rsidRPr="004F0199">
              <w:rPr>
                <w:rFonts w:ascii="Arial" w:hAnsi="Arial" w:cs="Arial"/>
              </w:rPr>
              <w:t>капітальній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будівлі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обладнана</w:t>
            </w:r>
            <w:proofErr w:type="spellEnd"/>
            <w:r w:rsidRPr="004F0199">
              <w:rPr>
                <w:rFonts w:ascii="Arial" w:hAnsi="Arial" w:cs="Arial"/>
              </w:rPr>
              <w:t xml:space="preserve"> сейфами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шафами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прикріпленими</w:t>
            </w:r>
            <w:proofErr w:type="spellEnd"/>
            <w:r w:rsidRPr="004F0199">
              <w:rPr>
                <w:rFonts w:ascii="Arial" w:hAnsi="Arial" w:cs="Arial"/>
              </w:rPr>
              <w:t xml:space="preserve"> до </w:t>
            </w:r>
            <w:proofErr w:type="spellStart"/>
            <w:r w:rsidRPr="004F0199">
              <w:rPr>
                <w:rFonts w:ascii="Arial" w:hAnsi="Arial" w:cs="Arial"/>
              </w:rPr>
              <w:t>підлоги</w:t>
            </w:r>
            <w:proofErr w:type="spellEnd"/>
            <w:r w:rsidRPr="004F0199">
              <w:rPr>
                <w:rFonts w:ascii="Arial" w:hAnsi="Arial" w:cs="Arial"/>
              </w:rPr>
              <w:t xml:space="preserve"> (</w:t>
            </w:r>
            <w:proofErr w:type="spellStart"/>
            <w:r w:rsidRPr="004F0199">
              <w:rPr>
                <w:rFonts w:ascii="Arial" w:hAnsi="Arial" w:cs="Arial"/>
              </w:rPr>
              <w:t>стіни</w:t>
            </w:r>
            <w:proofErr w:type="spellEnd"/>
            <w:r w:rsidRPr="004F0199">
              <w:rPr>
                <w:rFonts w:ascii="Arial" w:hAnsi="Arial" w:cs="Arial"/>
              </w:rPr>
              <w:t>);</w:t>
            </w:r>
          </w:p>
          <w:p w:rsidR="00945434" w:rsidRPr="004F0199" w:rsidRDefault="00945434" w:rsidP="001F20C0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вхідні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двері</w:t>
            </w:r>
            <w:proofErr w:type="spellEnd"/>
            <w:r w:rsidRPr="004F0199">
              <w:rPr>
                <w:rFonts w:ascii="Arial" w:hAnsi="Arial" w:cs="Arial"/>
              </w:rPr>
              <w:t xml:space="preserve"> добре </w:t>
            </w:r>
            <w:proofErr w:type="spellStart"/>
            <w:r w:rsidRPr="004F0199">
              <w:rPr>
                <w:rFonts w:ascii="Arial" w:hAnsi="Arial" w:cs="Arial"/>
              </w:rPr>
              <w:t>підігнані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під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дверну</w:t>
            </w:r>
            <w:proofErr w:type="spellEnd"/>
            <w:r w:rsidRPr="004F0199">
              <w:rPr>
                <w:rFonts w:ascii="Arial" w:hAnsi="Arial" w:cs="Arial"/>
              </w:rPr>
              <w:t xml:space="preserve"> коробку, </w:t>
            </w:r>
            <w:proofErr w:type="spellStart"/>
            <w:r w:rsidRPr="004F0199">
              <w:rPr>
                <w:rFonts w:ascii="Arial" w:hAnsi="Arial" w:cs="Arial"/>
              </w:rPr>
              <w:t>металеві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дерев’яні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повнотілі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мають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менше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двох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врізаних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несамозамикальних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замків</w:t>
            </w:r>
            <w:proofErr w:type="spellEnd"/>
            <w:r w:rsidRPr="004F0199">
              <w:rPr>
                <w:rFonts w:ascii="Arial" w:hAnsi="Arial" w:cs="Arial"/>
              </w:rPr>
              <w:t>;</w:t>
            </w:r>
          </w:p>
          <w:p w:rsidR="00945434" w:rsidRPr="004F0199" w:rsidRDefault="00945434" w:rsidP="001F20C0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віконні</w:t>
            </w:r>
            <w:proofErr w:type="spellEnd"/>
            <w:r w:rsidRPr="004F0199">
              <w:rPr>
                <w:rFonts w:ascii="Arial" w:hAnsi="Arial" w:cs="Arial"/>
              </w:rPr>
              <w:t xml:space="preserve"> отвори </w:t>
            </w:r>
            <w:proofErr w:type="spellStart"/>
            <w:r w:rsidRPr="004F0199">
              <w:rPr>
                <w:rFonts w:ascii="Arial" w:hAnsi="Arial" w:cs="Arial"/>
              </w:rPr>
              <w:t>приміщень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ґратами</w:t>
            </w:r>
            <w:proofErr w:type="spellEnd"/>
            <w:r w:rsidRPr="004F0199">
              <w:rPr>
                <w:rFonts w:ascii="Arial" w:hAnsi="Arial" w:cs="Arial"/>
              </w:rPr>
              <w:t xml:space="preserve">. </w:t>
            </w:r>
            <w:proofErr w:type="spellStart"/>
            <w:r w:rsidRPr="004F0199">
              <w:rPr>
                <w:rFonts w:ascii="Arial" w:hAnsi="Arial" w:cs="Arial"/>
              </w:rPr>
              <w:t>Допускається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використання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декоративних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чи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жалюзі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які</w:t>
            </w:r>
            <w:proofErr w:type="spellEnd"/>
            <w:r w:rsidRPr="004F0199">
              <w:rPr>
                <w:rFonts w:ascii="Arial" w:hAnsi="Arial" w:cs="Arial"/>
              </w:rPr>
              <w:t xml:space="preserve"> за </w:t>
            </w:r>
            <w:proofErr w:type="spellStart"/>
            <w:r w:rsidRPr="004F0199">
              <w:rPr>
                <w:rFonts w:ascii="Arial" w:hAnsi="Arial" w:cs="Arial"/>
              </w:rPr>
              <w:t>міцністю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поступаються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зазначеним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</w:t>
            </w:r>
            <w:proofErr w:type="spellEnd"/>
            <w:r w:rsidRPr="004F0199">
              <w:rPr>
                <w:rFonts w:ascii="Arial" w:hAnsi="Arial" w:cs="Arial"/>
              </w:rPr>
              <w:t>.</w:t>
            </w: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 xml:space="preserve">Приміщення обладнані засобами автономної сигналізації, що захищають сейфи (металеві шафи), що використовуються для зберігання, з обладнанням місцевими звуковими і світловими сигналізаторами, крім 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 xml:space="preserve"> фельдшерсько-акушерських пунктів, амбулаторій загальної практики</w:t>
            </w:r>
            <w:r w:rsidR="00D91C1E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>сімейної медицини,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>дільничних лікарень, бригад екстреної медичної допомоги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 xml:space="preserve"> де зберігаються ампули наркотичних засобів та психотропних речовин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в 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>кількості, що не перевищує 10 штук</w:t>
            </w:r>
            <w:r w:rsidRPr="00945434">
              <w:rPr>
                <w:rFonts w:ascii="Arial" w:hAnsi="Arial" w:cs="Arial"/>
                <w:sz w:val="24"/>
                <w:szCs w:val="24"/>
              </w:rPr>
              <w:t>"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45434" w:rsidRPr="004F0199" w:rsidRDefault="006C67FF" w:rsidP="0044298E">
            <w:pPr>
              <w:spacing w:before="120"/>
              <w:ind w:firstLine="70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Врегулювання питання щодо </w:t>
            </w:r>
            <w:r w:rsidRPr="00C06A53">
              <w:rPr>
                <w:rFonts w:cs="Arial"/>
                <w:szCs w:val="24"/>
              </w:rPr>
              <w:t>спро</w:t>
            </w:r>
            <w:r>
              <w:rPr>
                <w:rFonts w:cs="Arial"/>
                <w:szCs w:val="24"/>
              </w:rPr>
              <w:t xml:space="preserve">щення використання наркотичних </w:t>
            </w:r>
            <w:r w:rsidRPr="00C06A53">
              <w:rPr>
                <w:rFonts w:cs="Arial"/>
                <w:szCs w:val="24"/>
              </w:rPr>
              <w:t>та психотропних засобів</w:t>
            </w:r>
            <w:r w:rsidRPr="004F0199">
              <w:rPr>
                <w:rFonts w:cs="Arial"/>
                <w:szCs w:val="24"/>
              </w:rPr>
              <w:t xml:space="preserve"> </w:t>
            </w:r>
            <w:r w:rsidR="00945434" w:rsidRPr="004F0199">
              <w:rPr>
                <w:rFonts w:cs="Arial"/>
                <w:szCs w:val="24"/>
              </w:rPr>
              <w:t>покращить стан надання невідкладної медичної допомоги при окремих захворюваннях та врятує не одне життя</w:t>
            </w:r>
            <w:r>
              <w:rPr>
                <w:rFonts w:cs="Arial"/>
                <w:szCs w:val="24"/>
              </w:rPr>
              <w:t>, особливо хворих</w:t>
            </w:r>
            <w:r w:rsidR="00945434" w:rsidRPr="004F0199">
              <w:rPr>
                <w:rFonts w:cs="Arial"/>
                <w:szCs w:val="24"/>
              </w:rPr>
              <w:t xml:space="preserve">, що проживають у сільській місцевості. </w:t>
            </w:r>
          </w:p>
          <w:p w:rsidR="00945434" w:rsidRPr="004F0199" w:rsidRDefault="00945434" w:rsidP="00945434">
            <w:pPr>
              <w:pStyle w:val="a9"/>
              <w:spacing w:before="480"/>
              <w:ind w:left="4536"/>
              <w:rPr>
                <w:rFonts w:ascii="Arial" w:hAnsi="Arial" w:cs="Arial"/>
                <w:b/>
                <w:sz w:val="24"/>
                <w:szCs w:val="24"/>
              </w:rPr>
            </w:pPr>
            <w:r w:rsidRPr="004F0199">
              <w:rPr>
                <w:rFonts w:ascii="Arial" w:hAnsi="Arial" w:cs="Arial"/>
                <w:b/>
                <w:sz w:val="24"/>
                <w:szCs w:val="24"/>
              </w:rPr>
              <w:t>Прийнято на шістнадцятій сесії</w:t>
            </w:r>
          </w:p>
          <w:p w:rsidR="00945434" w:rsidRPr="004F0199" w:rsidRDefault="00945434" w:rsidP="00945434">
            <w:pPr>
              <w:pStyle w:val="a9"/>
              <w:ind w:left="4536"/>
              <w:rPr>
                <w:rFonts w:ascii="Arial" w:hAnsi="Arial" w:cs="Arial"/>
                <w:b/>
                <w:sz w:val="24"/>
                <w:szCs w:val="24"/>
              </w:rPr>
            </w:pPr>
            <w:r w:rsidRPr="004F0199">
              <w:rPr>
                <w:rFonts w:ascii="Arial" w:hAnsi="Arial" w:cs="Arial"/>
                <w:b/>
                <w:sz w:val="24"/>
                <w:szCs w:val="24"/>
              </w:rPr>
              <w:t>Івано-Франківської обласної ради</w:t>
            </w:r>
          </w:p>
          <w:p w:rsidR="00945434" w:rsidRPr="004F0199" w:rsidRDefault="00945434" w:rsidP="00945434">
            <w:pPr>
              <w:pStyle w:val="a9"/>
              <w:ind w:left="4536"/>
              <w:rPr>
                <w:rFonts w:ascii="Arial" w:hAnsi="Arial" w:cs="Arial"/>
                <w:b/>
                <w:sz w:val="24"/>
                <w:szCs w:val="24"/>
              </w:rPr>
            </w:pPr>
            <w:r w:rsidRPr="004F0199">
              <w:rPr>
                <w:rFonts w:ascii="Arial" w:hAnsi="Arial" w:cs="Arial"/>
                <w:b/>
                <w:sz w:val="24"/>
                <w:szCs w:val="24"/>
              </w:rPr>
              <w:t>сьомого демократичного скликання</w:t>
            </w:r>
          </w:p>
          <w:p w:rsidR="00945434" w:rsidRPr="004F0199" w:rsidRDefault="00D91C1E" w:rsidP="00945434">
            <w:pPr>
              <w:ind w:left="4536" w:firstLine="0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30 червня</w:t>
            </w:r>
            <w:r w:rsidR="00945434" w:rsidRPr="004F0199">
              <w:rPr>
                <w:rFonts w:cs="Arial"/>
                <w:b/>
                <w:szCs w:val="24"/>
              </w:rPr>
              <w:t xml:space="preserve"> 2017 року</w:t>
            </w: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434" w:rsidRPr="004F0199" w:rsidRDefault="00945434" w:rsidP="00945434">
            <w:pPr>
              <w:pStyle w:val="a9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  <w:bookmarkStart w:id="1" w:name="n11"/>
      <w:bookmarkEnd w:id="1"/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945434" w:rsidRDefault="00945434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lang w:val="uk-UA"/>
        </w:rPr>
      </w:pPr>
    </w:p>
    <w:p w:rsidR="004F7DCF" w:rsidRDefault="004F7DCF">
      <w:pPr>
        <w:ind w:firstLine="0"/>
        <w:jc w:val="left"/>
        <w:rPr>
          <w:rFonts w:cs="Arial"/>
          <w:szCs w:val="24"/>
          <w:lang w:eastAsia="ru-RU"/>
        </w:rPr>
      </w:pPr>
      <w:r>
        <w:rPr>
          <w:rFonts w:cs="Arial"/>
        </w:rPr>
        <w:br w:type="page"/>
      </w:r>
    </w:p>
    <w:p w:rsidR="00B730EF" w:rsidRPr="00617C70" w:rsidRDefault="00B730EF" w:rsidP="00262D18">
      <w:pPr>
        <w:pStyle w:val="rvps2"/>
        <w:spacing w:before="0" w:beforeAutospacing="0" w:after="120" w:afterAutospacing="0"/>
        <w:jc w:val="center"/>
        <w:rPr>
          <w:rFonts w:ascii="Arial" w:hAnsi="Arial" w:cs="Arial"/>
          <w:b/>
          <w:lang w:val="uk-UA"/>
        </w:rPr>
      </w:pPr>
      <w:r w:rsidRPr="00617C70">
        <w:rPr>
          <w:rFonts w:ascii="Arial" w:hAnsi="Arial" w:cs="Arial"/>
          <w:b/>
          <w:lang w:val="uk-UA"/>
        </w:rPr>
        <w:lastRenderedPageBreak/>
        <w:t>Порівняльна таблиця</w:t>
      </w:r>
    </w:p>
    <w:tbl>
      <w:tblPr>
        <w:tblStyle w:val="ab"/>
        <w:tblW w:w="0" w:type="auto"/>
        <w:tblInd w:w="-601" w:type="dxa"/>
        <w:tblLook w:val="01E0" w:firstRow="1" w:lastRow="1" w:firstColumn="1" w:lastColumn="1" w:noHBand="0" w:noVBand="0"/>
      </w:tblPr>
      <w:tblGrid>
        <w:gridCol w:w="4537"/>
        <w:gridCol w:w="5386"/>
      </w:tblGrid>
      <w:tr w:rsidR="00B730EF" w:rsidRPr="004F0199" w:rsidTr="004F7DCF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EF" w:rsidRPr="004F0199" w:rsidRDefault="00B730EF" w:rsidP="0090748D">
            <w:pPr>
              <w:jc w:val="center"/>
              <w:rPr>
                <w:rFonts w:cs="Arial"/>
                <w:szCs w:val="24"/>
                <w:lang w:eastAsia="ru-RU"/>
              </w:rPr>
            </w:pPr>
            <w:r w:rsidRPr="004F0199">
              <w:rPr>
                <w:rFonts w:cs="Arial"/>
                <w:szCs w:val="24"/>
              </w:rPr>
              <w:t>Чинна редакція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EF" w:rsidRPr="004F0199" w:rsidRDefault="00B730EF" w:rsidP="0090748D">
            <w:pPr>
              <w:jc w:val="center"/>
              <w:rPr>
                <w:rFonts w:cs="Arial"/>
                <w:szCs w:val="24"/>
                <w:lang w:eastAsia="ru-RU"/>
              </w:rPr>
            </w:pPr>
            <w:r w:rsidRPr="004F0199">
              <w:rPr>
                <w:rFonts w:cs="Arial"/>
                <w:szCs w:val="24"/>
              </w:rPr>
              <w:t>Запропонована редакція</w:t>
            </w:r>
          </w:p>
        </w:tc>
      </w:tr>
      <w:tr w:rsidR="00B730EF" w:rsidRPr="004F0199" w:rsidTr="004F7DCF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  <w:lang w:val="uk-UA"/>
              </w:rPr>
            </w:pPr>
            <w:r w:rsidRPr="004F0199">
              <w:rPr>
                <w:rFonts w:ascii="Arial" w:hAnsi="Arial" w:cs="Arial"/>
                <w:lang w:val="uk-UA"/>
              </w:rPr>
              <w:t xml:space="preserve">83. Приміщення, які використовуються для зберігання наркотичних засобів, психотропних речовин і прекурсорів включених до </w:t>
            </w:r>
            <w:hyperlink r:id="rId7" w:tgtFrame="_blank" w:history="1">
              <w:r w:rsidRPr="004F0199">
                <w:rPr>
                  <w:rStyle w:val="aa"/>
                  <w:rFonts w:ascii="Arial" w:hAnsi="Arial" w:cs="Arial"/>
                  <w:lang w:val="uk-UA"/>
                </w:rPr>
                <w:t>списку № 1</w:t>
              </w:r>
            </w:hyperlink>
            <w:r w:rsidRPr="004F0199">
              <w:rPr>
                <w:rFonts w:ascii="Arial" w:hAnsi="Arial" w:cs="Arial"/>
                <w:lang w:val="uk-UA"/>
              </w:rPr>
              <w:t xml:space="preserve"> таблиці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в закладах охорони здоров’я та їх відділеннях, постах денного стаціонару; у вимірювальних, діагностичних лабораторіях; лабораторіях ветеринарної медицини; науково-дослідних інститутах, навчальних закладах; у лабораторіях контролю якості; у лабораторіях експертних установ; у фізичних осіб - підприємців, які мають ліцензію на провадження медичної або ветеринарної практики (за умови одночасного щомісячного зберігання препаратів наркотичних засобів, психотропних речовин і прекурсорів, в яких загальна кількість діючої речовини не перевищує 10 грамів), та (або) які використовуються для зберігання прекурсорів, включених до списку № 2 таблиці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за умови місячного обсягу запасу цих речовин не більше ніж 15 кілограмів (літрів), повинні відповідати таким вимогам: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кімната</w:t>
            </w:r>
            <w:proofErr w:type="spellEnd"/>
            <w:r w:rsidRPr="004F0199">
              <w:rPr>
                <w:rFonts w:ascii="Arial" w:hAnsi="Arial" w:cs="Arial"/>
              </w:rPr>
              <w:t xml:space="preserve"> в </w:t>
            </w:r>
            <w:proofErr w:type="spellStart"/>
            <w:r w:rsidRPr="004F0199">
              <w:rPr>
                <w:rFonts w:ascii="Arial" w:hAnsi="Arial" w:cs="Arial"/>
              </w:rPr>
              <w:t>капітальній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будівлі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обладнана</w:t>
            </w:r>
            <w:proofErr w:type="spellEnd"/>
            <w:r w:rsidRPr="004F0199">
              <w:rPr>
                <w:rFonts w:ascii="Arial" w:hAnsi="Arial" w:cs="Arial"/>
              </w:rPr>
              <w:t xml:space="preserve"> сейфами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шафами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прикріпленими</w:t>
            </w:r>
            <w:proofErr w:type="spellEnd"/>
            <w:r w:rsidRPr="004F0199">
              <w:rPr>
                <w:rFonts w:ascii="Arial" w:hAnsi="Arial" w:cs="Arial"/>
              </w:rPr>
              <w:t xml:space="preserve"> до </w:t>
            </w:r>
            <w:proofErr w:type="spellStart"/>
            <w:r w:rsidRPr="004F0199">
              <w:rPr>
                <w:rFonts w:ascii="Arial" w:hAnsi="Arial" w:cs="Arial"/>
              </w:rPr>
              <w:t>підлоги</w:t>
            </w:r>
            <w:proofErr w:type="spellEnd"/>
            <w:r w:rsidRPr="004F0199">
              <w:rPr>
                <w:rFonts w:ascii="Arial" w:hAnsi="Arial" w:cs="Arial"/>
              </w:rPr>
              <w:t xml:space="preserve"> (</w:t>
            </w:r>
            <w:proofErr w:type="spellStart"/>
            <w:r w:rsidRPr="004F0199">
              <w:rPr>
                <w:rFonts w:ascii="Arial" w:hAnsi="Arial" w:cs="Arial"/>
              </w:rPr>
              <w:t>стіни</w:t>
            </w:r>
            <w:proofErr w:type="spellEnd"/>
            <w:r w:rsidRPr="004F0199">
              <w:rPr>
                <w:rFonts w:ascii="Arial" w:hAnsi="Arial" w:cs="Arial"/>
              </w:rPr>
              <w:t>);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вхідні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двері</w:t>
            </w:r>
            <w:proofErr w:type="spellEnd"/>
            <w:r w:rsidRPr="004F0199">
              <w:rPr>
                <w:rFonts w:ascii="Arial" w:hAnsi="Arial" w:cs="Arial"/>
              </w:rPr>
              <w:t xml:space="preserve"> добре </w:t>
            </w:r>
            <w:proofErr w:type="spellStart"/>
            <w:r w:rsidRPr="004F0199">
              <w:rPr>
                <w:rFonts w:ascii="Arial" w:hAnsi="Arial" w:cs="Arial"/>
              </w:rPr>
              <w:t>підігнані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під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дверну</w:t>
            </w:r>
            <w:proofErr w:type="spellEnd"/>
            <w:r w:rsidRPr="004F0199">
              <w:rPr>
                <w:rFonts w:ascii="Arial" w:hAnsi="Arial" w:cs="Arial"/>
              </w:rPr>
              <w:t xml:space="preserve"> коробку, </w:t>
            </w:r>
            <w:proofErr w:type="spellStart"/>
            <w:r w:rsidRPr="004F0199">
              <w:rPr>
                <w:rFonts w:ascii="Arial" w:hAnsi="Arial" w:cs="Arial"/>
              </w:rPr>
              <w:t>металеві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дерев’яні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повнотілі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мають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менше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двох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врізаних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несамозамикальних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замків</w:t>
            </w:r>
            <w:proofErr w:type="spellEnd"/>
            <w:r w:rsidRPr="004F0199">
              <w:rPr>
                <w:rFonts w:ascii="Arial" w:hAnsi="Arial" w:cs="Arial"/>
              </w:rPr>
              <w:t>;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віконні</w:t>
            </w:r>
            <w:proofErr w:type="spellEnd"/>
            <w:r w:rsidRPr="004F0199">
              <w:rPr>
                <w:rFonts w:ascii="Arial" w:hAnsi="Arial" w:cs="Arial"/>
              </w:rPr>
              <w:t xml:space="preserve"> отвори </w:t>
            </w:r>
            <w:proofErr w:type="spellStart"/>
            <w:r w:rsidRPr="004F0199">
              <w:rPr>
                <w:rFonts w:ascii="Arial" w:hAnsi="Arial" w:cs="Arial"/>
              </w:rPr>
              <w:t>приміщень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ґратами</w:t>
            </w:r>
            <w:proofErr w:type="spellEnd"/>
            <w:r w:rsidRPr="004F0199">
              <w:rPr>
                <w:rFonts w:ascii="Arial" w:hAnsi="Arial" w:cs="Arial"/>
              </w:rPr>
              <w:t xml:space="preserve">. </w:t>
            </w:r>
            <w:proofErr w:type="spellStart"/>
            <w:r w:rsidRPr="004F0199">
              <w:rPr>
                <w:rFonts w:ascii="Arial" w:hAnsi="Arial" w:cs="Arial"/>
              </w:rPr>
              <w:t>Допускається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використання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декоративних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чи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жалюзі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які</w:t>
            </w:r>
            <w:proofErr w:type="spellEnd"/>
            <w:r w:rsidRPr="004F0199">
              <w:rPr>
                <w:rFonts w:ascii="Arial" w:hAnsi="Arial" w:cs="Arial"/>
              </w:rPr>
              <w:t xml:space="preserve"> за </w:t>
            </w:r>
            <w:proofErr w:type="spellStart"/>
            <w:r w:rsidRPr="004F0199">
              <w:rPr>
                <w:rFonts w:ascii="Arial" w:hAnsi="Arial" w:cs="Arial"/>
              </w:rPr>
              <w:t>міцністю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поступаються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зазначеним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</w:t>
            </w:r>
            <w:proofErr w:type="spellEnd"/>
            <w:r w:rsidRPr="004F0199">
              <w:rPr>
                <w:rFonts w:ascii="Arial" w:hAnsi="Arial" w:cs="Arial"/>
              </w:rPr>
              <w:t>.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Приміщення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засобами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автономної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сигналізації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що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захищають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сейфи</w:t>
            </w:r>
            <w:proofErr w:type="spellEnd"/>
            <w:r w:rsidRPr="004F0199">
              <w:rPr>
                <w:rFonts w:ascii="Arial" w:hAnsi="Arial" w:cs="Arial"/>
              </w:rPr>
              <w:t xml:space="preserve"> (</w:t>
            </w:r>
            <w:proofErr w:type="spellStart"/>
            <w:r w:rsidRPr="004F0199">
              <w:rPr>
                <w:rFonts w:ascii="Arial" w:hAnsi="Arial" w:cs="Arial"/>
              </w:rPr>
              <w:t>металеві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шафи</w:t>
            </w:r>
            <w:proofErr w:type="spellEnd"/>
            <w:r w:rsidRPr="004F0199">
              <w:rPr>
                <w:rFonts w:ascii="Arial" w:hAnsi="Arial" w:cs="Arial"/>
              </w:rPr>
              <w:t xml:space="preserve">), </w:t>
            </w:r>
            <w:proofErr w:type="spellStart"/>
            <w:r w:rsidRPr="004F0199">
              <w:rPr>
                <w:rFonts w:ascii="Arial" w:hAnsi="Arial" w:cs="Arial"/>
              </w:rPr>
              <w:t>що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використовуються</w:t>
            </w:r>
            <w:proofErr w:type="spellEnd"/>
            <w:r w:rsidRPr="004F0199">
              <w:rPr>
                <w:rFonts w:ascii="Arial" w:hAnsi="Arial" w:cs="Arial"/>
              </w:rPr>
              <w:t xml:space="preserve"> для </w:t>
            </w:r>
            <w:proofErr w:type="spellStart"/>
            <w:r w:rsidRPr="004F0199">
              <w:rPr>
                <w:rFonts w:ascii="Arial" w:hAnsi="Arial" w:cs="Arial"/>
              </w:rPr>
              <w:t>зберігання</w:t>
            </w:r>
            <w:proofErr w:type="spellEnd"/>
            <w:r w:rsidRPr="004F0199">
              <w:rPr>
                <w:rFonts w:ascii="Arial" w:hAnsi="Arial" w:cs="Arial"/>
              </w:rPr>
              <w:t xml:space="preserve">, з </w:t>
            </w:r>
            <w:proofErr w:type="spellStart"/>
            <w:r w:rsidRPr="004F0199">
              <w:rPr>
                <w:rFonts w:ascii="Arial" w:hAnsi="Arial" w:cs="Arial"/>
              </w:rPr>
              <w:t>обладнанням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місцевими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звуковими</w:t>
            </w:r>
            <w:proofErr w:type="spellEnd"/>
            <w:r w:rsidRPr="004F0199">
              <w:rPr>
                <w:rFonts w:ascii="Arial" w:hAnsi="Arial" w:cs="Arial"/>
              </w:rPr>
              <w:t xml:space="preserve"> і </w:t>
            </w:r>
            <w:proofErr w:type="spellStart"/>
            <w:r w:rsidRPr="004F0199">
              <w:rPr>
                <w:rFonts w:ascii="Arial" w:hAnsi="Arial" w:cs="Arial"/>
              </w:rPr>
              <w:t>світловими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сигналізаторами</w:t>
            </w:r>
            <w:proofErr w:type="spellEnd"/>
            <w:r w:rsidRPr="004F0199">
              <w:rPr>
                <w:rFonts w:ascii="Arial" w:hAnsi="Arial" w:cs="Arial"/>
              </w:rPr>
              <w:t>.</w:t>
            </w:r>
          </w:p>
          <w:p w:rsidR="00B730EF" w:rsidRPr="004F0199" w:rsidRDefault="00B730EF" w:rsidP="004F0199">
            <w:pPr>
              <w:rPr>
                <w:rFonts w:cs="Arial"/>
                <w:szCs w:val="24"/>
                <w:lang w:val="ru-RU"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  <w:b/>
                <w:lang w:val="uk-UA"/>
              </w:rPr>
            </w:pPr>
            <w:r w:rsidRPr="004F0199">
              <w:rPr>
                <w:rFonts w:ascii="Arial" w:hAnsi="Arial" w:cs="Arial"/>
                <w:lang w:val="uk-UA"/>
              </w:rPr>
              <w:t xml:space="preserve">83. Приміщення, які використовуються для зберігання наркотичних засобів, психотропних речовин і прекурсорів включених до </w:t>
            </w:r>
            <w:hyperlink r:id="rId8" w:tgtFrame="_blank" w:history="1">
              <w:r w:rsidRPr="004F0199">
                <w:rPr>
                  <w:rStyle w:val="aa"/>
                  <w:rFonts w:ascii="Arial" w:hAnsi="Arial" w:cs="Arial"/>
                  <w:lang w:val="uk-UA"/>
                </w:rPr>
                <w:t>списку № 1</w:t>
              </w:r>
            </w:hyperlink>
            <w:r w:rsidRPr="004F0199">
              <w:rPr>
                <w:rFonts w:ascii="Arial" w:hAnsi="Arial" w:cs="Arial"/>
                <w:lang w:val="uk-UA"/>
              </w:rPr>
              <w:t xml:space="preserve"> таблиці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в закладах охорони здоров’я та їх відділеннях, постах денного стаціонару</w:t>
            </w:r>
            <w:r w:rsidRPr="004F0199">
              <w:rPr>
                <w:rFonts w:ascii="Arial" w:hAnsi="Arial" w:cs="Arial"/>
                <w:b/>
                <w:lang w:val="uk-UA"/>
              </w:rPr>
              <w:t>; у</w:t>
            </w:r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фельдшерсько-акушерських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пунктах, </w:t>
            </w:r>
            <w:proofErr w:type="spellStart"/>
            <w:r w:rsidRPr="004F0199">
              <w:rPr>
                <w:rFonts w:ascii="Arial" w:hAnsi="Arial" w:cs="Arial"/>
                <w:b/>
              </w:rPr>
              <w:t>амбулаторіях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4F0199">
              <w:rPr>
                <w:rFonts w:ascii="Arial" w:hAnsi="Arial" w:cs="Arial"/>
                <w:b/>
              </w:rPr>
              <w:t>загальної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практики </w:t>
            </w:r>
            <w:r w:rsidR="004F0199">
              <w:rPr>
                <w:rFonts w:ascii="Arial" w:hAnsi="Arial" w:cs="Arial"/>
                <w:b/>
                <w:lang w:val="uk-UA"/>
              </w:rPr>
              <w:t>–</w:t>
            </w:r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сімейної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медицини,дільничних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лікарнях</w:t>
            </w:r>
            <w:proofErr w:type="spellEnd"/>
            <w:r w:rsidRPr="004F0199">
              <w:rPr>
                <w:rFonts w:ascii="Arial" w:hAnsi="Arial" w:cs="Arial"/>
                <w:b/>
              </w:rPr>
              <w:t>,  бригад</w:t>
            </w:r>
            <w:r w:rsidRPr="004F0199">
              <w:rPr>
                <w:rFonts w:ascii="Arial" w:hAnsi="Arial" w:cs="Arial"/>
                <w:b/>
                <w:lang w:val="uk-UA"/>
              </w:rPr>
              <w:t>ах</w:t>
            </w:r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екстреної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медичної</w:t>
            </w:r>
            <w:proofErr w:type="spellEnd"/>
            <w:r w:rsidRPr="004F019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  <w:b/>
              </w:rPr>
              <w:t>допомоги</w:t>
            </w:r>
            <w:proofErr w:type="spellEnd"/>
            <w:r w:rsidRPr="004F0199">
              <w:rPr>
                <w:rFonts w:ascii="Arial" w:hAnsi="Arial" w:cs="Arial"/>
                <w:lang w:val="uk-UA"/>
              </w:rPr>
              <w:t xml:space="preserve">; у вимірювальних, діагностичних лабораторіях; лабораторіях ветеринарної медицини; науково-дослідних інститутах, навчальних закладах; у лабораторіях контролю якості; у лабораторіях експертних установ; у фізичних осіб - підприємців, які мають ліцензію на провадження медичної або ветеринарної практики (за умови одночасного щомісячного зберігання препаратів наркотичних засобів, психотропних речовин і прекурсорів, в яких загальна кількість діючої речовини не перевищує 10 грамів), та (або) які використовуються для зберігання прекурсорів, включених до списку № 2 таблиці </w:t>
            </w:r>
            <w:r w:rsidRPr="004F0199">
              <w:rPr>
                <w:rFonts w:ascii="Arial" w:hAnsi="Arial" w:cs="Arial"/>
              </w:rPr>
              <w:t>IV</w:t>
            </w:r>
            <w:r w:rsidRPr="004F0199">
              <w:rPr>
                <w:rFonts w:ascii="Arial" w:hAnsi="Arial" w:cs="Arial"/>
                <w:lang w:val="uk-UA"/>
              </w:rPr>
              <w:t xml:space="preserve"> переліку, за умови місячного обсягу запасу цих речовин не більше ніж 15 кілограмів (літрів), повинні відповідати таким вимогам: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кімната</w:t>
            </w:r>
            <w:proofErr w:type="spellEnd"/>
            <w:r w:rsidRPr="004F0199">
              <w:rPr>
                <w:rFonts w:ascii="Arial" w:hAnsi="Arial" w:cs="Arial"/>
              </w:rPr>
              <w:t xml:space="preserve"> в </w:t>
            </w:r>
            <w:proofErr w:type="spellStart"/>
            <w:r w:rsidRPr="004F0199">
              <w:rPr>
                <w:rFonts w:ascii="Arial" w:hAnsi="Arial" w:cs="Arial"/>
              </w:rPr>
              <w:t>капітальній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будівлі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обладнана</w:t>
            </w:r>
            <w:proofErr w:type="spellEnd"/>
            <w:r w:rsidRPr="004F0199">
              <w:rPr>
                <w:rFonts w:ascii="Arial" w:hAnsi="Arial" w:cs="Arial"/>
              </w:rPr>
              <w:t xml:space="preserve"> сейфами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шафами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прикріпленими</w:t>
            </w:r>
            <w:proofErr w:type="spellEnd"/>
            <w:r w:rsidRPr="004F0199">
              <w:rPr>
                <w:rFonts w:ascii="Arial" w:hAnsi="Arial" w:cs="Arial"/>
              </w:rPr>
              <w:t xml:space="preserve"> до </w:t>
            </w:r>
            <w:proofErr w:type="spellStart"/>
            <w:r w:rsidRPr="004F0199">
              <w:rPr>
                <w:rFonts w:ascii="Arial" w:hAnsi="Arial" w:cs="Arial"/>
              </w:rPr>
              <w:t>підлоги</w:t>
            </w:r>
            <w:proofErr w:type="spellEnd"/>
            <w:r w:rsidRPr="004F0199">
              <w:rPr>
                <w:rFonts w:ascii="Arial" w:hAnsi="Arial" w:cs="Arial"/>
              </w:rPr>
              <w:t xml:space="preserve"> (</w:t>
            </w:r>
            <w:proofErr w:type="spellStart"/>
            <w:r w:rsidRPr="004F0199">
              <w:rPr>
                <w:rFonts w:ascii="Arial" w:hAnsi="Arial" w:cs="Arial"/>
              </w:rPr>
              <w:t>стіни</w:t>
            </w:r>
            <w:proofErr w:type="spellEnd"/>
            <w:r w:rsidRPr="004F0199">
              <w:rPr>
                <w:rFonts w:ascii="Arial" w:hAnsi="Arial" w:cs="Arial"/>
              </w:rPr>
              <w:t>);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вхідні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двері</w:t>
            </w:r>
            <w:proofErr w:type="spellEnd"/>
            <w:r w:rsidRPr="004F0199">
              <w:rPr>
                <w:rFonts w:ascii="Arial" w:hAnsi="Arial" w:cs="Arial"/>
              </w:rPr>
              <w:t xml:space="preserve"> добре </w:t>
            </w:r>
            <w:proofErr w:type="spellStart"/>
            <w:r w:rsidRPr="004F0199">
              <w:rPr>
                <w:rFonts w:ascii="Arial" w:hAnsi="Arial" w:cs="Arial"/>
              </w:rPr>
              <w:t>підігнані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під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дверну</w:t>
            </w:r>
            <w:proofErr w:type="spellEnd"/>
            <w:r w:rsidRPr="004F0199">
              <w:rPr>
                <w:rFonts w:ascii="Arial" w:hAnsi="Arial" w:cs="Arial"/>
              </w:rPr>
              <w:t xml:space="preserve"> коробку, </w:t>
            </w:r>
            <w:proofErr w:type="spellStart"/>
            <w:r w:rsidRPr="004F0199">
              <w:rPr>
                <w:rFonts w:ascii="Arial" w:hAnsi="Arial" w:cs="Arial"/>
              </w:rPr>
              <w:t>металеві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або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дерев’яні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повнотілі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мають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менше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двох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врізаних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несамозамикальних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замків</w:t>
            </w:r>
            <w:proofErr w:type="spellEnd"/>
            <w:r w:rsidRPr="004F0199">
              <w:rPr>
                <w:rFonts w:ascii="Arial" w:hAnsi="Arial" w:cs="Arial"/>
              </w:rPr>
              <w:t>;</w:t>
            </w:r>
          </w:p>
          <w:p w:rsidR="00B730EF" w:rsidRPr="004F0199" w:rsidRDefault="00B730EF" w:rsidP="004F0199">
            <w:pPr>
              <w:pStyle w:val="rvps2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4F0199">
              <w:rPr>
                <w:rFonts w:ascii="Arial" w:hAnsi="Arial" w:cs="Arial"/>
              </w:rPr>
              <w:t>віконні</w:t>
            </w:r>
            <w:proofErr w:type="spellEnd"/>
            <w:r w:rsidRPr="004F0199">
              <w:rPr>
                <w:rFonts w:ascii="Arial" w:hAnsi="Arial" w:cs="Arial"/>
              </w:rPr>
              <w:t xml:space="preserve"> отвори </w:t>
            </w:r>
            <w:proofErr w:type="spellStart"/>
            <w:r w:rsidRPr="004F0199">
              <w:rPr>
                <w:rFonts w:ascii="Arial" w:hAnsi="Arial" w:cs="Arial"/>
              </w:rPr>
              <w:t>приміщень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обладнані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металевими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ґратами</w:t>
            </w:r>
            <w:proofErr w:type="spellEnd"/>
            <w:r w:rsidRPr="004F0199">
              <w:rPr>
                <w:rFonts w:ascii="Arial" w:hAnsi="Arial" w:cs="Arial"/>
              </w:rPr>
              <w:t xml:space="preserve">. </w:t>
            </w:r>
            <w:proofErr w:type="spellStart"/>
            <w:r w:rsidRPr="004F0199">
              <w:rPr>
                <w:rFonts w:ascii="Arial" w:hAnsi="Arial" w:cs="Arial"/>
              </w:rPr>
              <w:t>Допускається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використання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декоративних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чи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жалюзі</w:t>
            </w:r>
            <w:proofErr w:type="spellEnd"/>
            <w:r w:rsidRPr="004F0199">
              <w:rPr>
                <w:rFonts w:ascii="Arial" w:hAnsi="Arial" w:cs="Arial"/>
              </w:rPr>
              <w:t xml:space="preserve">, </w:t>
            </w:r>
            <w:proofErr w:type="spellStart"/>
            <w:r w:rsidRPr="004F0199">
              <w:rPr>
                <w:rFonts w:ascii="Arial" w:hAnsi="Arial" w:cs="Arial"/>
              </w:rPr>
              <w:t>які</w:t>
            </w:r>
            <w:proofErr w:type="spellEnd"/>
            <w:r w:rsidRPr="004F0199">
              <w:rPr>
                <w:rFonts w:ascii="Arial" w:hAnsi="Arial" w:cs="Arial"/>
              </w:rPr>
              <w:t xml:space="preserve"> за </w:t>
            </w:r>
            <w:proofErr w:type="spellStart"/>
            <w:r w:rsidRPr="004F0199">
              <w:rPr>
                <w:rFonts w:ascii="Arial" w:hAnsi="Arial" w:cs="Arial"/>
              </w:rPr>
              <w:t>міцністю</w:t>
            </w:r>
            <w:proofErr w:type="spellEnd"/>
            <w:r w:rsidRPr="004F0199">
              <w:rPr>
                <w:rFonts w:ascii="Arial" w:hAnsi="Arial" w:cs="Arial"/>
              </w:rPr>
              <w:t xml:space="preserve"> не </w:t>
            </w:r>
            <w:proofErr w:type="spellStart"/>
            <w:r w:rsidRPr="004F0199">
              <w:rPr>
                <w:rFonts w:ascii="Arial" w:hAnsi="Arial" w:cs="Arial"/>
              </w:rPr>
              <w:t>поступаються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зазначеним</w:t>
            </w:r>
            <w:proofErr w:type="spellEnd"/>
            <w:r w:rsidRPr="004F0199">
              <w:rPr>
                <w:rFonts w:ascii="Arial" w:hAnsi="Arial" w:cs="Arial"/>
              </w:rPr>
              <w:t xml:space="preserve"> </w:t>
            </w:r>
            <w:proofErr w:type="spellStart"/>
            <w:r w:rsidRPr="004F0199">
              <w:rPr>
                <w:rFonts w:ascii="Arial" w:hAnsi="Arial" w:cs="Arial"/>
              </w:rPr>
              <w:t>ґратам</w:t>
            </w:r>
            <w:proofErr w:type="spellEnd"/>
            <w:r w:rsidRPr="004F0199">
              <w:rPr>
                <w:rFonts w:ascii="Arial" w:hAnsi="Arial" w:cs="Arial"/>
              </w:rPr>
              <w:t>.</w:t>
            </w:r>
          </w:p>
          <w:p w:rsidR="00B730EF" w:rsidRPr="004F0199" w:rsidRDefault="00B730EF" w:rsidP="004F0199">
            <w:pPr>
              <w:pStyle w:val="a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F0199">
              <w:rPr>
                <w:rFonts w:ascii="Arial" w:hAnsi="Arial" w:cs="Arial"/>
                <w:sz w:val="24"/>
                <w:szCs w:val="24"/>
              </w:rPr>
              <w:t xml:space="preserve">Приміщення обладнані засобами автономної сигналізації, що захищають сейфи (металеві шафи), що використовуються для зберігання, з обладнанням місцевими звуковими і світловими сигналізаторами, крім </w:t>
            </w:r>
            <w:r w:rsidRPr="004F0199">
              <w:rPr>
                <w:rFonts w:ascii="Arial" w:hAnsi="Arial" w:cs="Arial"/>
                <w:b/>
                <w:sz w:val="24"/>
                <w:szCs w:val="24"/>
              </w:rPr>
              <w:t xml:space="preserve"> фельдшерсько-акушерських пунктів,  амбулаторій  загальної практики - сімейної медицини,дільничних лікарень,  бригад екстреної медичної допомоги де зберігаються ампули наркотичних засобів та психотропних речовин к кількості, що не перевищує 10 штук.</w:t>
            </w:r>
          </w:p>
        </w:tc>
      </w:tr>
    </w:tbl>
    <w:p w:rsidR="00B730EF" w:rsidRPr="004F0199" w:rsidRDefault="00B730EF" w:rsidP="00945434">
      <w:pPr>
        <w:spacing w:before="200"/>
        <w:ind w:firstLine="709"/>
        <w:rPr>
          <w:rFonts w:cs="Arial"/>
          <w:b/>
          <w:szCs w:val="24"/>
        </w:rPr>
      </w:pPr>
    </w:p>
    <w:sectPr w:rsidR="00B730EF" w:rsidRPr="004F0199" w:rsidSect="00262D18">
      <w:pgSz w:w="11906" w:h="16838"/>
      <w:pgMar w:top="851" w:right="737" w:bottom="426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38"/>
    <w:rsid w:val="00043F35"/>
    <w:rsid w:val="00084B24"/>
    <w:rsid w:val="000B55A0"/>
    <w:rsid w:val="001F20C0"/>
    <w:rsid w:val="00262D18"/>
    <w:rsid w:val="0044298E"/>
    <w:rsid w:val="004F0199"/>
    <w:rsid w:val="004F7DCF"/>
    <w:rsid w:val="005111DB"/>
    <w:rsid w:val="00565079"/>
    <w:rsid w:val="00580EEB"/>
    <w:rsid w:val="00595526"/>
    <w:rsid w:val="00617C70"/>
    <w:rsid w:val="0062281C"/>
    <w:rsid w:val="006721DE"/>
    <w:rsid w:val="006C67FF"/>
    <w:rsid w:val="006D16A6"/>
    <w:rsid w:val="007D30C2"/>
    <w:rsid w:val="00827967"/>
    <w:rsid w:val="008E6C78"/>
    <w:rsid w:val="00900D9C"/>
    <w:rsid w:val="00945434"/>
    <w:rsid w:val="00952661"/>
    <w:rsid w:val="00A74D2F"/>
    <w:rsid w:val="00A84138"/>
    <w:rsid w:val="00B730EF"/>
    <w:rsid w:val="00B81429"/>
    <w:rsid w:val="00C06A53"/>
    <w:rsid w:val="00D247A4"/>
    <w:rsid w:val="00D91C1E"/>
    <w:rsid w:val="00EA7299"/>
    <w:rsid w:val="00ED30A6"/>
    <w:rsid w:val="00F60E40"/>
    <w:rsid w:val="00F72615"/>
    <w:rsid w:val="00FB4663"/>
    <w:rsid w:val="00FB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5D462E-FB27-416E-A835-70397799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semiHidden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D16A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16A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D16A6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val="ru-RU" w:eastAsia="ru-RU"/>
    </w:rPr>
  </w:style>
  <w:style w:type="paragraph" w:styleId="20">
    <w:name w:val="Body Text Indent 2"/>
    <w:basedOn w:val="Standard"/>
    <w:link w:val="21"/>
    <w:rsid w:val="000B55A0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1">
    <w:name w:val="Основний текст з відступом 2 Знак"/>
    <w:basedOn w:val="a0"/>
    <w:link w:val="20"/>
    <w:rsid w:val="000B55A0"/>
    <w:rPr>
      <w:kern w:val="3"/>
      <w:sz w:val="28"/>
      <w:szCs w:val="28"/>
      <w:lang w:eastAsia="ru-RU"/>
    </w:rPr>
  </w:style>
  <w:style w:type="paragraph" w:styleId="a9">
    <w:name w:val="No Spacing"/>
    <w:uiPriority w:val="1"/>
    <w:qFormat/>
    <w:rsid w:val="00C06A5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semiHidden/>
    <w:unhideWhenUsed/>
    <w:rsid w:val="00B730EF"/>
    <w:rPr>
      <w:color w:val="0000FF"/>
      <w:u w:val="single"/>
    </w:rPr>
  </w:style>
  <w:style w:type="paragraph" w:customStyle="1" w:styleId="rvps6">
    <w:name w:val="rvps6"/>
    <w:basedOn w:val="a"/>
    <w:rsid w:val="00B730EF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ru-RU" w:eastAsia="ru-RU"/>
    </w:rPr>
  </w:style>
  <w:style w:type="paragraph" w:customStyle="1" w:styleId="rvps2">
    <w:name w:val="rvps2"/>
    <w:basedOn w:val="a"/>
    <w:rsid w:val="00B730EF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ru-RU" w:eastAsia="ru-RU"/>
    </w:rPr>
  </w:style>
  <w:style w:type="character" w:customStyle="1" w:styleId="rvts9">
    <w:name w:val="rvts9"/>
    <w:basedOn w:val="a0"/>
    <w:rsid w:val="00B730EF"/>
  </w:style>
  <w:style w:type="character" w:customStyle="1" w:styleId="rvts23">
    <w:name w:val="rvts23"/>
    <w:basedOn w:val="a0"/>
    <w:rsid w:val="00B730EF"/>
  </w:style>
  <w:style w:type="table" w:styleId="ab">
    <w:name w:val="Table Grid"/>
    <w:basedOn w:val="a1"/>
    <w:rsid w:val="00B73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B730E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770-2000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770-200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ain\Dovidnyky\Blanky\&#1056;i&#1096;&#1077;&#1085;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Рiшен-.dot</Template>
  <TotalTime>4</TotalTime>
  <Pages>1</Pages>
  <Words>5861</Words>
  <Characters>3342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Обласна рада</Company>
  <LinksUpToDate>false</LinksUpToDate>
  <CharactersWithSpaces>9185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</dc:creator>
  <cp:lastModifiedBy>User</cp:lastModifiedBy>
  <cp:revision>6</cp:revision>
  <cp:lastPrinted>2017-07-03T07:27:00Z</cp:lastPrinted>
  <dcterms:created xsi:type="dcterms:W3CDTF">2017-07-03T07:26:00Z</dcterms:created>
  <dcterms:modified xsi:type="dcterms:W3CDTF">2017-07-07T12:47:00Z</dcterms:modified>
</cp:coreProperties>
</file>