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1E" w:rsidRPr="00E80D1E" w:rsidRDefault="00E80D1E" w:rsidP="00E80D1E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n4"/>
      <w:bookmarkEnd w:id="0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НАЦІОНАЛЬНА КОМІ</w:t>
      </w:r>
      <w:proofErr w:type="gramStart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proofErr w:type="gramStart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proofErr w:type="gramEnd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ЩО ЗДІЙСНЮЄ ДЕРЖАВНЕ РЕГУЛЮВАННЯ У СФЕРІ ЗВ’ЯЗКУ ТА ІНФОРМАТИЗАЦІЇ</w:t>
      </w:r>
    </w:p>
    <w:p w:rsidR="00E80D1E" w:rsidRPr="00E80D1E" w:rsidRDefault="00E80D1E" w:rsidP="00E80D1E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gramStart"/>
      <w:r w:rsidRPr="00E80D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ІШЕННЯ</w:t>
      </w:r>
    </w:p>
    <w:p w:rsidR="00E80D1E" w:rsidRPr="00E80D1E" w:rsidRDefault="00E80D1E" w:rsidP="00E80D1E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31.07.2015  № 394</w:t>
      </w:r>
    </w:p>
    <w:p w:rsidR="00E80D1E" w:rsidRPr="00E80D1E" w:rsidRDefault="00E80D1E" w:rsidP="00E80D1E">
      <w:pPr>
        <w:shd w:val="clear" w:color="auto" w:fill="FFFFFF"/>
        <w:spacing w:before="300" w:after="450" w:line="240" w:lineRule="auto"/>
        <w:ind w:left="450" w:right="450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Зареєстровано в Міністерстві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юстиції України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 серпня 2015 р.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№ 1019/27464</w:t>
      </w:r>
    </w:p>
    <w:p w:rsidR="00E80D1E" w:rsidRPr="00E80D1E" w:rsidRDefault="00E80D1E" w:rsidP="00E80D1E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r w:rsidRPr="00E80D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 затвердження Порядку надання послуг перенесення номері</w:t>
      </w:r>
      <w:proofErr w:type="gramStart"/>
      <w:r w:rsidRPr="00E80D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</w:t>
      </w:r>
      <w:proofErr w:type="gramEnd"/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315"/>
      <w:bookmarkEnd w:id="2"/>
      <w:bookmarkEnd w:id="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{Заголовок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в редакції Рішення Національної комісії, що здійснює державне регулювання у сфері зв'язку та інформатизації </w:t>
      </w:r>
      <w:hyperlink r:id="rId7" w:anchor="n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125"/>
      <w:bookmarkEnd w:id="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{Із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ішеннями Національної комісії, що здійснює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державне регулювання у сфері зв'язку та інформатизації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8" w:anchor="n2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№ 607 від 28.11.2017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9" w:anchor="n2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№ 561 від 26.11.2019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0" w:anchor="n2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1" w:anchor="n2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n5"/>
      <w:bookmarkEnd w:id="4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статей 18, 32, 39 </w:t>
      </w:r>
      <w:hyperlink r:id="rId12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Закону України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«Про телекомунікації», </w:t>
      </w:r>
      <w:hyperlink r:id="rId13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Положення про Національну комісію, що здійснює державне регулювання у сфері зв’язку та інформатизації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затвердженого Указом Президента України від 23 листопада 2011 року № 1067, Національна комісія, що здійснює державне регулювання у сфері зв’язку та інформатизац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ії, </w:t>
      </w:r>
      <w:r w:rsidRPr="00E80D1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eastAsia="ru-RU"/>
        </w:rPr>
        <w:t>ВИРІШИЛА: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n318"/>
      <w:bookmarkEnd w:id="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 </w:t>
      </w:r>
      <w:hyperlink r:id="rId14" w:anchor="n12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Порядок надання послуг перенесення номерів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додається.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n319"/>
      <w:bookmarkEnd w:id="6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15" w:anchor="n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n7"/>
      <w:bookmarkEnd w:id="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Департаменту зв’язку в установленому законодавством порядку подати це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на державну реєстрацію до Міністерства юстиції України.</w:t>
      </w:r>
    </w:p>
    <w:p w:rsid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8" w:name="n8"/>
      <w:bookmarkEnd w:id="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Це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 набирає чинності з дня його офіційного опублікування.</w:t>
      </w:r>
    </w:p>
    <w:p w:rsid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Голова НКРЗІ</w:t>
      </w: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</w:t>
      </w:r>
      <w:r w:rsidRPr="00E80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 Животовський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1685"/>
        <w:gridCol w:w="3744"/>
      </w:tblGrid>
      <w:tr w:rsidR="00E80D1E" w:rsidRPr="00E80D1E" w:rsidTr="00E80D1E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n9"/>
            <w:bookmarkEnd w:id="9"/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D1E" w:rsidRPr="00E80D1E" w:rsidTr="00E80D1E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n124"/>
            <w:bookmarkEnd w:id="10"/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ПОГОДЖЕНО: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Голова</w:t>
            </w:r>
            <w:proofErr w:type="gramStart"/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ержавної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регуляторної служби України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Голова Державної служби спеціального зв'язку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 захисту інформації України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Голова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Антимонопольного комітету України</w:t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К.М. Ляпіна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Л.О. Євдоченко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Ю.О. Терентьє</w:t>
            </w:r>
            <w:proofErr w:type="gramStart"/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</w:tbl>
    <w:p w:rsidR="00E80D1E" w:rsidRPr="00E80D1E" w:rsidRDefault="00E80D1E" w:rsidP="00E80D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n123"/>
      <w:bookmarkEnd w:id="1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E80D1E" w:rsidRPr="00E80D1E" w:rsidTr="00E80D1E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n10"/>
            <w:bookmarkEnd w:id="12"/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ЗАТВЕРДЖЕНО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ішення Національної комісії,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що здійснює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державне регулювання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 сфері зв’язку та інформатизації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31.07.2015  № 394</w:t>
            </w:r>
          </w:p>
        </w:tc>
      </w:tr>
      <w:tr w:rsidR="00E80D1E" w:rsidRPr="00E80D1E" w:rsidTr="00E80D1E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n11"/>
            <w:bookmarkEnd w:id="13"/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Зареєстровано в Міністерстві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юстиції України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серпня 2015 р.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№ 1019/27464</w:t>
            </w:r>
          </w:p>
        </w:tc>
      </w:tr>
    </w:tbl>
    <w:p w:rsidR="00E80D1E" w:rsidRPr="00E80D1E" w:rsidRDefault="00E80D1E" w:rsidP="00E80D1E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n12"/>
      <w:bookmarkEnd w:id="14"/>
      <w:r w:rsidRPr="00E80D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ПОРЯДОК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0D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надання послуг перенесення номері</w:t>
      </w:r>
      <w:proofErr w:type="gramStart"/>
      <w:r w:rsidRPr="00E80D1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</w:t>
      </w:r>
      <w:proofErr w:type="gramEnd"/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n320"/>
      <w:bookmarkEnd w:id="1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{Заголовок Порядку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16" w:anchor="n1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n561"/>
      <w:bookmarkEnd w:id="16"/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{У тексті Порядку слово «телекомунікаційні» в усіх відмінках замінено словами «електронні комунікаційні» у відповідних відмінках;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слово «абонентський» у всіх відмінках і числах виключено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7" w:anchor="n18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13"/>
      <w:bookmarkEnd w:id="17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Загальні положення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323"/>
      <w:bookmarkEnd w:id="1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Цей Порядок встановлює та врегульовує механізм надання послуг перенесення номері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(далі - ППН).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n324"/>
      <w:bookmarkEnd w:id="1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 розділу 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18" w:anchor="n2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n17"/>
      <w:bookmarkEnd w:id="2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 цьому Порядку терміни вживаються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значеннях: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n18"/>
      <w:bookmarkEnd w:id="21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 - організація, яка визначена відповідно до законодавства для здійснення централізованого технічного адміністрування перенесених номерів;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n326"/>
      <w:bookmarkEnd w:id="22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другий пункту 2 розділу 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9" w:anchor="n2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n329"/>
      <w:bookmarkEnd w:id="2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базове надання електронних комунікаційних послуг - надання електронних комунікаційних послуг абоненту постачальником електронних комунікаційних послуг, які абонент отримує на момент подання заяви на ППН;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n129"/>
      <w:bookmarkEnd w:id="2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третій пункту 2 розділу 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ішенням Національної комісії, що здійснює державне регулювання у сфері зв'язку та </w:t>
      </w:r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інформатизації </w:t>
      </w:r>
      <w:hyperlink r:id="rId20" w:anchor="n1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21" w:anchor="n2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n333"/>
      <w:bookmarkEnd w:id="2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базовий постачальник - постачальник електронних комунікаційних послуг, який забезпечує базове надання електронних комунікаційних послуг на власній електронній комунікаційній мережі, або на електронній комунікаційній мережі іншого постачальника електронних комунікаційних послуг;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n334"/>
      <w:bookmarkEnd w:id="26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четвертий пункту 2 розділу 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22" w:anchor="n2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27" w:name="n335"/>
      <w:bookmarkEnd w:id="2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п'ятий пункту 2 розділу I виключено на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ідставі Рішення Національної комісії, що здійснює державне регулювання у сфері зв'язку та інформатизації </w:t>
      </w:r>
      <w:hyperlink r:id="rId23" w:anchor="n2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n338"/>
      <w:bookmarkEnd w:id="2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знеособлений абонент - абонент, який отримує електронні комунікаційні послуги без укладення договору в письмовій формі, та не ідентифікований постачальником електронних комунікаційних послуг у встановленому регуляторним органом порядку;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n143"/>
      <w:bookmarkEnd w:id="2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 розділу I доповнено терміном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24" w:anchor="n2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25" w:anchor="n3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n342"/>
      <w:bookmarkEnd w:id="3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ідентифікований абонент - абонент, який отримує електронні комунікаційні послуги без укладення договору в письмовій формі, та ідентифікований постачальником електронних комунікаційних послуг у встановленому регуляторним органом порядку;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n144"/>
      <w:bookmarkEnd w:id="3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 розділу I доповнено терміном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26" w:anchor="n2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27" w:anchor="n3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n140"/>
      <w:bookmarkEnd w:id="3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контрактний абонент - абонент, який отримує електронні комунікаційні послуги на умовах письмового договору про надання електронних комунікаційних послуг;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n145"/>
      <w:bookmarkEnd w:id="33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 розділу I доповнено терміном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28" w:anchor="n2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n21"/>
      <w:bookmarkEnd w:id="34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локальна база даних перенесених номерів (далі - ЛБД) - копія централізованої бази даних або її частини, яка розміщена на власних ресурсах постачальника електронних комунікаційних мереж та/або постачальника електронних комунікаційних послуг (далі - постачальник електронних комунікаційних мереж та/або послуг) та використовується в операційних технологічних процесах встановлення з’єднання та/або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передачі повідомлення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перенесений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n130"/>
      <w:bookmarkEnd w:id="3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пункту 2 розділу 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ішеннями Національної комісії, що здійснює державне регулювання у сфері зв'язку та інформатизації </w:t>
      </w:r>
      <w:hyperlink r:id="rId29" w:anchor="n1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30" w:anchor="n34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n345"/>
      <w:bookmarkEnd w:id="3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постачальник-донор - постачальник електронних комунікаційних послуг, якому належать індивідуальні права на користування ресурсом нумерації та який надавав електронні комунікаційні послуги за номером з діапазону цього ресурсу нумерації до його перенесення;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n348"/>
      <w:bookmarkEnd w:id="3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дев'ятий пункту 2 розділу 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31" w:anchor="n3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n346"/>
      <w:bookmarkEnd w:id="3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постачальни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ініціатор - постачальник електронних комунікаційних послуг, з власної електронної комунікаційної мережі якого або з мережі, яку він використовує, ініціюється виклик та/або повідомлення на номер, у тому числі на перенесений;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n351"/>
      <w:bookmarkEnd w:id="3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десятий пункту 2 розділу 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32" w:anchor="n3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n347"/>
      <w:bookmarkEnd w:id="4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постачальник-отримувач - постачальник електронних комунікаційних послуг, якому подано заяву на ППН;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n131"/>
      <w:bookmarkEnd w:id="4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пункту 2 розділу 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33" w:anchor="n1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34" w:anchor="n3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n354"/>
      <w:bookmarkEnd w:id="4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постачальник-транзитер - постачальник електронних комунікаційних мереж та/або послуг, який забезпечує транзит трафіку від електронної комунікаційної мережі постачальник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ініціатора до електронної комунікаційної мережі постачальника-отримувача або іншого постачальника-транзитера, а у разі необхідності забезпечує запит до ЛБД або централізованої бази даних щодо отримання номера маршрутування;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n355"/>
      <w:bookmarkEnd w:id="43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дванадцятий пункту 2 розділу 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35" w:anchor="n3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44" w:name="n358"/>
      <w:bookmarkEnd w:id="4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тринадцятий пункту 2 розділу I виключено на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ідставі Рішення Національної комісії, що здійснює державне регулювання у сфері зв'язку та інформатизації </w:t>
      </w:r>
      <w:hyperlink r:id="rId36" w:anchor="n4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n26"/>
      <w:bookmarkEnd w:id="4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централізована база даних (далі - ЦБД) - єдина база даних, яка призначена для реалізації процесу перенесення номерів, періодичної синхронізації локальних баз даних та зберігання інформації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перенесені номери і їх номери маршрутування.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n363"/>
      <w:bookmarkEnd w:id="4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Дія цього Порядку поширюється на всіх постачальників електронних комунікаційних мереж та/або послуг, що надають послуги міжособистісних електронних комунікацій з використанням нумерації, організацію, яка визначена відповідно до законодавства для здійснення централізованого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ічного адміністрування перенесених номерів, і абонентів.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n150"/>
      <w:bookmarkEnd w:id="4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3 розділу 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37" w:anchor="n2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38" w:anchor="n4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n365"/>
      <w:bookmarkEnd w:id="4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Визначення організації, яка здійснює централізоване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ічне адміністрування перенесених номерів здійснюється відповідно до законодавства.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n368"/>
      <w:bookmarkEnd w:id="4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4 розділу 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39" w:anchor="n4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n366"/>
      <w:bookmarkEnd w:id="5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Строки початку впровадження ППН на електронній комунікаційній мережі загального користування, включаючи створення локальних баз даних постачальників електронних комунікаційних мереж та/або послуг та їх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ідключення до ЦБД, визначаються рішенням регуляторного органу.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n369"/>
      <w:bookmarkEnd w:id="5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5 розділу 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40" w:anchor="n4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n30"/>
      <w:bookmarkEnd w:id="5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Діяльність з централізованого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ічного адміністрування перенесених номерів після визначення відповідної організації може здійснюватись тільки після набуття цією організацією статусу постачальника електронних комунікаційних мереж та/або послуг.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n371"/>
      <w:bookmarkEnd w:id="53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перший пункту 6 розділу 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41" w:anchor="n4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n31"/>
      <w:bookmarkEnd w:id="54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здійснення діяльності з централізованого технічного адміністрування перенесених номерів адміністратор не може здійснювати інші дії щодо централізованого технічного адміністрування перенесених номерів, які не передбачені законодавством.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n32"/>
      <w:bookmarkEnd w:id="5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 не має права в односторонньому порядку припинити централізоване технічне адміністрування перенесених номерів до моменту забезпечення можливості здійснення такого адміністрування визначеним відповідно до законодавства новим адміністратором.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n374"/>
      <w:bookmarkEnd w:id="5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ППН надається кінцевим користувачам, які отримують електронні комунікаційні послуги на умовах письмового договору про надання електронних комунікаційних послуг або ідентифіковані постачальником електронних комунікаційних послуг у встановленому регуляторним органом порядку.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n126"/>
      <w:bookmarkEnd w:id="5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8 розділу 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42" w:anchor="n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607 від 28.11.2017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 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43" w:anchor="n2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44" w:anchor="n4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n34"/>
      <w:bookmarkEnd w:id="58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Порядок надання послуги перенесення номері</w:t>
      </w:r>
      <w:proofErr w:type="gramStart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n375"/>
      <w:bookmarkEnd w:id="5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{Заголовок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45" w:anchor="n5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n35"/>
      <w:bookmarkEnd w:id="6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Постачальник електронних комунікаційних послуг, що надає послуги міжособистісних електронних комунікацій з використанням нумерації, зобов’язаний надавати абонентам ППН,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ім випадків, визначених </w:t>
      </w:r>
      <w:hyperlink r:id="rId46" w:anchor="n284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27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n376"/>
      <w:bookmarkEnd w:id="6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47" w:anchor="n5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n381"/>
      <w:bookmarkEnd w:id="6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 електронних комунікаційних послуг, що надає послуги міжособистісних електронних комунікацій з використанням географічних номерів, повинен надавати абонентам ППН у межах території географічної зони нумерації відповідно до </w:t>
      </w:r>
      <w:hyperlink r:id="rId48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Національного плану нумерації України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затвердженого наказом Міністерства транспорту та зв’язку України від 23 листопада 2006 року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1105, зареєстрованого в Міністерстві юстиції України 07 грудня 2006 року за № 1284/13158 (із змінами).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n127"/>
      <w:bookmarkEnd w:id="63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49" w:anchor="n14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561 від 26.11.2019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50" w:anchor="n5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n382"/>
      <w:bookmarkEnd w:id="6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Постачальник електронних комунікаційних послуг, що надає послуги міжособистісних електронних комунікацій з використанням негеографічних номері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повинен надавати абонентам ППН у будь якому місці.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n128"/>
      <w:bookmarkEnd w:id="6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3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51" w:anchor="n15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561 від 26.11.2019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 в </w:t>
      </w:r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редакції Рішення Національної комісії, що здійснює державне регулювання у сфері зв'язку та інформатизації </w:t>
      </w:r>
      <w:hyperlink r:id="rId52" w:anchor="n5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n386"/>
      <w:bookmarkEnd w:id="6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 наданні ППН та електронних комунікаційних послуг абонентам за перенесеним номером постачальник електронних комунікаційних послуг (далі - постачальник послуг)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повинен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n387"/>
      <w:bookmarkEnd w:id="6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перший пункту 4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53" w:anchor="n5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n39"/>
      <w:bookmarkEnd w:id="6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1) інформувати абонентів через засоби масової інформації, веб-сайт, пункти обслуговування споживачів або у будь-який інший спосіб про умови і порядок надання ППН;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n390"/>
      <w:bookmarkEnd w:id="6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надавати електронні комунікаційні послуги абонентам із номерами з власного діапазону ресурсу нумерації та абонентам із перенесеними номерами на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івних та недискримінаційних умовах;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n391"/>
      <w:bookmarkEnd w:id="70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2 пункту 4 розділу II в редакції Рішення Національної комісії, що здійснює державне регулювання у сфері зв'язку та інформатизації </w:t>
      </w:r>
      <w:hyperlink r:id="rId54" w:anchor="n6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n156"/>
      <w:bookmarkEnd w:id="7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застосовувати вибрані абонентом тарифні плани, доступні для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ідключення на момент подання заяви на ППН;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n157"/>
      <w:bookmarkEnd w:id="72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3 пункту 4 розділу II в редакції Рішення Національної комісії, що здійснює державне регулювання у сфері зв'язку та інформатизації </w:t>
      </w:r>
      <w:hyperlink r:id="rId55" w:anchor="n3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n42"/>
      <w:bookmarkEnd w:id="7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забезпечувати відповідно до законодавства захист персональних даних про абонента, отриманих при замовленні чи наданні послуг;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n394"/>
      <w:bookmarkEnd w:id="7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вживати заході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недопущення несанкціонованого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доступу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власної ЛБД та наявної в ній інформації, дотримуватись вимог законодавства щодо захисту інформації в інформаційно-комунікаційних системах;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n397"/>
      <w:bookmarkEnd w:id="7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5 пункту 4 розділу II в редакції Рішення Національної комісії, що здійснює державне регулювання у сфері зв'язку та інформатизації </w:t>
      </w:r>
      <w:hyperlink r:id="rId56" w:anchor="n6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n395"/>
      <w:bookmarkEnd w:id="7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здійснювати маршрутизацію трафіку (викликів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голосового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зв’язку, коротких текстових повідомлень (SMS) та, за умови надання послуги, мультимедійних повідомлень (MMS)) на перенесені номери. У разі відсутності в постачальника послуг фіксованого зв’язку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ічної можливості прямої маршрутизації викликів на мережу постачальника-отримувача такий постачальник повинен забезпечити маршрутизацію викликів та повідомлень до мережі постачальника-донора;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n161"/>
      <w:bookmarkEnd w:id="7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6 пункту 4 розділу II в редакції Рішень Національної комісії, що здійснює державне регулювання у сфері зв'язку та інформатизації </w:t>
      </w:r>
      <w:hyperlink r:id="rId57" w:anchor="n3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58" w:anchor="n6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n164"/>
      <w:bookmarkEnd w:id="7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здійснювати інформування абонента при отриманні від нього заяви на ППН, в тому числі шляхом розміщення відповідної інформації на вебресурсах постачальників послуг, щодо необхідних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характеристик кінцевого обладнання, яке може використовуватись для отримання послуг у мережі постачальника-отримувача, а також у разі можливості про тип та умови придбання такого кінцевого обладнання.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n165"/>
      <w:bookmarkEnd w:id="7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7 пункту 4 розділу II в редакції Рішення Національної комісії, що здійснює державне регулювання у сфері зв'язку та інформатизації </w:t>
      </w:r>
      <w:hyperlink r:id="rId59" w:anchor="n3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60" w:anchor="n6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n402"/>
      <w:bookmarkEnd w:id="8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Базовий постачальник припиняє базове надання електронної комунікаційної послуги (послуг) та нарахування абонентної плати в момент завершення перенесення номера.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n170"/>
      <w:bookmarkEnd w:id="8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5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61" w:anchor="n3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62" w:anchor="n6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n403"/>
      <w:bookmarkEnd w:id="8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Постачальник послуг не може накладати обмеження на абонентів щодо можливості отримання ними ППН з будь-яких інших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ідстав, ніж визначених </w:t>
      </w:r>
      <w:hyperlink r:id="rId63" w:anchor="n284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27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розділу, у тому числі: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n404"/>
      <w:bookmarkEnd w:id="8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наявності невиконаних зобов’язань за договором про надання електронних комунікаційних послуг з базовим постачальником;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n405"/>
      <w:bookmarkEnd w:id="8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відсутності ідентифікації у базового постачальника, за умови наявності ідентифікації у постачальника-отримувача.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n176"/>
      <w:bookmarkEnd w:id="8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6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64" w:anchor="n4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65" w:anchor="n6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n48"/>
      <w:bookmarkEnd w:id="8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Постачальник-донор не має права присвоювати іншому абоненту перенесений номер до моменту отримання повідомлення від постачальника-отримувача про вивільнення цього номера.</w:t>
      </w:r>
      <w:proofErr w:type="gramEnd"/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n406"/>
      <w:bookmarkEnd w:id="8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7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66" w:anchor="n74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n411"/>
      <w:bookmarkEnd w:id="8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ісля припинення надання послуг в електронній комунікаційній мережі, в яку було перенесено номер, у разі якщо кінцевим користувачем не було здійснено інших перенесень відповідного номера, базовий постачальник (крім випадку, коли такий постачальник є постачальником-донором) не має права використовувати цей номер. Базовий постачальник, який надає послуги на мережі іншого постачальника,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повинен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повідомити постачальника на мережі якого він надає електронні комунікаційні послуги про вивільнення номера. Базовий постачальник на мережі якого надаються послуги повинен повідомити про вивільнення номера постачальника-донора та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 не пізніше ніж через 24 години після припинення надання електронних комунікаційних послуг абоненту.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n180"/>
      <w:bookmarkEnd w:id="8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8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67" w:anchor="n44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68" w:anchor="n7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n412"/>
      <w:bookmarkEnd w:id="9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Перед встановленням з’єднання з перенесеними номерами, які належать до діапазону ресурсу нумерації постачальник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ініціатора та використовуються для отримання електронних комунікаційних послуг у мережі іншого постачальника послуг, постачальник-ініціатор повідомляє абонента, що викликає, шляхом надання звукового сигналу із голосовим повідомленням (далі - уніфіковане повідомлення), про дзвінок на перенесений номер.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n413"/>
      <w:bookmarkEnd w:id="9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 зазначеного уніфікованого повідомлення здійснюється виключно постачальнико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ініціатором. У разі, якщо постачальнико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ініціатором виступає постачальник послуг фіксованого зв’язку або постачальник послуг іншої держави, то зазначене уніфіковане повідомлення постачальники послуг фіксованого зв’язку та/або постачальники-транзитери не надають.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n414"/>
      <w:bookmarkEnd w:id="92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Абонент має право подати звернення постачальнику послуг, в якого отримує електронні комунікаційні послуги, щодо припинення / відновлення надання йому уніфікованих повідомлень про дзвінок на перенесений номер при здійсненні ним викликів. У разі звернення такого абонента, що надійшло письмово або дистанційно за допомогою власного кінцевого обладнання, у тому числі шляхом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надсилання короткого текстового повідомлення, USSD запиту, постачальни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ініціатор за наявності технічної можливості припиняє/відновлює надання повідомлень абоненту, що викликає, про дзвінок на перенесений номер.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n415"/>
      <w:bookmarkEnd w:id="9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уніфікованого повідомлення абоненті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дзвінки на перенесені номери наведено у </w:t>
      </w:r>
      <w:hyperlink r:id="rId69" w:anchor="n310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додатку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цього Порядку.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n187"/>
      <w:bookmarkEnd w:id="9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9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70" w:anchor="n4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71" w:anchor="n7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n52"/>
      <w:bookmarkEnd w:id="9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 забезпечує використання ЦБД всіма суб’єктами господарювання, які використовують дані про номери у своїх технологічних процесах, на рівній і недискримінаційній основі.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n53"/>
      <w:bookmarkEnd w:id="9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 підтримує інформаційний обмін між постачальниками послуг при наданні ППН та фіксує стан процесу перенесення номера. Інформація про стан процесу перенесення, а також перенесені номери та їх номери маршрутування зберігається в ЦБД.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n416"/>
      <w:bookmarkEnd w:id="9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11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72" w:anchor="n8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n419"/>
      <w:bookmarkEnd w:id="9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12. У разі відсутності у постачальник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ініціатора технічної можливості прямої маршрутизації викликів та/або повідомлень на електронну комунікаційну мережу постачальника-отримувача (обладнання мережі постачальника-ініціатора не підтримує взаємодію з ЦБД та/або ЛБД), такий постачальник повинен забезпечити маршрутизацію трафіка або передачу повідомлення до мережі постачальника-транзитера, який забезпечує їх подальшу маршрутизацію до мережі постачальника-отримувача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основі даних, що отримуються з ЦБД та/або ЛБД.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n191"/>
      <w:bookmarkEnd w:id="9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12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73" w:anchor="n5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74" w:anchor="n84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n422"/>
      <w:bookmarkEnd w:id="10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ненадання або неналежного надання ППН абонент звертається до постачальника-отримувача. Організація ППН здійснюється постачальником-отримувачем, який у взаємодії з постачальником-донором, базовим постачальником,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іністратором забезпечує спільне усунення проблем, що перешкоджають отриманню абонентом ППН.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1" w:name="n423"/>
      <w:bookmarkEnd w:id="10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{Абзац перший пункту 13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75" w:anchor="n8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2" w:name="n195"/>
      <w:bookmarkEnd w:id="102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оперативного усунення проблем, що перешкоджають отриманню абонентом ППН, сторони повинні, поміж іншого, організувати електронні канали взаємодії, з дотриманням вимог законодавства щодо захисту персональних даних, для обміну повідомленнями між всіма сторонами, що приймають участь у перенесенні номера. Строк відповіді сторін на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електронні канали взаємодії не повинен перевищувати 2 робочі години.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n196"/>
      <w:bookmarkEnd w:id="103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13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76" w:anchor="n5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n426"/>
      <w:bookmarkEnd w:id="10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Постачальник-отримувач роз’яснює абоненту: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n427"/>
      <w:bookmarkEnd w:id="10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його права та обов’язки;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n428"/>
      <w:bookmarkEnd w:id="10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 надання електронних комунікаційних послуг за обраним тарифним планом;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n429"/>
      <w:bookmarkEnd w:id="10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та умови надання ППН, зазначаючи період часу, протягом якого не надаватимуться електронні комунікаційні послуги за відповідним номером, та конкретний момент завершення перенесення цього номера;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n430"/>
      <w:bookmarkEnd w:id="108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 чином знеособленому абоненту можливо повернути невикористані кошти від базового постачальника, а саме щодо необхідності його ідентифікації у такого постачальника, перед отриманням ППН, та наявності для цього активної ідентифікаційної картки базового постачальника.</w:t>
      </w:r>
      <w:proofErr w:type="gramEnd"/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n453"/>
      <w:bookmarkEnd w:id="10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14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77" w:anchor="n8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n431"/>
      <w:bookmarkEnd w:id="11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Абонент, який бажає отримати ППН, звертається до постачальника-отримувача із заявою, оформленою одним з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способів: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n432"/>
      <w:bookmarkEnd w:id="11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письмовому вигляді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обслуговування абонентів постачальника-отримувача;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n433"/>
      <w:bookmarkEnd w:id="11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дистанційно з використанням засобів зв’язку за допомогою телефону або з заповненням інтерактивної форми заяви на офіційному вебсайті постачальника-отримувача.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n434"/>
      <w:bookmarkEnd w:id="11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заяві зазначаються: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n435"/>
      <w:bookmarkEnd w:id="11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номер (номери), перенесення якого (яких) вимагається;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n436"/>
      <w:bookmarkEnd w:id="11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найменування базового постачальника, якщо таким постачальником є юридична особа, або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ізвище, ім’я, по батькові (за наявності) фізичної особи, якщо таким постачальником є фізична особа - підприємець;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n437"/>
      <w:bookmarkEnd w:id="11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форма обслуговування у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постачальника (контрактний, ідентифікований, знеособлений абонент);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n438"/>
      <w:bookmarkEnd w:id="11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найменування постачальника-отримувача, якщо таким постачальником є юридична особа, або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ізвище, ім’я, по батькові (за наявності) фізичної особи, якщо таким постачальником є фізична особа - підприємець;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n439"/>
      <w:bookmarkEnd w:id="11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номер іншого телефону або адреса електронної пошти для зворотного зв’язку;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n440"/>
      <w:bookmarkEnd w:id="11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6) місцезнаходження / місце проживання, за яким абонент мережі фіксованого зв’язку планує отримувати електронні комунікаційні послуги з використанням перенесеного номера;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n441"/>
      <w:bookmarkEnd w:id="12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7) бажаний час перенесення номера (номерів);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1" w:name="n442"/>
      <w:bookmarkEnd w:id="12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обраний тариф та/або тарифний план постачальника-отримувача;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2" w:name="n443"/>
      <w:bookmarkEnd w:id="12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ідтвердження того, що заявникові відомі і зрозумілі умови: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3" w:name="n444"/>
      <w:bookmarkEnd w:id="12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 електронних комунікаційних послуг за обраним тарифним планом;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4" w:name="n445"/>
      <w:bookmarkEnd w:id="12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повернення невикористаних коштів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 базового постачальника, а саме щодо необхідності ідентифікації абонента у такого постачальника, перед отриманням ППН, та наявності для цього активної ідентифікаційної картки базового постачальника.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n446"/>
      <w:bookmarkEnd w:id="12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поданні заяви на ППН знеособлений абонент мобільного зв’язку має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ідтвердити право користування номером, на перенесення якого подана заява, шляхом зазначення у 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заяві одноразового пароля, надісланого постачальником-отримувачем на номер, за яким отримуються електронні комунікаційні послуги у базового постачальника і на перенесення якого подана заява.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6" w:name="n447"/>
      <w:bookmarkEnd w:id="12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Одразу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отримання заяви на ППН постачальник-отримувач має встановити з’єднання з термінальним (кінцевим) обладнанням цього знеособленого абонента за номером, на перенесення якого подана заява, для обміну інформацією голосом у реальному часі та отримати голосове підтвердження згоди такого абонента на отримання ППН.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7" w:name="n448"/>
      <w:bookmarkEnd w:id="12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Абонент - фізична особа вказує в заяві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ізвище, ім’я, по батькові (за наявності), місце проживання, серію (за наявності), номер паспорта або іншого документа, що посвідчує особу.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8" w:name="n449"/>
      <w:bookmarkEnd w:id="12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Абонент - фізична особа-підприємець вказує в заяві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ізвище, ім’я, по батькові (за наявності), місце проживання, серію (за наявності), номер паспорта або іншого документа, що посвідчує особу, та за наявності реєстраційний номер облікової картки платника податків.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n450"/>
      <w:bookmarkEnd w:id="12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Абонент - юридична особа вказує в заяві повне найменування, місцезнаходження та ідентифікаційний код згідно з Єдиним державним реєстром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 та організацій України.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0" w:name="n451"/>
      <w:bookmarkEnd w:id="13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Уповноважена особа абонента повинна пред’явити оригінал документа, що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ідтверджує повноваження на здійснення перенесення номера (номерів).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1" w:name="n226"/>
      <w:bookmarkEnd w:id="13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15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78" w:anchor="n6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79" w:anchor="n8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n456"/>
      <w:bookmarkEnd w:id="13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16. Якщо абонент планує отримувати електронні комунікаційні послуги: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3" w:name="n457"/>
      <w:bookmarkEnd w:id="13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ідставі укладеного в письмовій формі договору, то він додатково до інформації, зазначеної в </w:t>
      </w:r>
      <w:hyperlink r:id="rId80" w:anchor="n431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пункті 15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розділу, надає відомості, передбачені законодавством для укладення договору про надання електронних комунікаційних послуг, у письмовій формі;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4" w:name="n458"/>
      <w:bookmarkEnd w:id="13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укладання договору в письмовій формі, то він одночасно з поданням інформації, зазначеної в </w:t>
      </w:r>
      <w:hyperlink r:id="rId81" w:anchor="n431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пункті 15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цього розділу, додатково подає постачальнику-отримувачу заяву про ідентифікацію відповідно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встановленого регуляторним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5" w:name="n232"/>
      <w:bookmarkEnd w:id="13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16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82" w:anchor="n8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83" w:anchor="n8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6" w:name="n461"/>
      <w:bookmarkEnd w:id="13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При надходженні заяви до постачальника-отримувача від абонента про отримання ППН: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n462"/>
      <w:bookmarkEnd w:id="13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постачальник-отримувач виконує наступні заходи: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8" w:name="n463"/>
      <w:bookmarkEnd w:id="138"/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іряє повноту та достовірність відомостей, які передбачені </w:t>
      </w:r>
      <w:hyperlink r:id="rId84" w:anchor="n431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15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5" w:anchor="n456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16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9" w:name="n464"/>
      <w:bookmarkEnd w:id="13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фіксує дату та час отримання заяви;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0" w:name="n465"/>
      <w:bookmarkEnd w:id="14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 ідентифікацію абонента, який планує отримувати електронні комунікаційні послуги без укладення договору в письмовій формі, відповідно до встановленого регуляторним органом порядку;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1" w:name="n466"/>
      <w:bookmarkEnd w:id="14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укладає догові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абонентом, який планує отримувати електронні комунікаційні послуги на підставі укладеного в письмовій формі договору, що набуває чинності в момент завершення перенесення номера;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2" w:name="n467"/>
      <w:bookmarkEnd w:id="14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можливості, одразу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ідентифікації абонента або укладення з ним договору надає абоненту мобільного зв’язку ідентифікаційну картку, яка буде активована після завершення перенесення номера та вартість якої визначає постачальник-отримувач;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3" w:name="n468"/>
      <w:bookmarkEnd w:id="14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постачальник-отримувач, який надає електронні комунікаційні послуги на мережі іншого постачальника-отримувача (власника мережі), повідомляє такому постачальнику інформацію, яка необхідна останньому для здійснення запиту до базового постачальника щодо можливості здійснення ППН відповідно до вимог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ідпунктів 3, 4 цього пункту;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4" w:name="n469"/>
      <w:bookmarkEnd w:id="14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постачальник-отримувач (власник мережі) робить запит до базового постачальника щодо можливості здійснення ППН за певним номером та повідомляє про це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5" w:name="n470"/>
      <w:bookmarkEnd w:id="14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 має містити: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6" w:name="n471"/>
      <w:bookmarkEnd w:id="14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номер, якщо абонент - фізична особа, що подав заяву на ППН є знеособленим абонентом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постачальника;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7" w:name="n472"/>
      <w:bookmarkEnd w:id="14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(номери) 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ізвище та ім’я фізичної особи, якщо абонент - фізична особа, що подав заяву на ППН є ідентифікованим або контрактним абонентом базового постачальника;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8" w:name="n473"/>
      <w:bookmarkEnd w:id="14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(номери) і реєстраційний номер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ікової картки платника податків (у разі відсутності реєстраційного номера, серію (за наявності), номер паспорта), якщо абонент, що подав заяву на ППН є фізичною особою</w:t>
      </w:r>
      <w:r w:rsidRPr="00E80D1E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підприємцем;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9" w:name="n474"/>
      <w:bookmarkEnd w:id="14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(номери) та ідентифікаційний код згідно з Єдиним державним реєстром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 та організацій України, якщо абонент, що подав заяву на ППН є юридичною особою;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0" w:name="n475"/>
      <w:bookmarkEnd w:id="15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базовий постачальник протягом 4 робочих годин з моменту отримання відповідного запиту постачальника-отримувача інформує постачальника-отримувача та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 про можливість надання ППН за певним номером або про підстави для відмови в перенесенні номера згідно з </w:t>
      </w:r>
      <w:hyperlink r:id="rId86" w:anchor="n284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27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розділу. В разі отримання запиту на ППН для абонента базового постачальника, який надає електронні комунікаційні послуги на іншій мережі, базовий постачальник (власник цієї мережі) взаємодіє з таким постачальником;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1" w:name="n476"/>
      <w:bookmarkEnd w:id="15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 пересилає постачальнику-отримувачу повідомлення базового постачальника про можливість надання ППН за певним номером або про підстави для відмови в перенесенні номера згідно з </w:t>
      </w:r>
      <w:hyperlink r:id="rId87" w:anchor="n284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27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цього розділу. У випадку ненадання повідомлення базовим постачальником протягом часу, визначеного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ідпунктом 4 цього пункту, надання ППН вважається можливим, і адміністратор повідомляє постачальника-отримувача та базового постачальника про можливість надання ППН;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2" w:name="n477"/>
      <w:bookmarkEnd w:id="15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постачальник-отримувач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отримання інформації від базового постачальника або адміністратора про можливість надання ППН за певним номером повідомляє абонента: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3" w:name="n478"/>
      <w:bookmarkEnd w:id="15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мобільного зв’язку - про можливість падання ППН, орієнтовний час активації вже отриманої ідентифікаційної картки,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необхідності час та місце для отримання ідентифікаційної картки, кінцевого обладнання;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4" w:name="n479"/>
      <w:bookmarkEnd w:id="15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фіксованого зв’язку - про можливість надання ППН та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необхідності час та місце отримання кінцевого обладнання;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5" w:name="n480"/>
      <w:bookmarkEnd w:id="15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постачальник-отримувач (власник мережі)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отримання інформації від базового постачальника або адміністратора про можливість надання ППН за певним номером повідомляє її постачальнику-отримувачу, який надає електронні комунікаційні послуги на його мережі, для повідомлення абоненту відповідно до вимог абзаців другого та третього підпункту 6 цього пункту;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6" w:name="n481"/>
      <w:bookmarkEnd w:id="15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у разі відмови у ППН постачальник-отримувач зобов’язаний повідомити абоненту відповідні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ідстави, передбачені </w:t>
      </w:r>
      <w:hyperlink r:id="rId88" w:anchor="n284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27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n482"/>
      <w:bookmarkEnd w:id="15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отримання повідомлення відповідно до підпунктів 6, 7 цього пункту абонент: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8" w:name="n483"/>
      <w:bookmarkEnd w:id="15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мобільного зв’язку повинен у визначений постачальником-отримувачем час і місце отримати ідентифікаційну картку, 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наявності вже отриманої - активувати її та за необхідності придбати кінцеве обладнання;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9" w:name="n484"/>
      <w:bookmarkEnd w:id="15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фіксованого зв’язку має за необхідності придбати кінцеве обладнання.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0" w:name="n259"/>
      <w:bookmarkEnd w:id="160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17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89" w:anchor="n8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90" w:anchor="n8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1" w:name="n487"/>
      <w:bookmarkEnd w:id="16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 випадку, якщо абонент мобільного зв’язку не отримав ідентифікаційну картку у визначений строк, надання ППН призупиняється. Якщо абонент не виконав зазначену дію протягом 30 календарних днів з дня подання заяви на ППН, то ця заява скасовується та абонент продовжує отримувати електронні комунікаційні послуги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постачальника.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2" w:name="n263"/>
      <w:bookmarkEnd w:id="162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18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ішень Національної комісії, що здійснює державне регулювання у сфері зв'язку та інформатизації </w:t>
      </w:r>
      <w:hyperlink r:id="rId91" w:anchor="n11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hyperlink r:id="rId92" w:anchor="n8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n490"/>
      <w:bookmarkEnd w:id="16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Постачальник-отримувач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виконання заходів, передбачених </w:t>
      </w:r>
      <w:hyperlink r:id="rId93" w:anchor="n461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17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 чи отримання інформації від постачальника-отримувача, який надає електронні комунікаційні послуги на його мережі, про виконання зазначених заходів, повідомляє базового постачальника та адміністратора про початок перенесення номера.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4" w:name="n264"/>
      <w:bookmarkEnd w:id="16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19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94" w:anchor="n11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95" w:anchor="n8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5" w:name="n88"/>
      <w:bookmarkEnd w:id="16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 повідомляє постачальника-отримувача та базового постачальника про готовність ЦБД для обслуговування перенесеного номера в мережі постачальника-отримувача або про відсутність технічної можливості надання ППН.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6" w:name="n491"/>
      <w:bookmarkEnd w:id="166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20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96" w:anchor="n144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7" w:name="n497"/>
      <w:bookmarkEnd w:id="16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Постачальник-отримувач (власник мережі) повідомляє постачальника-отримувача, який надає електронні комунікаційні послуги на його мережі, базового постачальника та абонента про конкретний момент завершення перенесення номера у зручний для абонента спосіб.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8" w:name="n498"/>
      <w:bookmarkEnd w:id="16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Постачальник-отримувач, який надає електронні комунікаційні послуги на іншій мережі, повідомляє абонента про конкретний момент завершення перенесення номера у зручний для абонента спосіб.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9" w:name="n265"/>
      <w:bookmarkEnd w:id="16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{Пункт 21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97" w:anchor="n114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98" w:anchor="n14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0" w:name="n500"/>
      <w:bookmarkEnd w:id="17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22. До завершення перенесення номера базовий постачальник зобов’язаний надавати електронні комунікаційні послуги абоненту, який подав заяву про перенесення номера, недискримінаційно, за встановленими показниками якості, за тарифами і на умовах, які були визначені договором про надання електронних комунікаційних послуг із цим абонентом.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1" w:name="n270"/>
      <w:bookmarkEnd w:id="17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22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99" w:anchor="n11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100" w:anchor="n14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72" w:name="n501"/>
      <w:bookmarkEnd w:id="172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23 розділу II виключено на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ідставі Рішення Національної комісії, що здійснює державне регулювання у сфері зв'язку та інформатизації </w:t>
      </w:r>
      <w:hyperlink r:id="rId101" w:anchor="n15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3" w:name="n504"/>
      <w:bookmarkEnd w:id="17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Порядок оплати і форма розрахунків за надання електронних комунікаційних послуг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завершення перенесення номера визначаються договором про надання електронних комунікаційних послуг відповідно до законодавства.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4" w:name="n276"/>
      <w:bookmarkEnd w:id="17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02" w:anchor="n12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103" w:anchor="n15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5" w:name="n508"/>
      <w:bookmarkEnd w:id="17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Перенесення номера відбувається протягом 1 робочого дня у мережах мобільного зв’язку та протягом 7 робочих днів у мережах фіксованого зв’язку з моменту реєстрації заяви, за винятком випадку, коли абонент вказує у заяві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ізніший строк перенесення номера (номерів), який не може перевищувати 30 днів.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6" w:name="n509"/>
      <w:bookmarkEnd w:id="17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наявності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ічної можливості здійснити перенесення номера у коротші строки, ніж передбачені абзацом першим цього пункту, адміністратор та постачальники послуг, що беруть участь у процесі перенесення цього номера, за згодою абонента, наданою постачальнику-отримувачу, можуть здійснювати таке перенесення у коротші строки.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7" w:name="n277"/>
      <w:bookmarkEnd w:id="17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04" w:anchor="n12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105" w:anchor="n15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8" w:name="n512"/>
      <w:bookmarkEnd w:id="17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Якщо перенесення номера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 фіксованого зв’язку пов’язане з необхідністю організації постачальником-отримувачем нової абонентської лінії, строк реалізації перенесення може бути встановлений до 24 робочих днів з моменту укладення договору з постачальником-отримувачем.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9" w:name="n513"/>
      <w:bookmarkEnd w:id="179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25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106" w:anchor="n15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0" w:name="n98"/>
      <w:bookmarkEnd w:id="18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26. Час, протягом якого абонент не буде отримувати електронні комунікаційні послуги за номером, який переноситься, не може перевищувати 3 годин.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1" w:name="n284"/>
      <w:bookmarkEnd w:id="18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27. Абоненту відмовляється у ППН, якщо: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2" w:name="n516"/>
      <w:bookmarkEnd w:id="18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абонент, який планує отримувати електронні комунікаційні послуги без укладення договору в письмовій формі, не подав постачальнику-отримувачу заяву про ідентифікацію відповідно до встановленого регуляторним органом порядку;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3" w:name="n519"/>
      <w:bookmarkEnd w:id="183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1 пункту 27 розділу II в редакції Рішення Національної комісії, що здійснює державне регулювання у сфері зв'язку та інформатизації </w:t>
      </w:r>
      <w:hyperlink r:id="rId107" w:anchor="n15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4" w:name="n517"/>
      <w:bookmarkEnd w:id="18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абонент, який планує отримувати електронні комунікаційні послуги на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ідставі укладеного в письмовій формі договору, що набуває чинності в момент завершення перенесення номера, не уклав такий договір з постачальником-отримувачем;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5" w:name="n521"/>
      <w:bookmarkEnd w:id="18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2 пункту 27 розділу II в редакції Рішення Національної комісії, що здійснює державне регулювання у сфері зв'язку та інформатизації </w:t>
      </w:r>
      <w:hyperlink r:id="rId108" w:anchor="n15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6" w:name="n287"/>
      <w:bookmarkEnd w:id="18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право користування номером, на перенесення якого подана заява, належить іншій особі, або якщо на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ідставах, визначених законодавством, за цим номером припинено надання послуг абоненту, який заявляє про бажання його перенести;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7" w:name="n524"/>
      <w:bookmarkEnd w:id="18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знеособленим абонентом мобільного зв’язку не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ідтверджено право користування номером, на перенесення якого подана заява, та/або не підтверджено згоду на отримання ППН, що передбачено </w:t>
      </w:r>
      <w:hyperlink r:id="rId109" w:anchor="n431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15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8" w:name="n527"/>
      <w:bookmarkEnd w:id="188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4 пункту 27 розділу II в редакції Рішення Національної комісії, що здійснює державне регулювання у сфері зв'язку та інформатизації </w:t>
      </w:r>
      <w:hyperlink r:id="rId110" w:anchor="n16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9" w:name="n525"/>
      <w:bookmarkEnd w:id="18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абонент, який бажає перенести номер,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перенесення номера подав заяву про перенесення цього самого номера іншому постачальнику-отримувачу;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0" w:name="n528"/>
      <w:bookmarkEnd w:id="190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5 пункту 27 розділу II в редакції Рішення Національної комісії, що здійснює державне регулювання у сфері зв'язку та інформатизації </w:t>
      </w:r>
      <w:hyperlink r:id="rId111" w:anchor="n16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1" w:name="n290"/>
      <w:bookmarkEnd w:id="19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останнього перенесення номера до дати наступного бажаного перенесення, зазначеної у заяві на ППН, не минуло 30 календарних днів;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2" w:name="n291"/>
      <w:bookmarkEnd w:id="19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абонентом у заяві про перенесення номера зазначено неповні та/або недостовірні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3" w:name="n292"/>
      <w:bookmarkEnd w:id="19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постачальник-отримувач не забезпечує надання послуг в населеному пункті, у якому абонент планує отримувати послуги з використанням перенесеного номера;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4" w:name="n529"/>
      <w:bookmarkEnd w:id="19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8 пункту 27 розділу II 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112" w:anchor="n16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5" w:name="n293"/>
      <w:bookmarkEnd w:id="19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у межах території географічної зони нумерації, в якій знаходиться номер абонента, що подав заяву на перенесення, не забезпечується процедура встановлення внутрішньозонових з’єднань з використанням семизначних зонових номерів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ідповідно до Плану переходу на перспективну систему нумерації телефонної мережі загального користування України, затвердженого наказом Міністерства транспорту та зв’язку України від 29 вересня 2008 року </w:t>
      </w:r>
      <w:hyperlink r:id="rId113" w:tgtFrame="_blank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№ 1200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зареєстрованого в Міністерстві юстиції України 22 жовтня 2008 року за № 1014/15705;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6" w:name="n531"/>
      <w:bookmarkEnd w:id="196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9 пункту 27 розділу II 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114" w:anchor="n16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7" w:name="n294"/>
      <w:bookmarkEnd w:id="197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номер мережі фіксованого зв’язку обслуговується аналоговою комутаційною станцією або комутаційною станцією, яка не забезпечує інформаційний обмін з ЛБД, ЦБД, що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ідтверджується повідомленням адміністратора;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8" w:name="n533"/>
      <w:bookmarkEnd w:id="198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10 пункту 27 розділу II 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115" w:anchor="n167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9" w:name="n295"/>
      <w:bookmarkEnd w:id="19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відсутня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ічна можливість організації нової абонентської лінії постачальником-отримувачем.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0" w:name="n535"/>
      <w:bookmarkEnd w:id="200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{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ідпункт 11 пункту 27 розділу II 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116" w:anchor="n168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1" w:name="n296"/>
      <w:bookmarkEnd w:id="201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117" w:anchor="n126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2" w:name="n538"/>
      <w:bookmarkEnd w:id="20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Абонент має право відмовитись від поданої ним заяви про перенесення номера, повідомивши про це постачальника-отримувача в такий самий спосіб, яким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заяву, у строк, що не перевищує половину строку на здійснення перенесення номера, зазначеного в </w:t>
      </w:r>
      <w:hyperlink r:id="rId118" w:anchor="n508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24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9" w:anchor="n512" w:history="1">
        <w:r w:rsidRPr="00E80D1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 цього розділу.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3" w:name="n297"/>
      <w:bookmarkEnd w:id="203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20" w:anchor="n13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121" w:anchor="n16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4" w:name="n542"/>
      <w:bookmarkEnd w:id="204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Взаєморозрахунки між постачальниками послуг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обслуговування абонентів з перенесеними номерами здійснюються за послуги пропуску трафіку відповідно до договорів про взаємоз’єднання, укладених між цими постачальниками.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5" w:name="n543"/>
      <w:bookmarkEnd w:id="205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29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122" w:anchor="n16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6" w:name="n111"/>
      <w:bookmarkEnd w:id="206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 забезпечує безоплатний електронний доступ регуляторного органу до інформації про перенесені номери, зокрема до статистичних даних, які необхідні для аналізу процесу надання ППН.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7" w:name="n545"/>
      <w:bookmarkEnd w:id="20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30 розділу II із змінами, внесеними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23" w:anchor="n172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8" w:name="n548"/>
      <w:bookmarkEnd w:id="208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Оплата послуг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іністратора встановлюється в установленому законодавством порядку на договірних засадах та здійснюється: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9" w:name="n549"/>
      <w:bookmarkEnd w:id="209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постачальником-отримувачем за кожне перенесення номера;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0" w:name="n550"/>
      <w:bookmarkEnd w:id="210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постачальниками послуг, які використовують ресурс нумерації, за доступ до інформації ЦБД з урахуванням кількості задіяного ресурсу нумерації та собівартості утримання ЦБД;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1" w:name="n551"/>
      <w:bookmarkEnd w:id="211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 суб’єктами господарювання, які використовують дані про номери у своїх технологічних процесах.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2" w:name="n554"/>
      <w:bookmarkEnd w:id="212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{Пункт 31 розділу II в редакції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 Національної комісії, що здійснює державне регулювання у сфері зв'язку та інформатизації </w:t>
      </w:r>
      <w:hyperlink r:id="rId124" w:anchor="n17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3" w:name="n552"/>
      <w:bookmarkEnd w:id="213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Постачальники послуг, які надають електронні комунікаційні послуги з використанням інших мереж, зобов’язані забезпечити надання абонентам ППН відповідно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ів з постачальниками послуг, мережі яких вони використовують для надання електронних комунікаційних послуг.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4" w:name="n303"/>
      <w:bookmarkEnd w:id="21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{Розділ II доповнено новим пунктом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25" w:anchor="n14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 в </w:t>
      </w:r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редакції Рішення Національної комісії, що здійснює державне регулювання у сфері зв'язку та інформатизації </w:t>
      </w:r>
      <w:hyperlink r:id="rId126" w:anchor="n17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5" w:name="n558"/>
      <w:bookmarkEnd w:id="215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Порядок позасудового вирішення спорів щодо надання послуг з перенесення номерів визначається відповідно до встановленого регуляторним органом порядку розгляду спорів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іж постачальниками електронних комунікаційних мереж та/або послуг.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6" w:name="n304"/>
      <w:bookmarkEnd w:id="216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{Розділ II доповнено новим пунктом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27" w:anchor="n140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в редакції Рішення Національної комісії, що здійснює державне регулювання у сфері зв'язку та інформатизації </w:t>
      </w:r>
      <w:hyperlink r:id="rId128" w:anchor="n179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217" w:name="n559"/>
      <w:bookmarkEnd w:id="217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{Розділ III виключено на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ідставі Рішення Національної комісії, що здійснює державне регулювання у сфері зв'язку та інформатизації </w:t>
      </w:r>
      <w:hyperlink r:id="rId129" w:anchor="n181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1"/>
        <w:gridCol w:w="281"/>
        <w:gridCol w:w="5149"/>
      </w:tblGrid>
      <w:tr w:rsidR="00E80D1E" w:rsidRPr="00E80D1E" w:rsidTr="00E80D1E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8" w:name="n122"/>
            <w:bookmarkEnd w:id="218"/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Департаменту зв’язку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80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І. Хохотва</w:t>
            </w:r>
          </w:p>
        </w:tc>
      </w:tr>
      <w:tr w:rsidR="00E80D1E" w:rsidRPr="00E80D1E" w:rsidTr="00E80D1E">
        <w:tc>
          <w:tcPr>
            <w:tcW w:w="22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9" w:name="n313"/>
            <w:bookmarkStart w:id="220" w:name="n309"/>
            <w:bookmarkEnd w:id="219"/>
            <w:bookmarkEnd w:id="220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0D1E" w:rsidRPr="00E80D1E" w:rsidRDefault="00E80D1E" w:rsidP="00E80D1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Порядку надання послуг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перенесення номерів</w:t>
            </w: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(пункт 9 розділу II)</w:t>
            </w:r>
          </w:p>
        </w:tc>
      </w:tr>
    </w:tbl>
    <w:p w:rsidR="00E80D1E" w:rsidRPr="00E80D1E" w:rsidRDefault="00E80D1E" w:rsidP="00E80D1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1" w:name="n310"/>
      <w:bookmarkEnd w:id="221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УНІФІКОВАНЕ ПОВІДОМЛЕННЯ АБОНЕНТІ</w:t>
      </w:r>
      <w:proofErr w:type="gramStart"/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0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дзвінки на перенесені номери</w:t>
      </w:r>
    </w:p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2" w:name="n311"/>
      <w:bookmarkEnd w:id="222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Уніфіковане повідомлення абоненті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дзвінки </w:t>
      </w:r>
      <w:proofErr w:type="gramStart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80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перенесені номери складається з акустичного сигналу (зумер) та фрази автоінформатора (механічний голос) наступного змісту «Номер перенесено».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552"/>
        <w:gridCol w:w="1660"/>
        <w:gridCol w:w="2167"/>
      </w:tblGrid>
      <w:tr w:rsidR="00E80D1E" w:rsidRPr="00E80D1E" w:rsidTr="00E80D1E">
        <w:trPr>
          <w:trHeight w:val="48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D1E" w:rsidRPr="00E80D1E" w:rsidRDefault="00E80D1E" w:rsidP="00E80D1E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3" w:name="n312"/>
            <w:bookmarkEnd w:id="223"/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3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D1E" w:rsidRPr="00E80D1E" w:rsidRDefault="00E80D1E" w:rsidP="00E80D1E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Акустичний сигнал (зумер)</w:t>
            </w:r>
          </w:p>
        </w:tc>
        <w:tc>
          <w:tcPr>
            <w:tcW w:w="15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D1E" w:rsidRPr="00E80D1E" w:rsidRDefault="00E80D1E" w:rsidP="00E80D1E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Фраза автоінформатора (механічний голос)</w:t>
            </w:r>
          </w:p>
        </w:tc>
      </w:tr>
      <w:tr w:rsidR="00E80D1E" w:rsidRPr="00E80D1E" w:rsidTr="00E80D1E">
        <w:trPr>
          <w:trHeight w:val="48"/>
        </w:trPr>
        <w:tc>
          <w:tcPr>
            <w:tcW w:w="45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D1E" w:rsidRPr="00E80D1E" w:rsidRDefault="00E80D1E" w:rsidP="00E80D1E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Постачальни</w:t>
            </w:r>
            <w:proofErr w:type="gramStart"/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ініціатор визначив, що набраний абонентом А номер абонента Б є перенесеним з мережі постачальника-ініціатора до мережі іншого постачальника послуг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D1E" w:rsidRPr="00E80D1E" w:rsidRDefault="00E80D1E" w:rsidP="00E80D1E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Зумер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D1E" w:rsidRPr="00E80D1E" w:rsidRDefault="00E80D1E" w:rsidP="00E80D1E">
            <w:pPr>
              <w:spacing w:before="150" w:after="150" w:line="4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«Номер перенесено»</w:t>
            </w:r>
          </w:p>
        </w:tc>
      </w:tr>
    </w:tbl>
    <w:p w:rsidR="00E80D1E" w:rsidRPr="00E80D1E" w:rsidRDefault="00E80D1E" w:rsidP="00E80D1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4" w:name="n314"/>
      <w:bookmarkEnd w:id="224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{Порядок доповнено Додатком згідно з </w:t>
      </w:r>
      <w:proofErr w:type="gramStart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ішенням Національної комісії, що здійснює державне регулювання у сфері зв'язку та інформатизації </w:t>
      </w:r>
      <w:hyperlink r:id="rId130" w:anchor="n153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107 від 23.03.2021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 із змінами, внесеними згідно з Рішенням Національної комісії, що здійснює державне регулювання у сфері зв'язку та інформатизації </w:t>
      </w:r>
      <w:hyperlink r:id="rId131" w:anchor="n185" w:tgtFrame="_blank" w:history="1">
        <w:r w:rsidRPr="00E80D1E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  <w:lang w:eastAsia="ru-RU"/>
          </w:rPr>
          <w:t>№ 504 від 21.12.2021</w:t>
        </w:r>
      </w:hyperlink>
      <w:r w:rsidRPr="00E80D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}</w:t>
      </w:r>
    </w:p>
    <w:p w:rsidR="00202E02" w:rsidRDefault="00202E02"/>
    <w:sectPr w:rsidR="0020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07" w:rsidRDefault="00E46407" w:rsidP="00E80D1E">
      <w:pPr>
        <w:spacing w:after="0" w:line="240" w:lineRule="auto"/>
      </w:pPr>
      <w:r>
        <w:separator/>
      </w:r>
    </w:p>
  </w:endnote>
  <w:endnote w:type="continuationSeparator" w:id="0">
    <w:p w:rsidR="00E46407" w:rsidRDefault="00E46407" w:rsidP="00E8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07" w:rsidRDefault="00E46407" w:rsidP="00E80D1E">
      <w:pPr>
        <w:spacing w:after="0" w:line="240" w:lineRule="auto"/>
      </w:pPr>
      <w:r>
        <w:separator/>
      </w:r>
    </w:p>
  </w:footnote>
  <w:footnote w:type="continuationSeparator" w:id="0">
    <w:p w:rsidR="00E46407" w:rsidRDefault="00E46407" w:rsidP="00E80D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EA"/>
    <w:rsid w:val="00202E02"/>
    <w:rsid w:val="007002EB"/>
    <w:rsid w:val="00875938"/>
    <w:rsid w:val="00AD13BD"/>
    <w:rsid w:val="00B53DEA"/>
    <w:rsid w:val="00E46407"/>
    <w:rsid w:val="00E8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80D1E"/>
  </w:style>
  <w:style w:type="character" w:customStyle="1" w:styleId="rvts23">
    <w:name w:val="rvts23"/>
    <w:basedOn w:val="a0"/>
    <w:rsid w:val="00E80D1E"/>
  </w:style>
  <w:style w:type="paragraph" w:customStyle="1" w:styleId="rvps7">
    <w:name w:val="rvps7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D1E"/>
  </w:style>
  <w:style w:type="paragraph" w:customStyle="1" w:styleId="rvps14">
    <w:name w:val="rvps14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E80D1E"/>
    <w:rPr>
      <w:i/>
      <w:iCs/>
    </w:rPr>
  </w:style>
  <w:style w:type="paragraph" w:customStyle="1" w:styleId="rvps2">
    <w:name w:val="rvps2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80D1E"/>
  </w:style>
  <w:style w:type="character" w:styleId="a4">
    <w:name w:val="Hyperlink"/>
    <w:basedOn w:val="a0"/>
    <w:uiPriority w:val="99"/>
    <w:semiHidden/>
    <w:unhideWhenUsed/>
    <w:rsid w:val="00E80D1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0D1E"/>
    <w:rPr>
      <w:color w:val="800080"/>
      <w:u w:val="single"/>
    </w:rPr>
  </w:style>
  <w:style w:type="paragraph" w:customStyle="1" w:styleId="rvps18">
    <w:name w:val="rvps18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E80D1E"/>
  </w:style>
  <w:style w:type="character" w:customStyle="1" w:styleId="rvts44">
    <w:name w:val="rvts44"/>
    <w:basedOn w:val="a0"/>
    <w:rsid w:val="00E80D1E"/>
  </w:style>
  <w:style w:type="paragraph" w:customStyle="1" w:styleId="rvps15">
    <w:name w:val="rvps15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E80D1E"/>
  </w:style>
  <w:style w:type="character" w:customStyle="1" w:styleId="rvts58">
    <w:name w:val="rvts58"/>
    <w:basedOn w:val="a0"/>
    <w:rsid w:val="00E80D1E"/>
  </w:style>
  <w:style w:type="paragraph" w:customStyle="1" w:styleId="rvps12">
    <w:name w:val="rvps12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0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1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0D1E"/>
  </w:style>
  <w:style w:type="paragraph" w:styleId="ab">
    <w:name w:val="footer"/>
    <w:basedOn w:val="a"/>
    <w:link w:val="ac"/>
    <w:uiPriority w:val="99"/>
    <w:unhideWhenUsed/>
    <w:rsid w:val="00E8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0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80D1E"/>
  </w:style>
  <w:style w:type="character" w:customStyle="1" w:styleId="rvts23">
    <w:name w:val="rvts23"/>
    <w:basedOn w:val="a0"/>
    <w:rsid w:val="00E80D1E"/>
  </w:style>
  <w:style w:type="paragraph" w:customStyle="1" w:styleId="rvps7">
    <w:name w:val="rvps7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D1E"/>
  </w:style>
  <w:style w:type="paragraph" w:customStyle="1" w:styleId="rvps14">
    <w:name w:val="rvps14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E80D1E"/>
    <w:rPr>
      <w:i/>
      <w:iCs/>
    </w:rPr>
  </w:style>
  <w:style w:type="paragraph" w:customStyle="1" w:styleId="rvps2">
    <w:name w:val="rvps2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80D1E"/>
  </w:style>
  <w:style w:type="character" w:styleId="a4">
    <w:name w:val="Hyperlink"/>
    <w:basedOn w:val="a0"/>
    <w:uiPriority w:val="99"/>
    <w:semiHidden/>
    <w:unhideWhenUsed/>
    <w:rsid w:val="00E80D1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0D1E"/>
    <w:rPr>
      <w:color w:val="800080"/>
      <w:u w:val="single"/>
    </w:rPr>
  </w:style>
  <w:style w:type="paragraph" w:customStyle="1" w:styleId="rvps18">
    <w:name w:val="rvps18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E80D1E"/>
  </w:style>
  <w:style w:type="character" w:customStyle="1" w:styleId="rvts44">
    <w:name w:val="rvts44"/>
    <w:basedOn w:val="a0"/>
    <w:rsid w:val="00E80D1E"/>
  </w:style>
  <w:style w:type="paragraph" w:customStyle="1" w:styleId="rvps15">
    <w:name w:val="rvps15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E80D1E"/>
  </w:style>
  <w:style w:type="character" w:customStyle="1" w:styleId="rvts58">
    <w:name w:val="rvts58"/>
    <w:basedOn w:val="a0"/>
    <w:rsid w:val="00E80D1E"/>
  </w:style>
  <w:style w:type="paragraph" w:customStyle="1" w:styleId="rvps12">
    <w:name w:val="rvps12"/>
    <w:basedOn w:val="a"/>
    <w:rsid w:val="00E80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0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1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8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0D1E"/>
  </w:style>
  <w:style w:type="paragraph" w:styleId="ab">
    <w:name w:val="footer"/>
    <w:basedOn w:val="a"/>
    <w:link w:val="ac"/>
    <w:uiPriority w:val="99"/>
    <w:unhideWhenUsed/>
    <w:rsid w:val="00E8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15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76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4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33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04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akon.rada.gov.ua/laws/show/z0442-21" TargetMode="External"/><Relationship Id="rId117" Type="http://schemas.openxmlformats.org/officeDocument/2006/relationships/hyperlink" Target="https://zakon.rada.gov.ua/laws/show/z0442-21" TargetMode="External"/><Relationship Id="rId21" Type="http://schemas.openxmlformats.org/officeDocument/2006/relationships/hyperlink" Target="https://zakon.rada.gov.ua/laws/show/z0082-22" TargetMode="External"/><Relationship Id="rId42" Type="http://schemas.openxmlformats.org/officeDocument/2006/relationships/hyperlink" Target="https://zakon.rada.gov.ua/laws/show/z0145-18" TargetMode="External"/><Relationship Id="rId47" Type="http://schemas.openxmlformats.org/officeDocument/2006/relationships/hyperlink" Target="https://zakon.rada.gov.ua/laws/show/z0082-22" TargetMode="External"/><Relationship Id="rId63" Type="http://schemas.openxmlformats.org/officeDocument/2006/relationships/hyperlink" Target="https://zakon.rada.gov.ua/laws/show/z1019-15" TargetMode="External"/><Relationship Id="rId68" Type="http://schemas.openxmlformats.org/officeDocument/2006/relationships/hyperlink" Target="https://zakon.rada.gov.ua/laws/show/z0082-22" TargetMode="External"/><Relationship Id="rId84" Type="http://schemas.openxmlformats.org/officeDocument/2006/relationships/hyperlink" Target="https://zakon.rada.gov.ua/laws/show/z1019-15" TargetMode="External"/><Relationship Id="rId89" Type="http://schemas.openxmlformats.org/officeDocument/2006/relationships/hyperlink" Target="https://zakon.rada.gov.ua/laws/show/z0442-21" TargetMode="External"/><Relationship Id="rId112" Type="http://schemas.openxmlformats.org/officeDocument/2006/relationships/hyperlink" Target="https://zakon.rada.gov.ua/laws/show/z0082-22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zakon.rada.gov.ua/laws/show/z0082-22" TargetMode="External"/><Relationship Id="rId107" Type="http://schemas.openxmlformats.org/officeDocument/2006/relationships/hyperlink" Target="https://zakon.rada.gov.ua/laws/show/z0082-22" TargetMode="External"/><Relationship Id="rId11" Type="http://schemas.openxmlformats.org/officeDocument/2006/relationships/hyperlink" Target="https://zakon.rada.gov.ua/laws/show/z0082-22" TargetMode="External"/><Relationship Id="rId32" Type="http://schemas.openxmlformats.org/officeDocument/2006/relationships/hyperlink" Target="https://zakon.rada.gov.ua/laws/show/z0082-22" TargetMode="External"/><Relationship Id="rId37" Type="http://schemas.openxmlformats.org/officeDocument/2006/relationships/hyperlink" Target="https://zakon.rada.gov.ua/laws/show/z0442-21" TargetMode="External"/><Relationship Id="rId53" Type="http://schemas.openxmlformats.org/officeDocument/2006/relationships/hyperlink" Target="https://zakon.rada.gov.ua/laws/show/z0082-22" TargetMode="External"/><Relationship Id="rId58" Type="http://schemas.openxmlformats.org/officeDocument/2006/relationships/hyperlink" Target="https://zakon.rada.gov.ua/laws/show/z0082-22" TargetMode="External"/><Relationship Id="rId74" Type="http://schemas.openxmlformats.org/officeDocument/2006/relationships/hyperlink" Target="https://zakon.rada.gov.ua/laws/show/z0082-22" TargetMode="External"/><Relationship Id="rId79" Type="http://schemas.openxmlformats.org/officeDocument/2006/relationships/hyperlink" Target="https://zakon.rada.gov.ua/laws/show/z0082-22" TargetMode="External"/><Relationship Id="rId102" Type="http://schemas.openxmlformats.org/officeDocument/2006/relationships/hyperlink" Target="https://zakon.rada.gov.ua/laws/show/z0442-21" TargetMode="External"/><Relationship Id="rId123" Type="http://schemas.openxmlformats.org/officeDocument/2006/relationships/hyperlink" Target="https://zakon.rada.gov.ua/laws/show/z0082-22" TargetMode="External"/><Relationship Id="rId128" Type="http://schemas.openxmlformats.org/officeDocument/2006/relationships/hyperlink" Target="https://zakon.rada.gov.ua/laws/show/z0082-2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zakon.rada.gov.ua/laws/show/z0082-22" TargetMode="External"/><Relationship Id="rId95" Type="http://schemas.openxmlformats.org/officeDocument/2006/relationships/hyperlink" Target="https://zakon.rada.gov.ua/laws/show/z0082-22" TargetMode="External"/><Relationship Id="rId14" Type="http://schemas.openxmlformats.org/officeDocument/2006/relationships/hyperlink" Target="https://zakon.rada.gov.ua/laws/show/z1019-15" TargetMode="External"/><Relationship Id="rId22" Type="http://schemas.openxmlformats.org/officeDocument/2006/relationships/hyperlink" Target="https://zakon.rada.gov.ua/laws/show/z0082-22" TargetMode="External"/><Relationship Id="rId27" Type="http://schemas.openxmlformats.org/officeDocument/2006/relationships/hyperlink" Target="https://zakon.rada.gov.ua/laws/show/z0082-22" TargetMode="External"/><Relationship Id="rId30" Type="http://schemas.openxmlformats.org/officeDocument/2006/relationships/hyperlink" Target="https://zakon.rada.gov.ua/laws/show/z0082-22" TargetMode="External"/><Relationship Id="rId35" Type="http://schemas.openxmlformats.org/officeDocument/2006/relationships/hyperlink" Target="https://zakon.rada.gov.ua/laws/show/z0082-22" TargetMode="External"/><Relationship Id="rId43" Type="http://schemas.openxmlformats.org/officeDocument/2006/relationships/hyperlink" Target="https://zakon.rada.gov.ua/laws/show/z0442-21" TargetMode="External"/><Relationship Id="rId48" Type="http://schemas.openxmlformats.org/officeDocument/2006/relationships/hyperlink" Target="https://zakon.rada.gov.ua/laws/show/z1284-06" TargetMode="External"/><Relationship Id="rId56" Type="http://schemas.openxmlformats.org/officeDocument/2006/relationships/hyperlink" Target="https://zakon.rada.gov.ua/laws/show/z0082-22" TargetMode="External"/><Relationship Id="rId64" Type="http://schemas.openxmlformats.org/officeDocument/2006/relationships/hyperlink" Target="https://zakon.rada.gov.ua/laws/show/z0442-21" TargetMode="External"/><Relationship Id="rId69" Type="http://schemas.openxmlformats.org/officeDocument/2006/relationships/hyperlink" Target="https://zakon.rada.gov.ua/laws/show/z1019-15" TargetMode="External"/><Relationship Id="rId77" Type="http://schemas.openxmlformats.org/officeDocument/2006/relationships/hyperlink" Target="https://zakon.rada.gov.ua/laws/show/z0082-22" TargetMode="External"/><Relationship Id="rId100" Type="http://schemas.openxmlformats.org/officeDocument/2006/relationships/hyperlink" Target="https://zakon.rada.gov.ua/laws/show/z0082-22" TargetMode="External"/><Relationship Id="rId105" Type="http://schemas.openxmlformats.org/officeDocument/2006/relationships/hyperlink" Target="https://zakon.rada.gov.ua/laws/show/z0082-22" TargetMode="External"/><Relationship Id="rId113" Type="http://schemas.openxmlformats.org/officeDocument/2006/relationships/hyperlink" Target="https://zakon.rada.gov.ua/laws/show/z1014-08" TargetMode="External"/><Relationship Id="rId118" Type="http://schemas.openxmlformats.org/officeDocument/2006/relationships/hyperlink" Target="https://zakon.rada.gov.ua/laws/show/z1019-15" TargetMode="External"/><Relationship Id="rId126" Type="http://schemas.openxmlformats.org/officeDocument/2006/relationships/hyperlink" Target="https://zakon.rada.gov.ua/laws/show/z0082-22" TargetMode="External"/><Relationship Id="rId8" Type="http://schemas.openxmlformats.org/officeDocument/2006/relationships/hyperlink" Target="https://zakon.rada.gov.ua/laws/show/z0145-18" TargetMode="External"/><Relationship Id="rId51" Type="http://schemas.openxmlformats.org/officeDocument/2006/relationships/hyperlink" Target="https://zakon.rada.gov.ua/laws/show/z1292-19" TargetMode="External"/><Relationship Id="rId72" Type="http://schemas.openxmlformats.org/officeDocument/2006/relationships/hyperlink" Target="https://zakon.rada.gov.ua/laws/show/z0082-22" TargetMode="External"/><Relationship Id="rId80" Type="http://schemas.openxmlformats.org/officeDocument/2006/relationships/hyperlink" Target="https://zakon.rada.gov.ua/laws/show/z1019-15" TargetMode="External"/><Relationship Id="rId85" Type="http://schemas.openxmlformats.org/officeDocument/2006/relationships/hyperlink" Target="https://zakon.rada.gov.ua/laws/show/z1019-15" TargetMode="External"/><Relationship Id="rId93" Type="http://schemas.openxmlformats.org/officeDocument/2006/relationships/hyperlink" Target="https://zakon.rada.gov.ua/laws/show/z1019-15" TargetMode="External"/><Relationship Id="rId98" Type="http://schemas.openxmlformats.org/officeDocument/2006/relationships/hyperlink" Target="https://zakon.rada.gov.ua/laws/show/z0082-22" TargetMode="External"/><Relationship Id="rId121" Type="http://schemas.openxmlformats.org/officeDocument/2006/relationships/hyperlink" Target="https://zakon.rada.gov.ua/laws/show/z0082-2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zakon.rada.gov.ua/laws/show/1280-15" TargetMode="External"/><Relationship Id="rId17" Type="http://schemas.openxmlformats.org/officeDocument/2006/relationships/hyperlink" Target="https://zakon.rada.gov.ua/laws/show/z0082-22" TargetMode="External"/><Relationship Id="rId25" Type="http://schemas.openxmlformats.org/officeDocument/2006/relationships/hyperlink" Target="https://zakon.rada.gov.ua/laws/show/z0082-22" TargetMode="External"/><Relationship Id="rId33" Type="http://schemas.openxmlformats.org/officeDocument/2006/relationships/hyperlink" Target="https://zakon.rada.gov.ua/laws/show/z0442-21" TargetMode="External"/><Relationship Id="rId38" Type="http://schemas.openxmlformats.org/officeDocument/2006/relationships/hyperlink" Target="https://zakon.rada.gov.ua/laws/show/z0082-22" TargetMode="External"/><Relationship Id="rId46" Type="http://schemas.openxmlformats.org/officeDocument/2006/relationships/hyperlink" Target="https://zakon.rada.gov.ua/laws/show/z1019-15" TargetMode="External"/><Relationship Id="rId59" Type="http://schemas.openxmlformats.org/officeDocument/2006/relationships/hyperlink" Target="https://zakon.rada.gov.ua/laws/show/z0442-21" TargetMode="External"/><Relationship Id="rId67" Type="http://schemas.openxmlformats.org/officeDocument/2006/relationships/hyperlink" Target="https://zakon.rada.gov.ua/laws/show/z0442-21" TargetMode="External"/><Relationship Id="rId103" Type="http://schemas.openxmlformats.org/officeDocument/2006/relationships/hyperlink" Target="https://zakon.rada.gov.ua/laws/show/z0082-22" TargetMode="External"/><Relationship Id="rId108" Type="http://schemas.openxmlformats.org/officeDocument/2006/relationships/hyperlink" Target="https://zakon.rada.gov.ua/laws/show/z0082-22" TargetMode="External"/><Relationship Id="rId116" Type="http://schemas.openxmlformats.org/officeDocument/2006/relationships/hyperlink" Target="https://zakon.rada.gov.ua/laws/show/z0082-22" TargetMode="External"/><Relationship Id="rId124" Type="http://schemas.openxmlformats.org/officeDocument/2006/relationships/hyperlink" Target="https://zakon.rada.gov.ua/laws/show/z0082-22" TargetMode="External"/><Relationship Id="rId129" Type="http://schemas.openxmlformats.org/officeDocument/2006/relationships/hyperlink" Target="https://zakon.rada.gov.ua/laws/show/z0082-22" TargetMode="External"/><Relationship Id="rId20" Type="http://schemas.openxmlformats.org/officeDocument/2006/relationships/hyperlink" Target="https://zakon.rada.gov.ua/laws/show/z0442-21" TargetMode="External"/><Relationship Id="rId41" Type="http://schemas.openxmlformats.org/officeDocument/2006/relationships/hyperlink" Target="https://zakon.rada.gov.ua/laws/show/z0082-22" TargetMode="External"/><Relationship Id="rId54" Type="http://schemas.openxmlformats.org/officeDocument/2006/relationships/hyperlink" Target="https://zakon.rada.gov.ua/laws/show/z0082-22" TargetMode="External"/><Relationship Id="rId62" Type="http://schemas.openxmlformats.org/officeDocument/2006/relationships/hyperlink" Target="https://zakon.rada.gov.ua/laws/show/z0082-22" TargetMode="External"/><Relationship Id="rId70" Type="http://schemas.openxmlformats.org/officeDocument/2006/relationships/hyperlink" Target="https://zakon.rada.gov.ua/laws/show/z0442-21" TargetMode="External"/><Relationship Id="rId75" Type="http://schemas.openxmlformats.org/officeDocument/2006/relationships/hyperlink" Target="https://zakon.rada.gov.ua/laws/show/z0082-22" TargetMode="External"/><Relationship Id="rId83" Type="http://schemas.openxmlformats.org/officeDocument/2006/relationships/hyperlink" Target="https://zakon.rada.gov.ua/laws/show/z0082-22" TargetMode="External"/><Relationship Id="rId88" Type="http://schemas.openxmlformats.org/officeDocument/2006/relationships/hyperlink" Target="https://zakon.rada.gov.ua/laws/show/z1019-15" TargetMode="External"/><Relationship Id="rId91" Type="http://schemas.openxmlformats.org/officeDocument/2006/relationships/hyperlink" Target="https://zakon.rada.gov.ua/laws/show/z0442-21" TargetMode="External"/><Relationship Id="rId96" Type="http://schemas.openxmlformats.org/officeDocument/2006/relationships/hyperlink" Target="https://zakon.rada.gov.ua/laws/show/z0082-22" TargetMode="External"/><Relationship Id="rId111" Type="http://schemas.openxmlformats.org/officeDocument/2006/relationships/hyperlink" Target="https://zakon.rada.gov.ua/laws/show/z0082-22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zakon.rada.gov.ua/laws/show/z0082-22" TargetMode="External"/><Relationship Id="rId23" Type="http://schemas.openxmlformats.org/officeDocument/2006/relationships/hyperlink" Target="https://zakon.rada.gov.ua/laws/show/z0082-22" TargetMode="External"/><Relationship Id="rId28" Type="http://schemas.openxmlformats.org/officeDocument/2006/relationships/hyperlink" Target="https://zakon.rada.gov.ua/laws/show/z0442-21" TargetMode="External"/><Relationship Id="rId36" Type="http://schemas.openxmlformats.org/officeDocument/2006/relationships/hyperlink" Target="https://zakon.rada.gov.ua/laws/show/z0082-22" TargetMode="External"/><Relationship Id="rId49" Type="http://schemas.openxmlformats.org/officeDocument/2006/relationships/hyperlink" Target="https://zakon.rada.gov.ua/laws/show/z1292-19" TargetMode="External"/><Relationship Id="rId57" Type="http://schemas.openxmlformats.org/officeDocument/2006/relationships/hyperlink" Target="https://zakon.rada.gov.ua/laws/show/z0442-21" TargetMode="External"/><Relationship Id="rId106" Type="http://schemas.openxmlformats.org/officeDocument/2006/relationships/hyperlink" Target="https://zakon.rada.gov.ua/laws/show/z0082-22" TargetMode="External"/><Relationship Id="rId114" Type="http://schemas.openxmlformats.org/officeDocument/2006/relationships/hyperlink" Target="https://zakon.rada.gov.ua/laws/show/z0082-22" TargetMode="External"/><Relationship Id="rId119" Type="http://schemas.openxmlformats.org/officeDocument/2006/relationships/hyperlink" Target="https://zakon.rada.gov.ua/laws/show/z1019-15" TargetMode="External"/><Relationship Id="rId127" Type="http://schemas.openxmlformats.org/officeDocument/2006/relationships/hyperlink" Target="https://zakon.rada.gov.ua/laws/show/z0442-21" TargetMode="External"/><Relationship Id="rId10" Type="http://schemas.openxmlformats.org/officeDocument/2006/relationships/hyperlink" Target="https://zakon.rada.gov.ua/laws/show/z0442-21" TargetMode="External"/><Relationship Id="rId31" Type="http://schemas.openxmlformats.org/officeDocument/2006/relationships/hyperlink" Target="https://zakon.rada.gov.ua/laws/show/z0082-22" TargetMode="External"/><Relationship Id="rId44" Type="http://schemas.openxmlformats.org/officeDocument/2006/relationships/hyperlink" Target="https://zakon.rada.gov.ua/laws/show/z0082-22" TargetMode="External"/><Relationship Id="rId52" Type="http://schemas.openxmlformats.org/officeDocument/2006/relationships/hyperlink" Target="https://zakon.rada.gov.ua/laws/show/z0082-22" TargetMode="External"/><Relationship Id="rId60" Type="http://schemas.openxmlformats.org/officeDocument/2006/relationships/hyperlink" Target="https://zakon.rada.gov.ua/laws/show/z0082-22" TargetMode="External"/><Relationship Id="rId65" Type="http://schemas.openxmlformats.org/officeDocument/2006/relationships/hyperlink" Target="https://zakon.rada.gov.ua/laws/show/z0082-22" TargetMode="External"/><Relationship Id="rId73" Type="http://schemas.openxmlformats.org/officeDocument/2006/relationships/hyperlink" Target="https://zakon.rada.gov.ua/laws/show/z0442-21" TargetMode="External"/><Relationship Id="rId78" Type="http://schemas.openxmlformats.org/officeDocument/2006/relationships/hyperlink" Target="https://zakon.rada.gov.ua/laws/show/z0442-21" TargetMode="External"/><Relationship Id="rId81" Type="http://schemas.openxmlformats.org/officeDocument/2006/relationships/hyperlink" Target="https://zakon.rada.gov.ua/laws/show/z1019-15" TargetMode="External"/><Relationship Id="rId86" Type="http://schemas.openxmlformats.org/officeDocument/2006/relationships/hyperlink" Target="https://zakon.rada.gov.ua/laws/show/z1019-15" TargetMode="External"/><Relationship Id="rId94" Type="http://schemas.openxmlformats.org/officeDocument/2006/relationships/hyperlink" Target="https://zakon.rada.gov.ua/laws/show/z0442-21" TargetMode="External"/><Relationship Id="rId99" Type="http://schemas.openxmlformats.org/officeDocument/2006/relationships/hyperlink" Target="https://zakon.rada.gov.ua/laws/show/z0442-21" TargetMode="External"/><Relationship Id="rId101" Type="http://schemas.openxmlformats.org/officeDocument/2006/relationships/hyperlink" Target="https://zakon.rada.gov.ua/laws/show/z0082-22" TargetMode="External"/><Relationship Id="rId122" Type="http://schemas.openxmlformats.org/officeDocument/2006/relationships/hyperlink" Target="https://zakon.rada.gov.ua/laws/show/z0082-22" TargetMode="External"/><Relationship Id="rId130" Type="http://schemas.openxmlformats.org/officeDocument/2006/relationships/hyperlink" Target="https://zakon.rada.gov.ua/laws/show/z0442-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1292-19" TargetMode="External"/><Relationship Id="rId13" Type="http://schemas.openxmlformats.org/officeDocument/2006/relationships/hyperlink" Target="https://zakon.rada.gov.ua/laws/show/1067/2011" TargetMode="External"/><Relationship Id="rId18" Type="http://schemas.openxmlformats.org/officeDocument/2006/relationships/hyperlink" Target="https://zakon.rada.gov.ua/laws/show/z0082-22" TargetMode="External"/><Relationship Id="rId39" Type="http://schemas.openxmlformats.org/officeDocument/2006/relationships/hyperlink" Target="https://zakon.rada.gov.ua/laws/show/z0082-22" TargetMode="External"/><Relationship Id="rId109" Type="http://schemas.openxmlformats.org/officeDocument/2006/relationships/hyperlink" Target="https://zakon.rada.gov.ua/laws/show/z1019-15" TargetMode="External"/><Relationship Id="rId34" Type="http://schemas.openxmlformats.org/officeDocument/2006/relationships/hyperlink" Target="https://zakon.rada.gov.ua/laws/show/z0082-22" TargetMode="External"/><Relationship Id="rId50" Type="http://schemas.openxmlformats.org/officeDocument/2006/relationships/hyperlink" Target="https://zakon.rada.gov.ua/laws/show/z0082-22" TargetMode="External"/><Relationship Id="rId55" Type="http://schemas.openxmlformats.org/officeDocument/2006/relationships/hyperlink" Target="https://zakon.rada.gov.ua/laws/show/z0442-21" TargetMode="External"/><Relationship Id="rId76" Type="http://schemas.openxmlformats.org/officeDocument/2006/relationships/hyperlink" Target="https://zakon.rada.gov.ua/laws/show/z0442-21" TargetMode="External"/><Relationship Id="rId97" Type="http://schemas.openxmlformats.org/officeDocument/2006/relationships/hyperlink" Target="https://zakon.rada.gov.ua/laws/show/z0442-21" TargetMode="External"/><Relationship Id="rId104" Type="http://schemas.openxmlformats.org/officeDocument/2006/relationships/hyperlink" Target="https://zakon.rada.gov.ua/laws/show/z0442-21" TargetMode="External"/><Relationship Id="rId120" Type="http://schemas.openxmlformats.org/officeDocument/2006/relationships/hyperlink" Target="https://zakon.rada.gov.ua/laws/show/z0442-21" TargetMode="External"/><Relationship Id="rId125" Type="http://schemas.openxmlformats.org/officeDocument/2006/relationships/hyperlink" Target="https://zakon.rada.gov.ua/laws/show/z0442-21" TargetMode="External"/><Relationship Id="rId7" Type="http://schemas.openxmlformats.org/officeDocument/2006/relationships/hyperlink" Target="https://zakon.rada.gov.ua/laws/show/z0082-22" TargetMode="External"/><Relationship Id="rId71" Type="http://schemas.openxmlformats.org/officeDocument/2006/relationships/hyperlink" Target="https://zakon.rada.gov.ua/laws/show/z0082-22" TargetMode="External"/><Relationship Id="rId92" Type="http://schemas.openxmlformats.org/officeDocument/2006/relationships/hyperlink" Target="https://zakon.rada.gov.ua/laws/show/z0082-2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zakon.rada.gov.ua/laws/show/z0442-21" TargetMode="External"/><Relationship Id="rId24" Type="http://schemas.openxmlformats.org/officeDocument/2006/relationships/hyperlink" Target="https://zakon.rada.gov.ua/laws/show/z0442-21" TargetMode="External"/><Relationship Id="rId40" Type="http://schemas.openxmlformats.org/officeDocument/2006/relationships/hyperlink" Target="https://zakon.rada.gov.ua/laws/show/z0082-22" TargetMode="External"/><Relationship Id="rId45" Type="http://schemas.openxmlformats.org/officeDocument/2006/relationships/hyperlink" Target="https://zakon.rada.gov.ua/laws/show/z0082-22" TargetMode="External"/><Relationship Id="rId66" Type="http://schemas.openxmlformats.org/officeDocument/2006/relationships/hyperlink" Target="https://zakon.rada.gov.ua/laws/show/z0082-22" TargetMode="External"/><Relationship Id="rId87" Type="http://schemas.openxmlformats.org/officeDocument/2006/relationships/hyperlink" Target="https://zakon.rada.gov.ua/laws/show/z1019-15" TargetMode="External"/><Relationship Id="rId110" Type="http://schemas.openxmlformats.org/officeDocument/2006/relationships/hyperlink" Target="https://zakon.rada.gov.ua/laws/show/z0082-22" TargetMode="External"/><Relationship Id="rId115" Type="http://schemas.openxmlformats.org/officeDocument/2006/relationships/hyperlink" Target="https://zakon.rada.gov.ua/laws/show/z0082-22" TargetMode="External"/><Relationship Id="rId131" Type="http://schemas.openxmlformats.org/officeDocument/2006/relationships/hyperlink" Target="https://zakon.rada.gov.ua/laws/show/z0082-22" TargetMode="External"/><Relationship Id="rId61" Type="http://schemas.openxmlformats.org/officeDocument/2006/relationships/hyperlink" Target="https://zakon.rada.gov.ua/laws/show/z0442-21" TargetMode="External"/><Relationship Id="rId82" Type="http://schemas.openxmlformats.org/officeDocument/2006/relationships/hyperlink" Target="https://zakon.rada.gov.ua/laws/show/z0442-21" TargetMode="External"/><Relationship Id="rId19" Type="http://schemas.openxmlformats.org/officeDocument/2006/relationships/hyperlink" Target="https://zakon.rada.gov.ua/laws/show/z0082-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8185</Words>
  <Characters>46660</Characters>
  <Application>Microsoft Office Word</Application>
  <DocSecurity>0</DocSecurity>
  <Lines>388</Lines>
  <Paragraphs>109</Paragraphs>
  <ScaleCrop>false</ScaleCrop>
  <Company/>
  <LinksUpToDate>false</LinksUpToDate>
  <CharactersWithSpaces>54736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3</cp:revision>
  <dcterms:created xsi:type="dcterms:W3CDTF">2022-06-08T12:59:00Z</dcterms:created>
  <dcterms:modified xsi:type="dcterms:W3CDTF">2022-06-08T13:03:00Z</dcterms:modified>
</cp:coreProperties>
</file>