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16E" w:rsidRPr="001B11DC" w:rsidRDefault="001F316E" w:rsidP="001F316E">
      <w:pPr>
        <w:ind w:left="225" w:right="225"/>
        <w:jc w:val="center"/>
        <w:rPr>
          <w:rFonts w:ascii="Times New Roman" w:hAnsi="Times New Roman" w:cs="Times New Roman"/>
          <w:b/>
          <w:bCs/>
          <w:lang w:val="ru-RU"/>
        </w:rPr>
      </w:pPr>
      <w:r w:rsidRPr="001B11DC">
        <w:rPr>
          <w:rFonts w:ascii="Times New Roman" w:hAnsi="Times New Roman" w:cs="Times New Roman"/>
          <w:b/>
          <w:bCs/>
          <w:lang w:val="ru-RU"/>
        </w:rPr>
        <w:t xml:space="preserve">НАЦІОНАЛЬНА КОМІСІЯ, ЩО ЗДІЙСНЮЄ ДЕРЖАВНЕ РЕГУЛЮВАННЯ У </w:t>
      </w:r>
      <w:proofErr w:type="gramStart"/>
      <w:r w:rsidRPr="001B11DC">
        <w:rPr>
          <w:rFonts w:ascii="Times New Roman" w:hAnsi="Times New Roman" w:cs="Times New Roman"/>
          <w:b/>
          <w:bCs/>
          <w:lang w:val="ru-RU"/>
        </w:rPr>
        <w:t>СФЕРАХ</w:t>
      </w:r>
      <w:proofErr w:type="gramEnd"/>
      <w:r w:rsidRPr="001B11DC">
        <w:rPr>
          <w:rFonts w:ascii="Times New Roman" w:hAnsi="Times New Roman" w:cs="Times New Roman"/>
          <w:b/>
          <w:bCs/>
          <w:lang w:val="ru-RU"/>
        </w:rPr>
        <w:t xml:space="preserve"> ЕЛЕКТРОННИХ КОМУНІКАЦІЙ, РАДІОЧАСТОТНОГО СПЕКТРА ТА НАДАННЯ ПОСЛУГ ПОШТОВОГО ЗВ’ЯЗКУ</w:t>
      </w:r>
    </w:p>
    <w:p w:rsidR="001F316E" w:rsidRPr="001B11DC" w:rsidRDefault="001F316E" w:rsidP="001F316E">
      <w:pPr>
        <w:ind w:left="225" w:right="225"/>
        <w:rPr>
          <w:rFonts w:ascii="Times New Roman" w:hAnsi="Times New Roman" w:cs="Times New Roman"/>
          <w:b/>
          <w:bCs/>
          <w:lang w:val="ru-RU"/>
        </w:rPr>
      </w:pPr>
    </w:p>
    <w:p w:rsidR="001F316E" w:rsidRPr="001B11DC" w:rsidRDefault="001F316E" w:rsidP="001F316E">
      <w:pPr>
        <w:ind w:left="225" w:right="225"/>
        <w:jc w:val="center"/>
        <w:rPr>
          <w:rFonts w:ascii="Times New Roman" w:hAnsi="Times New Roman" w:cs="Times New Roman"/>
          <w:b/>
          <w:bCs/>
          <w:lang w:val="ru-RU"/>
        </w:rPr>
      </w:pPr>
      <w:r w:rsidRPr="001B11DC">
        <w:rPr>
          <w:rFonts w:ascii="Times New Roman" w:hAnsi="Times New Roman" w:cs="Times New Roman"/>
          <w:b/>
          <w:bCs/>
          <w:lang w:val="ru-RU"/>
        </w:rPr>
        <w:t>ПОСТАНОВА</w:t>
      </w:r>
    </w:p>
    <w:p w:rsidR="001F316E" w:rsidRPr="001B11DC" w:rsidRDefault="001F316E" w:rsidP="001F316E">
      <w:pPr>
        <w:ind w:left="225" w:right="225"/>
        <w:jc w:val="center"/>
        <w:rPr>
          <w:rFonts w:ascii="Times New Roman" w:hAnsi="Times New Roman" w:cs="Times New Roman"/>
          <w:b/>
          <w:bCs/>
          <w:lang w:val="ru-RU"/>
        </w:rPr>
      </w:pPr>
      <w:r w:rsidRPr="001B11DC">
        <w:rPr>
          <w:rFonts w:ascii="Times New Roman" w:hAnsi="Times New Roman" w:cs="Times New Roman"/>
          <w:b/>
          <w:bCs/>
          <w:lang w:val="ru-RU"/>
        </w:rPr>
        <w:t>17.05.2023  № 189</w:t>
      </w:r>
    </w:p>
    <w:p w:rsidR="001F316E" w:rsidRPr="001B11DC" w:rsidRDefault="001F316E" w:rsidP="001F316E">
      <w:pPr>
        <w:ind w:left="225" w:right="225"/>
        <w:jc w:val="right"/>
        <w:rPr>
          <w:rFonts w:ascii="Times New Roman" w:hAnsi="Times New Roman" w:cs="Times New Roman"/>
          <w:b/>
          <w:bCs/>
          <w:lang w:val="ru-RU"/>
        </w:rPr>
      </w:pPr>
      <w:r w:rsidRPr="001B11DC">
        <w:rPr>
          <w:rFonts w:ascii="Times New Roman" w:hAnsi="Times New Roman" w:cs="Times New Roman"/>
          <w:b/>
          <w:bCs/>
          <w:lang w:val="ru-RU"/>
        </w:rPr>
        <w:t>Зареєстровано в Міністерстві</w:t>
      </w:r>
      <w:r w:rsidRPr="001B11DC">
        <w:rPr>
          <w:rFonts w:ascii="Times New Roman" w:hAnsi="Times New Roman" w:cs="Times New Roman"/>
          <w:lang w:val="ru-RU"/>
        </w:rPr>
        <w:br/>
      </w:r>
      <w:r w:rsidRPr="001B11DC">
        <w:rPr>
          <w:rFonts w:ascii="Times New Roman" w:hAnsi="Times New Roman" w:cs="Times New Roman"/>
          <w:b/>
          <w:bCs/>
          <w:lang w:val="ru-RU"/>
        </w:rPr>
        <w:t>юстиції України</w:t>
      </w:r>
      <w:r w:rsidRPr="001B11DC">
        <w:rPr>
          <w:rFonts w:ascii="Times New Roman" w:hAnsi="Times New Roman" w:cs="Times New Roman"/>
          <w:lang w:val="ru-RU"/>
        </w:rPr>
        <w:br/>
      </w:r>
      <w:r w:rsidRPr="001B11DC">
        <w:rPr>
          <w:rFonts w:ascii="Times New Roman" w:hAnsi="Times New Roman" w:cs="Times New Roman"/>
          <w:b/>
          <w:bCs/>
          <w:lang w:val="ru-RU"/>
        </w:rPr>
        <w:t>15 червня 2023 р.</w:t>
      </w:r>
      <w:r w:rsidRPr="001B11DC">
        <w:rPr>
          <w:rFonts w:ascii="Times New Roman" w:hAnsi="Times New Roman" w:cs="Times New Roman"/>
          <w:lang w:val="ru-RU"/>
        </w:rPr>
        <w:br/>
      </w:r>
      <w:r w:rsidRPr="001B11DC">
        <w:rPr>
          <w:rFonts w:ascii="Times New Roman" w:hAnsi="Times New Roman" w:cs="Times New Roman"/>
          <w:b/>
          <w:bCs/>
          <w:lang w:val="ru-RU"/>
        </w:rPr>
        <w:t>за № 995/40051</w:t>
      </w:r>
    </w:p>
    <w:p w:rsidR="001F316E" w:rsidRPr="001B11DC" w:rsidRDefault="001F316E" w:rsidP="001F316E">
      <w:pPr>
        <w:spacing w:after="0"/>
        <w:ind w:left="227" w:right="227"/>
        <w:jc w:val="center"/>
        <w:rPr>
          <w:rFonts w:ascii="Times New Roman" w:hAnsi="Times New Roman" w:cs="Times New Roman"/>
          <w:b/>
          <w:bCs/>
          <w:lang w:val="ru-RU"/>
        </w:rPr>
      </w:pPr>
      <w:r w:rsidRPr="001B11DC">
        <w:rPr>
          <w:rFonts w:ascii="Times New Roman" w:hAnsi="Times New Roman" w:cs="Times New Roman"/>
          <w:b/>
          <w:bCs/>
          <w:lang w:val="ru-RU"/>
        </w:rPr>
        <w:t>Про затвердження Порядку регулювання та встановлення цін (тарифів) на послуги</w:t>
      </w:r>
    </w:p>
    <w:p w:rsidR="001F316E" w:rsidRPr="001B11DC" w:rsidRDefault="001F316E" w:rsidP="001F316E">
      <w:pPr>
        <w:spacing w:after="0"/>
        <w:ind w:left="227" w:right="227"/>
        <w:jc w:val="center"/>
        <w:rPr>
          <w:rFonts w:ascii="Times New Roman" w:hAnsi="Times New Roman" w:cs="Times New Roman"/>
          <w:lang w:val="ru-RU"/>
        </w:rPr>
      </w:pPr>
      <w:r w:rsidRPr="001B11DC">
        <w:rPr>
          <w:rFonts w:ascii="Times New Roman" w:hAnsi="Times New Roman" w:cs="Times New Roman"/>
          <w:b/>
          <w:bCs/>
          <w:lang w:val="ru-RU"/>
        </w:rPr>
        <w:t xml:space="preserve">поштового зв’язку з пересилання внутрішніх простих та реєстрованих листів без оголошеної цінності (рекомендованих) масою до 50 </w:t>
      </w:r>
      <w:proofErr w:type="gramStart"/>
      <w:r w:rsidRPr="001B11DC">
        <w:rPr>
          <w:rFonts w:ascii="Times New Roman" w:hAnsi="Times New Roman" w:cs="Times New Roman"/>
          <w:b/>
          <w:bCs/>
          <w:lang w:val="ru-RU"/>
        </w:rPr>
        <w:t>грам</w:t>
      </w:r>
      <w:proofErr w:type="gramEnd"/>
      <w:r w:rsidRPr="001B11DC">
        <w:rPr>
          <w:rFonts w:ascii="Times New Roman" w:hAnsi="Times New Roman" w:cs="Times New Roman"/>
          <w:b/>
          <w:bCs/>
          <w:lang w:val="ru-RU"/>
        </w:rPr>
        <w:t>ів і поштових карток</w:t>
      </w:r>
    </w:p>
    <w:p w:rsidR="001B11DC" w:rsidRDefault="001B11DC" w:rsidP="001F316E">
      <w:pPr>
        <w:ind w:left="225" w:right="225"/>
        <w:rPr>
          <w:rFonts w:ascii="Times New Roman" w:hAnsi="Times New Roman" w:cs="Times New Roman"/>
          <w:lang w:val="ru-RU"/>
        </w:rPr>
      </w:pPr>
      <w:bookmarkStart w:id="0" w:name="n158"/>
      <w:bookmarkEnd w:id="0"/>
    </w:p>
    <w:p w:rsidR="001F316E" w:rsidRPr="001B11DC" w:rsidRDefault="001F316E" w:rsidP="001F316E">
      <w:pPr>
        <w:ind w:left="225" w:right="225"/>
        <w:rPr>
          <w:rFonts w:ascii="Times New Roman" w:hAnsi="Times New Roman" w:cs="Times New Roman"/>
          <w:lang w:val="ru-RU"/>
        </w:rPr>
      </w:pPr>
      <w:r w:rsidRPr="001B11DC">
        <w:rPr>
          <w:rFonts w:ascii="Times New Roman" w:hAnsi="Times New Roman" w:cs="Times New Roman"/>
          <w:lang w:val="ru-RU"/>
        </w:rPr>
        <w:t>{Із змінами, внесеними згідно з Постановою Національної комісії, що здійснює державне регулювання</w:t>
      </w:r>
      <w:r w:rsidR="001B11DC">
        <w:rPr>
          <w:rFonts w:ascii="Times New Roman" w:hAnsi="Times New Roman" w:cs="Times New Roman"/>
          <w:lang w:val="ru-RU"/>
        </w:rPr>
        <w:t xml:space="preserve"> </w:t>
      </w:r>
      <w:r w:rsidRPr="001B11DC">
        <w:rPr>
          <w:rFonts w:ascii="Times New Roman" w:hAnsi="Times New Roman" w:cs="Times New Roman"/>
          <w:lang w:val="ru-RU"/>
        </w:rPr>
        <w:t xml:space="preserve">у </w:t>
      </w:r>
      <w:proofErr w:type="gramStart"/>
      <w:r w:rsidRPr="001B11DC">
        <w:rPr>
          <w:rFonts w:ascii="Times New Roman" w:hAnsi="Times New Roman" w:cs="Times New Roman"/>
          <w:lang w:val="ru-RU"/>
        </w:rPr>
        <w:t>сферах</w:t>
      </w:r>
      <w:proofErr w:type="gramEnd"/>
      <w:r w:rsidRPr="001B11DC">
        <w:rPr>
          <w:rFonts w:ascii="Times New Roman" w:hAnsi="Times New Roman" w:cs="Times New Roman"/>
          <w:lang w:val="ru-RU"/>
        </w:rPr>
        <w:t xml:space="preserve"> електронних комунікацій, радіочастотного спектра та надання послуг поштового зв'язку</w:t>
      </w:r>
      <w:hyperlink r:id="rId5" w:anchor="n4" w:tgtFrame="_blank" w:history="1">
        <w:r w:rsidRPr="001B11DC">
          <w:rPr>
            <w:rStyle w:val="a4"/>
            <w:rFonts w:ascii="Times New Roman" w:hAnsi="Times New Roman" w:cs="Times New Roman"/>
            <w:color w:val="auto"/>
            <w:lang w:val="ru-RU"/>
          </w:rPr>
          <w:t>№ 399 від 25.10.2023</w:t>
        </w:r>
      </w:hyperlink>
      <w:r w:rsidRPr="001B11DC">
        <w:rPr>
          <w:rFonts w:ascii="Times New Roman" w:hAnsi="Times New Roman" w:cs="Times New Roman"/>
          <w:lang w:val="ru-RU"/>
        </w:rPr>
        <w:t>}</w:t>
      </w:r>
    </w:p>
    <w:p w:rsidR="001F316E" w:rsidRPr="001B11DC" w:rsidRDefault="001F316E" w:rsidP="001B11DC">
      <w:pPr>
        <w:jc w:val="both"/>
        <w:rPr>
          <w:rFonts w:ascii="Times New Roman" w:hAnsi="Times New Roman" w:cs="Times New Roman"/>
          <w:lang w:val="ru-RU"/>
        </w:rPr>
      </w:pPr>
      <w:bookmarkStart w:id="1" w:name="n5"/>
      <w:bookmarkEnd w:id="1"/>
      <w:r w:rsidRPr="001B11DC">
        <w:rPr>
          <w:rFonts w:ascii="Times New Roman" w:hAnsi="Times New Roman" w:cs="Times New Roman"/>
          <w:lang w:val="ru-RU"/>
        </w:rPr>
        <w:t>Відповідно до </w:t>
      </w:r>
      <w:hyperlink r:id="rId6" w:anchor="n90" w:tgtFrame="_blank" w:history="1">
        <w:r w:rsidRPr="001B11DC">
          <w:rPr>
            <w:rStyle w:val="a4"/>
            <w:rFonts w:ascii="Times New Roman" w:hAnsi="Times New Roman" w:cs="Times New Roman"/>
            <w:color w:val="auto"/>
            <w:lang w:val="ru-RU"/>
          </w:rPr>
          <w:t>абзацу шостого</w:t>
        </w:r>
      </w:hyperlink>
      <w:r w:rsidRPr="001B11DC">
        <w:rPr>
          <w:rFonts w:ascii="Times New Roman" w:hAnsi="Times New Roman" w:cs="Times New Roman"/>
          <w:lang w:val="ru-RU"/>
        </w:rPr>
        <w:t> статті 7, </w:t>
      </w:r>
      <w:hyperlink r:id="rId7" w:anchor="n111" w:tgtFrame="_blank" w:history="1">
        <w:r w:rsidRPr="001B11DC">
          <w:rPr>
            <w:rStyle w:val="a4"/>
            <w:rFonts w:ascii="Times New Roman" w:hAnsi="Times New Roman" w:cs="Times New Roman"/>
            <w:color w:val="auto"/>
            <w:lang w:val="ru-RU"/>
          </w:rPr>
          <w:t>абзацу четвертого</w:t>
        </w:r>
      </w:hyperlink>
      <w:r w:rsidRPr="001B11DC">
        <w:rPr>
          <w:rFonts w:ascii="Times New Roman" w:hAnsi="Times New Roman" w:cs="Times New Roman"/>
          <w:lang w:val="ru-RU"/>
        </w:rPr>
        <w:t> частини п’ятої статті 8 та </w:t>
      </w:r>
      <w:hyperlink r:id="rId8" w:anchor="n129" w:tgtFrame="_blank" w:history="1">
        <w:r w:rsidRPr="001B11DC">
          <w:rPr>
            <w:rStyle w:val="a4"/>
            <w:rFonts w:ascii="Times New Roman" w:hAnsi="Times New Roman" w:cs="Times New Roman"/>
            <w:color w:val="auto"/>
            <w:lang w:val="ru-RU"/>
          </w:rPr>
          <w:t>частини третьої</w:t>
        </w:r>
      </w:hyperlink>
      <w:r w:rsidRPr="001B11DC">
        <w:rPr>
          <w:rFonts w:ascii="Times New Roman" w:hAnsi="Times New Roman" w:cs="Times New Roman"/>
          <w:lang w:val="ru-RU"/>
        </w:rPr>
        <w:t> статті 10 Закону України від 03 листопада 2022 року № 2722-IХ «Про поштовий зв’язок», </w:t>
      </w:r>
      <w:hyperlink r:id="rId9" w:anchor="n33" w:tgtFrame="_blank" w:history="1">
        <w:r w:rsidRPr="001B11DC">
          <w:rPr>
            <w:rStyle w:val="a4"/>
            <w:rFonts w:ascii="Times New Roman" w:hAnsi="Times New Roman" w:cs="Times New Roman"/>
            <w:color w:val="auto"/>
            <w:lang w:val="ru-RU"/>
          </w:rPr>
          <w:t>пункту 1</w:t>
        </w:r>
      </w:hyperlink>
      <w:r w:rsidRPr="001B11DC">
        <w:rPr>
          <w:rFonts w:ascii="Times New Roman" w:hAnsi="Times New Roman" w:cs="Times New Roman"/>
          <w:lang w:val="ru-RU"/>
        </w:rPr>
        <w:t> та </w:t>
      </w:r>
      <w:hyperlink r:id="rId10" w:anchor="n138" w:tgtFrame="_blank" w:history="1">
        <w:proofErr w:type="gramStart"/>
        <w:r w:rsidRPr="001B11DC">
          <w:rPr>
            <w:rStyle w:val="a4"/>
            <w:rFonts w:ascii="Times New Roman" w:hAnsi="Times New Roman" w:cs="Times New Roman"/>
            <w:color w:val="auto"/>
            <w:lang w:val="ru-RU"/>
          </w:rPr>
          <w:t>п</w:t>
        </w:r>
        <w:proofErr w:type="gramEnd"/>
        <w:r w:rsidRPr="001B11DC">
          <w:rPr>
            <w:rStyle w:val="a4"/>
            <w:rFonts w:ascii="Times New Roman" w:hAnsi="Times New Roman" w:cs="Times New Roman"/>
            <w:color w:val="auto"/>
            <w:lang w:val="ru-RU"/>
          </w:rPr>
          <w:t>ідпункту «б»</w:t>
        </w:r>
      </w:hyperlink>
      <w:r w:rsidRPr="001B11DC">
        <w:rPr>
          <w:rFonts w:ascii="Times New Roman" w:hAnsi="Times New Roman" w:cs="Times New Roman"/>
          <w:lang w:val="ru-RU"/>
        </w:rPr>
        <w:t xml:space="preserve"> пункту 23 частини четвертої статті 4 Закону України «Про Національну комісію, що здійснює державне регулювання у </w:t>
      </w:r>
      <w:proofErr w:type="gramStart"/>
      <w:r w:rsidRPr="001B11DC">
        <w:rPr>
          <w:rFonts w:ascii="Times New Roman" w:hAnsi="Times New Roman" w:cs="Times New Roman"/>
          <w:lang w:val="ru-RU"/>
        </w:rPr>
        <w:t>сферах</w:t>
      </w:r>
      <w:proofErr w:type="gramEnd"/>
      <w:r w:rsidRPr="001B11DC">
        <w:rPr>
          <w:rFonts w:ascii="Times New Roman" w:hAnsi="Times New Roman" w:cs="Times New Roman"/>
          <w:lang w:val="ru-RU"/>
        </w:rPr>
        <w:t xml:space="preserve"> електронних комунікацій, радіочастотного спектра та надання послуг поштового зв’язку», Національна комісія, що здійснює державне регулювання у сферах електронних комунікацій, радіочастотного спектра та надання послуг поштового зв’язку, </w:t>
      </w:r>
      <w:r w:rsidRPr="001B11DC">
        <w:rPr>
          <w:rFonts w:ascii="Times New Roman" w:hAnsi="Times New Roman" w:cs="Times New Roman"/>
          <w:b/>
          <w:bCs/>
          <w:lang w:val="ru-RU"/>
        </w:rPr>
        <w:t>ПОСТАНОВЛЯЄ:</w:t>
      </w:r>
    </w:p>
    <w:p w:rsidR="001F316E" w:rsidRPr="001B11DC" w:rsidRDefault="001F316E" w:rsidP="001B11DC">
      <w:pPr>
        <w:jc w:val="both"/>
        <w:rPr>
          <w:rFonts w:ascii="Times New Roman" w:hAnsi="Times New Roman" w:cs="Times New Roman"/>
          <w:lang w:val="ru-RU"/>
        </w:rPr>
      </w:pPr>
      <w:bookmarkStart w:id="2" w:name="n6"/>
      <w:bookmarkStart w:id="3" w:name="_GoBack"/>
      <w:bookmarkEnd w:id="2"/>
      <w:r w:rsidRPr="001B11DC">
        <w:rPr>
          <w:rFonts w:ascii="Times New Roman" w:hAnsi="Times New Roman" w:cs="Times New Roman"/>
          <w:lang w:val="ru-RU"/>
        </w:rPr>
        <w:t>1. Затвердити </w:t>
      </w:r>
      <w:hyperlink r:id="rId11" w:anchor="n13" w:history="1">
        <w:r w:rsidRPr="001B11DC">
          <w:rPr>
            <w:rStyle w:val="a4"/>
            <w:rFonts w:ascii="Times New Roman" w:hAnsi="Times New Roman" w:cs="Times New Roman"/>
            <w:color w:val="auto"/>
            <w:lang w:val="ru-RU"/>
          </w:rPr>
          <w:t xml:space="preserve">Порядок регулювання та встановлення цін (тарифів) на послуги поштового зв’язку з пересилання внутрішніх простих та реєстрованих листів без оголошеної цінності (рекомендованих) масою до 50 </w:t>
        </w:r>
        <w:proofErr w:type="gramStart"/>
        <w:r w:rsidRPr="001B11DC">
          <w:rPr>
            <w:rStyle w:val="a4"/>
            <w:rFonts w:ascii="Times New Roman" w:hAnsi="Times New Roman" w:cs="Times New Roman"/>
            <w:color w:val="auto"/>
            <w:lang w:val="ru-RU"/>
          </w:rPr>
          <w:t>грам</w:t>
        </w:r>
        <w:proofErr w:type="gramEnd"/>
        <w:r w:rsidRPr="001B11DC">
          <w:rPr>
            <w:rStyle w:val="a4"/>
            <w:rFonts w:ascii="Times New Roman" w:hAnsi="Times New Roman" w:cs="Times New Roman"/>
            <w:color w:val="auto"/>
            <w:lang w:val="ru-RU"/>
          </w:rPr>
          <w:t>ів і поштових карток</w:t>
        </w:r>
      </w:hyperlink>
      <w:r w:rsidRPr="001B11DC">
        <w:rPr>
          <w:rFonts w:ascii="Times New Roman" w:hAnsi="Times New Roman" w:cs="Times New Roman"/>
          <w:lang w:val="ru-RU"/>
        </w:rPr>
        <w:t>, що додається.</w:t>
      </w:r>
    </w:p>
    <w:p w:rsidR="001F316E" w:rsidRPr="001B11DC" w:rsidRDefault="001F316E" w:rsidP="001B11DC">
      <w:pPr>
        <w:jc w:val="both"/>
        <w:rPr>
          <w:rFonts w:ascii="Times New Roman" w:hAnsi="Times New Roman" w:cs="Times New Roman"/>
          <w:lang w:val="ru-RU"/>
        </w:rPr>
      </w:pPr>
      <w:bookmarkStart w:id="4" w:name="n7"/>
      <w:bookmarkEnd w:id="4"/>
      <w:r w:rsidRPr="001B11DC">
        <w:rPr>
          <w:rFonts w:ascii="Times New Roman" w:hAnsi="Times New Roman" w:cs="Times New Roman"/>
          <w:lang w:val="ru-RU"/>
        </w:rPr>
        <w:t>2. Визнати таким, що втратило чинність, </w:t>
      </w:r>
      <w:hyperlink r:id="rId12" w:tgtFrame="_blank" w:history="1">
        <w:proofErr w:type="gramStart"/>
        <w:r w:rsidRPr="001B11DC">
          <w:rPr>
            <w:rStyle w:val="a4"/>
            <w:rFonts w:ascii="Times New Roman" w:hAnsi="Times New Roman" w:cs="Times New Roman"/>
            <w:color w:val="auto"/>
            <w:lang w:val="ru-RU"/>
          </w:rPr>
          <w:t>р</w:t>
        </w:r>
        <w:proofErr w:type="gramEnd"/>
        <w:r w:rsidRPr="001B11DC">
          <w:rPr>
            <w:rStyle w:val="a4"/>
            <w:rFonts w:ascii="Times New Roman" w:hAnsi="Times New Roman" w:cs="Times New Roman"/>
            <w:color w:val="auto"/>
            <w:lang w:val="ru-RU"/>
          </w:rPr>
          <w:t>ішення Національної комісії, що здійснює державне регулювання у сфері зв’язку та інформатизації, від 23 травня 2017 року № 260</w:t>
        </w:r>
      </w:hyperlink>
      <w:r w:rsidRPr="001B11DC">
        <w:rPr>
          <w:rFonts w:ascii="Times New Roman" w:hAnsi="Times New Roman" w:cs="Times New Roman"/>
          <w:lang w:val="ru-RU"/>
        </w:rPr>
        <w:t> «Про затвердження Порядку регулювання тарифів на універсальні послуги поштового зв’язку», зареєстроване в Міністерстві юстиції України 16 червня 2017 року за № 759/30627.</w:t>
      </w:r>
    </w:p>
    <w:p w:rsidR="001F316E" w:rsidRPr="001B11DC" w:rsidRDefault="001F316E" w:rsidP="001B11DC">
      <w:pPr>
        <w:jc w:val="both"/>
        <w:rPr>
          <w:rFonts w:ascii="Times New Roman" w:hAnsi="Times New Roman" w:cs="Times New Roman"/>
          <w:lang w:val="ru-RU"/>
        </w:rPr>
      </w:pPr>
      <w:bookmarkStart w:id="5" w:name="n8"/>
      <w:bookmarkEnd w:id="5"/>
      <w:r w:rsidRPr="001B11DC">
        <w:rPr>
          <w:rFonts w:ascii="Times New Roman" w:hAnsi="Times New Roman" w:cs="Times New Roman"/>
          <w:lang w:val="ru-RU"/>
        </w:rPr>
        <w:t>3. Департаменту економічного регулювання в установленому законодавством порядку подати цю постанову на державну реєстрацію до Міністерства юстиції України.</w:t>
      </w:r>
    </w:p>
    <w:p w:rsidR="001F316E" w:rsidRPr="001B11DC" w:rsidRDefault="001F316E" w:rsidP="001F316E">
      <w:pPr>
        <w:rPr>
          <w:rFonts w:ascii="Times New Roman" w:hAnsi="Times New Roman" w:cs="Times New Roman"/>
          <w:lang w:val="ru-RU"/>
        </w:rPr>
      </w:pPr>
      <w:bookmarkStart w:id="6" w:name="n9"/>
      <w:bookmarkEnd w:id="6"/>
      <w:bookmarkEnd w:id="3"/>
      <w:r w:rsidRPr="001B11DC">
        <w:rPr>
          <w:rFonts w:ascii="Times New Roman" w:hAnsi="Times New Roman" w:cs="Times New Roman"/>
          <w:lang w:val="ru-RU"/>
        </w:rPr>
        <w:t>4. Ця постанова набирає чинності з дня її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5429"/>
      </w:tblGrid>
      <w:tr w:rsidR="001B11DC" w:rsidRPr="001B11DC" w:rsidTr="001F316E">
        <w:tc>
          <w:tcPr>
            <w:tcW w:w="2100" w:type="pct"/>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rPr>
                <w:rFonts w:ascii="Times New Roman" w:hAnsi="Times New Roman" w:cs="Times New Roman"/>
                <w:lang w:val="ru-RU"/>
              </w:rPr>
            </w:pPr>
            <w:bookmarkStart w:id="7" w:name="n10"/>
            <w:bookmarkEnd w:id="7"/>
            <w:r w:rsidRPr="001B11DC">
              <w:rPr>
                <w:rFonts w:ascii="Times New Roman" w:hAnsi="Times New Roman" w:cs="Times New Roman"/>
                <w:b/>
                <w:bCs/>
                <w:lang w:val="ru-RU"/>
              </w:rPr>
              <w:t>Голова</w:t>
            </w:r>
          </w:p>
        </w:tc>
        <w:tc>
          <w:tcPr>
            <w:tcW w:w="3500" w:type="pct"/>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О. Животовський</w:t>
            </w:r>
          </w:p>
        </w:tc>
      </w:tr>
    </w:tbl>
    <w:p w:rsidR="001F316E" w:rsidRPr="001B11DC" w:rsidRDefault="001B11DC" w:rsidP="001F316E">
      <w:pPr>
        <w:rPr>
          <w:rFonts w:ascii="Times New Roman" w:hAnsi="Times New Roman" w:cs="Times New Roman"/>
          <w:lang w:val="ru-RU"/>
        </w:rPr>
      </w:pPr>
      <w:r w:rsidRPr="001B11DC">
        <w:rPr>
          <w:rFonts w:ascii="Times New Roman" w:hAnsi="Times New Roman" w:cs="Times New Roman"/>
          <w:lang w:val="ru-RU"/>
        </w:rPr>
        <w:pict>
          <v:rect id="_x0000_i1025" style="width:0;height:0" o:hralign="center" o:hrstd="t" o:hrnoshade="t" o:hr="t" fillcolor="black" stroked="f"/>
        </w:pict>
      </w:r>
    </w:p>
    <w:p w:rsidR="001F316E" w:rsidRPr="001B11DC" w:rsidRDefault="001F316E" w:rsidP="001F316E">
      <w:pPr>
        <w:rPr>
          <w:rFonts w:ascii="Times New Roman" w:hAnsi="Times New Roman" w:cs="Times New Roman"/>
          <w:lang w:val="ru-RU"/>
        </w:rPr>
      </w:pPr>
    </w:p>
    <w:p w:rsidR="001F316E" w:rsidRPr="001B11DC" w:rsidRDefault="001F316E" w:rsidP="001F316E">
      <w:pPr>
        <w:rPr>
          <w:rFonts w:ascii="Times New Roman" w:hAnsi="Times New Roman" w:cs="Times New Roman"/>
          <w:lang w:val="ru-RU"/>
        </w:rPr>
      </w:pPr>
    </w:p>
    <w:p w:rsidR="001F316E" w:rsidRPr="001B11DC" w:rsidRDefault="001F316E" w:rsidP="001F316E">
      <w:pPr>
        <w:ind w:left="225" w:right="225"/>
        <w:jc w:val="right"/>
        <w:rPr>
          <w:rFonts w:ascii="Times New Roman" w:hAnsi="Times New Roman" w:cs="Times New Roman"/>
          <w:b/>
          <w:bCs/>
          <w:lang w:val="ru-RU"/>
        </w:rPr>
      </w:pPr>
      <w:bookmarkStart w:id="8" w:name="n156"/>
      <w:bookmarkStart w:id="9" w:name="n11"/>
      <w:bookmarkStart w:id="10" w:name="n13"/>
      <w:bookmarkEnd w:id="8"/>
      <w:bookmarkEnd w:id="9"/>
      <w:bookmarkEnd w:id="10"/>
      <w:r w:rsidRPr="001B11DC">
        <w:rPr>
          <w:rFonts w:ascii="Times New Roman" w:hAnsi="Times New Roman" w:cs="Times New Roman"/>
          <w:b/>
          <w:bCs/>
          <w:lang w:val="ru-RU"/>
        </w:rPr>
        <w:lastRenderedPageBreak/>
        <w:t>ЗАТВЕРДЖЕНО</w:t>
      </w:r>
      <w:r w:rsidRPr="001B11DC">
        <w:rPr>
          <w:rFonts w:ascii="Times New Roman" w:hAnsi="Times New Roman" w:cs="Times New Roman"/>
          <w:lang w:val="ru-RU"/>
        </w:rPr>
        <w:br/>
      </w:r>
      <w:r w:rsidRPr="001B11DC">
        <w:rPr>
          <w:rFonts w:ascii="Times New Roman" w:hAnsi="Times New Roman" w:cs="Times New Roman"/>
          <w:b/>
          <w:bCs/>
          <w:lang w:val="ru-RU"/>
        </w:rPr>
        <w:t>Постанова Національної</w:t>
      </w:r>
      <w:r w:rsidRPr="001B11DC">
        <w:rPr>
          <w:rFonts w:ascii="Times New Roman" w:hAnsi="Times New Roman" w:cs="Times New Roman"/>
          <w:lang w:val="ru-RU"/>
        </w:rPr>
        <w:br/>
      </w:r>
      <w:r w:rsidRPr="001B11DC">
        <w:rPr>
          <w:rFonts w:ascii="Times New Roman" w:hAnsi="Times New Roman" w:cs="Times New Roman"/>
          <w:b/>
          <w:bCs/>
          <w:lang w:val="ru-RU"/>
        </w:rPr>
        <w:t>комісії, що здійснює державне</w:t>
      </w:r>
      <w:r w:rsidRPr="001B11DC">
        <w:rPr>
          <w:rFonts w:ascii="Times New Roman" w:hAnsi="Times New Roman" w:cs="Times New Roman"/>
          <w:lang w:val="ru-RU"/>
        </w:rPr>
        <w:br/>
      </w:r>
      <w:r w:rsidRPr="001B11DC">
        <w:rPr>
          <w:rFonts w:ascii="Times New Roman" w:hAnsi="Times New Roman" w:cs="Times New Roman"/>
          <w:b/>
          <w:bCs/>
          <w:lang w:val="ru-RU"/>
        </w:rPr>
        <w:t xml:space="preserve">регулювання у </w:t>
      </w:r>
      <w:proofErr w:type="gramStart"/>
      <w:r w:rsidRPr="001B11DC">
        <w:rPr>
          <w:rFonts w:ascii="Times New Roman" w:hAnsi="Times New Roman" w:cs="Times New Roman"/>
          <w:b/>
          <w:bCs/>
          <w:lang w:val="ru-RU"/>
        </w:rPr>
        <w:t>сферах</w:t>
      </w:r>
      <w:proofErr w:type="gramEnd"/>
      <w:r w:rsidRPr="001B11DC">
        <w:rPr>
          <w:rFonts w:ascii="Times New Roman" w:hAnsi="Times New Roman" w:cs="Times New Roman"/>
          <w:lang w:val="ru-RU"/>
        </w:rPr>
        <w:br/>
      </w:r>
      <w:r w:rsidRPr="001B11DC">
        <w:rPr>
          <w:rFonts w:ascii="Times New Roman" w:hAnsi="Times New Roman" w:cs="Times New Roman"/>
          <w:b/>
          <w:bCs/>
          <w:lang w:val="ru-RU"/>
        </w:rPr>
        <w:t>електронних комунікацій,</w:t>
      </w:r>
      <w:r w:rsidRPr="001B11DC">
        <w:rPr>
          <w:rFonts w:ascii="Times New Roman" w:hAnsi="Times New Roman" w:cs="Times New Roman"/>
          <w:lang w:val="ru-RU"/>
        </w:rPr>
        <w:br/>
      </w:r>
      <w:r w:rsidRPr="001B11DC">
        <w:rPr>
          <w:rFonts w:ascii="Times New Roman" w:hAnsi="Times New Roman" w:cs="Times New Roman"/>
          <w:b/>
          <w:bCs/>
          <w:lang w:val="ru-RU"/>
        </w:rPr>
        <w:t>радіочастотного спектра</w:t>
      </w:r>
      <w:r w:rsidRPr="001B11DC">
        <w:rPr>
          <w:rFonts w:ascii="Times New Roman" w:hAnsi="Times New Roman" w:cs="Times New Roman"/>
          <w:lang w:val="ru-RU"/>
        </w:rPr>
        <w:br/>
      </w:r>
      <w:r w:rsidRPr="001B11DC">
        <w:rPr>
          <w:rFonts w:ascii="Times New Roman" w:hAnsi="Times New Roman" w:cs="Times New Roman"/>
          <w:b/>
          <w:bCs/>
          <w:lang w:val="ru-RU"/>
        </w:rPr>
        <w:t>та надання послуг поштового</w:t>
      </w:r>
      <w:r w:rsidRPr="001B11DC">
        <w:rPr>
          <w:rFonts w:ascii="Times New Roman" w:hAnsi="Times New Roman" w:cs="Times New Roman"/>
          <w:lang w:val="ru-RU"/>
        </w:rPr>
        <w:br/>
      </w:r>
      <w:r w:rsidRPr="001B11DC">
        <w:rPr>
          <w:rFonts w:ascii="Times New Roman" w:hAnsi="Times New Roman" w:cs="Times New Roman"/>
          <w:b/>
          <w:bCs/>
          <w:lang w:val="ru-RU"/>
        </w:rPr>
        <w:t>зв’язку</w:t>
      </w:r>
      <w:r w:rsidRPr="001B11DC">
        <w:rPr>
          <w:rFonts w:ascii="Times New Roman" w:hAnsi="Times New Roman" w:cs="Times New Roman"/>
          <w:lang w:val="ru-RU"/>
        </w:rPr>
        <w:br/>
      </w:r>
      <w:r w:rsidRPr="001B11DC">
        <w:rPr>
          <w:rFonts w:ascii="Times New Roman" w:hAnsi="Times New Roman" w:cs="Times New Roman"/>
          <w:b/>
          <w:bCs/>
          <w:lang w:val="ru-RU"/>
        </w:rPr>
        <w:t>17 травня 2023 року № 189</w:t>
      </w:r>
    </w:p>
    <w:p w:rsidR="001F316E" w:rsidRPr="001B11DC" w:rsidRDefault="001F316E" w:rsidP="001F316E">
      <w:pPr>
        <w:ind w:left="225" w:right="225"/>
        <w:jc w:val="right"/>
        <w:rPr>
          <w:rFonts w:ascii="Times New Roman" w:hAnsi="Times New Roman" w:cs="Times New Roman"/>
          <w:b/>
          <w:bCs/>
          <w:lang w:val="ru-RU"/>
        </w:rPr>
      </w:pPr>
    </w:p>
    <w:p w:rsidR="001F316E" w:rsidRPr="001B11DC" w:rsidRDefault="001F316E" w:rsidP="001F316E">
      <w:pPr>
        <w:ind w:left="225" w:right="225"/>
        <w:jc w:val="right"/>
        <w:rPr>
          <w:rFonts w:ascii="Times New Roman" w:hAnsi="Times New Roman" w:cs="Times New Roman"/>
          <w:b/>
          <w:bCs/>
          <w:lang w:val="ru-RU"/>
        </w:rPr>
      </w:pPr>
      <w:r w:rsidRPr="001B11DC">
        <w:rPr>
          <w:rFonts w:ascii="Times New Roman" w:hAnsi="Times New Roman" w:cs="Times New Roman"/>
          <w:b/>
          <w:bCs/>
          <w:lang w:val="ru-RU"/>
        </w:rPr>
        <w:t>Зареєстровано в Міністерстві</w:t>
      </w:r>
      <w:r w:rsidRPr="001B11DC">
        <w:rPr>
          <w:rFonts w:ascii="Times New Roman" w:hAnsi="Times New Roman" w:cs="Times New Roman"/>
          <w:lang w:val="ru-RU"/>
        </w:rPr>
        <w:br/>
      </w:r>
      <w:r w:rsidRPr="001B11DC">
        <w:rPr>
          <w:rFonts w:ascii="Times New Roman" w:hAnsi="Times New Roman" w:cs="Times New Roman"/>
          <w:b/>
          <w:bCs/>
          <w:lang w:val="ru-RU"/>
        </w:rPr>
        <w:t>юстиції України</w:t>
      </w:r>
      <w:r w:rsidRPr="001B11DC">
        <w:rPr>
          <w:rFonts w:ascii="Times New Roman" w:hAnsi="Times New Roman" w:cs="Times New Roman"/>
          <w:lang w:val="ru-RU"/>
        </w:rPr>
        <w:br/>
      </w:r>
      <w:r w:rsidRPr="001B11DC">
        <w:rPr>
          <w:rFonts w:ascii="Times New Roman" w:hAnsi="Times New Roman" w:cs="Times New Roman"/>
          <w:b/>
          <w:bCs/>
          <w:lang w:val="ru-RU"/>
        </w:rPr>
        <w:t>15 червня 2023 р.</w:t>
      </w:r>
      <w:r w:rsidRPr="001B11DC">
        <w:rPr>
          <w:rFonts w:ascii="Times New Roman" w:hAnsi="Times New Roman" w:cs="Times New Roman"/>
          <w:lang w:val="ru-RU"/>
        </w:rPr>
        <w:br/>
      </w:r>
      <w:r w:rsidRPr="001B11DC">
        <w:rPr>
          <w:rFonts w:ascii="Times New Roman" w:hAnsi="Times New Roman" w:cs="Times New Roman"/>
          <w:b/>
          <w:bCs/>
          <w:lang w:val="ru-RU"/>
        </w:rPr>
        <w:t>за № 995/40051</w:t>
      </w:r>
    </w:p>
    <w:p w:rsidR="001F316E" w:rsidRPr="001B11DC" w:rsidRDefault="001F316E" w:rsidP="001F316E">
      <w:pPr>
        <w:ind w:left="225" w:right="225"/>
        <w:jc w:val="center"/>
        <w:rPr>
          <w:rFonts w:ascii="Times New Roman" w:hAnsi="Times New Roman" w:cs="Times New Roman"/>
          <w:lang w:val="ru-RU"/>
        </w:rPr>
      </w:pPr>
      <w:r w:rsidRPr="001B11DC">
        <w:rPr>
          <w:rFonts w:ascii="Times New Roman" w:hAnsi="Times New Roman" w:cs="Times New Roman"/>
          <w:b/>
          <w:bCs/>
          <w:lang w:val="ru-RU"/>
        </w:rPr>
        <w:t>ПОРЯДОК</w:t>
      </w:r>
      <w:r w:rsidRPr="001B11DC">
        <w:rPr>
          <w:rFonts w:ascii="Times New Roman" w:hAnsi="Times New Roman" w:cs="Times New Roman"/>
          <w:lang w:val="ru-RU"/>
        </w:rPr>
        <w:br/>
      </w:r>
      <w:r w:rsidRPr="001B11DC">
        <w:rPr>
          <w:rFonts w:ascii="Times New Roman" w:hAnsi="Times New Roman" w:cs="Times New Roman"/>
          <w:b/>
          <w:bCs/>
          <w:lang w:val="ru-RU"/>
        </w:rPr>
        <w:t xml:space="preserve">регулювання та встановлення цін (тарифів) на послуги поштового зв’язку з пересилання внутрішніх простих та реєстрованих листів без оголошеної цінності (рекомендованих) масою до 50 </w:t>
      </w:r>
      <w:proofErr w:type="gramStart"/>
      <w:r w:rsidRPr="001B11DC">
        <w:rPr>
          <w:rFonts w:ascii="Times New Roman" w:hAnsi="Times New Roman" w:cs="Times New Roman"/>
          <w:b/>
          <w:bCs/>
          <w:lang w:val="ru-RU"/>
        </w:rPr>
        <w:t>грам</w:t>
      </w:r>
      <w:proofErr w:type="gramEnd"/>
      <w:r w:rsidRPr="001B11DC">
        <w:rPr>
          <w:rFonts w:ascii="Times New Roman" w:hAnsi="Times New Roman" w:cs="Times New Roman"/>
          <w:b/>
          <w:bCs/>
          <w:lang w:val="ru-RU"/>
        </w:rPr>
        <w:t>ів і поштових карток</w:t>
      </w:r>
    </w:p>
    <w:p w:rsidR="001F316E" w:rsidRPr="001B11DC" w:rsidRDefault="001F316E" w:rsidP="001F316E">
      <w:pPr>
        <w:ind w:left="225" w:right="225"/>
        <w:jc w:val="both"/>
        <w:rPr>
          <w:rFonts w:ascii="Times New Roman" w:hAnsi="Times New Roman" w:cs="Times New Roman"/>
          <w:lang w:val="ru-RU"/>
        </w:rPr>
      </w:pPr>
      <w:bookmarkStart w:id="11" w:name="n14"/>
      <w:bookmarkEnd w:id="11"/>
      <w:r w:rsidRPr="001B11DC">
        <w:rPr>
          <w:rFonts w:ascii="Times New Roman" w:hAnsi="Times New Roman" w:cs="Times New Roman"/>
          <w:b/>
          <w:bCs/>
          <w:lang w:val="ru-RU"/>
        </w:rPr>
        <w:t>I. Загальні положення</w:t>
      </w:r>
    </w:p>
    <w:p w:rsidR="001F316E" w:rsidRPr="001B11DC" w:rsidRDefault="001F316E" w:rsidP="001F316E">
      <w:pPr>
        <w:jc w:val="both"/>
        <w:rPr>
          <w:rFonts w:ascii="Times New Roman" w:hAnsi="Times New Roman" w:cs="Times New Roman"/>
          <w:lang w:val="ru-RU"/>
        </w:rPr>
      </w:pPr>
      <w:bookmarkStart w:id="12" w:name="n15"/>
      <w:bookmarkEnd w:id="12"/>
      <w:r w:rsidRPr="001B11DC">
        <w:rPr>
          <w:rFonts w:ascii="Times New Roman" w:hAnsi="Times New Roman" w:cs="Times New Roman"/>
          <w:lang w:val="ru-RU"/>
        </w:rPr>
        <w:t xml:space="preserve">1. Цей Порядок визначає механізм формування та встановлення граничних цін (тарифів) на послуги поштового зв’язку з пересилання внутрішніх простих та реєстрованих листів без оголошеної цінності (рекомендованих) масою до 50 </w:t>
      </w:r>
      <w:proofErr w:type="gramStart"/>
      <w:r w:rsidRPr="001B11DC">
        <w:rPr>
          <w:rFonts w:ascii="Times New Roman" w:hAnsi="Times New Roman" w:cs="Times New Roman"/>
          <w:lang w:val="ru-RU"/>
        </w:rPr>
        <w:t>грам</w:t>
      </w:r>
      <w:proofErr w:type="gramEnd"/>
      <w:r w:rsidRPr="001B11DC">
        <w:rPr>
          <w:rFonts w:ascii="Times New Roman" w:hAnsi="Times New Roman" w:cs="Times New Roman"/>
          <w:lang w:val="ru-RU"/>
        </w:rPr>
        <w:t>ів і поштових карток (далі - ціни (тарифи).</w:t>
      </w:r>
    </w:p>
    <w:p w:rsidR="001F316E" w:rsidRPr="001B11DC" w:rsidRDefault="001F316E" w:rsidP="001F316E">
      <w:pPr>
        <w:jc w:val="both"/>
        <w:rPr>
          <w:rFonts w:ascii="Times New Roman" w:hAnsi="Times New Roman" w:cs="Times New Roman"/>
          <w:lang w:val="ru-RU"/>
        </w:rPr>
      </w:pPr>
      <w:bookmarkStart w:id="13" w:name="n16"/>
      <w:bookmarkEnd w:id="13"/>
      <w:r w:rsidRPr="001B11DC">
        <w:rPr>
          <w:rFonts w:ascii="Times New Roman" w:hAnsi="Times New Roman" w:cs="Times New Roman"/>
          <w:lang w:val="ru-RU"/>
        </w:rPr>
        <w:t xml:space="preserve">2. Регулювання та встановлення граничних цін (тарифів) на послуги поштового зв’язку з пересилання внутрішніх простих та реєстрованих листів без оголошеної цінності (рекомендованих) масою до 50 </w:t>
      </w:r>
      <w:proofErr w:type="gramStart"/>
      <w:r w:rsidRPr="001B11DC">
        <w:rPr>
          <w:rFonts w:ascii="Times New Roman" w:hAnsi="Times New Roman" w:cs="Times New Roman"/>
          <w:lang w:val="ru-RU"/>
        </w:rPr>
        <w:t>грам</w:t>
      </w:r>
      <w:proofErr w:type="gramEnd"/>
      <w:r w:rsidRPr="001B11DC">
        <w:rPr>
          <w:rFonts w:ascii="Times New Roman" w:hAnsi="Times New Roman" w:cs="Times New Roman"/>
          <w:lang w:val="ru-RU"/>
        </w:rPr>
        <w:t>ів і поштових карток (далі - регульовані НКЕК поштові послуги) проводить Національна комісія, що здійснює державне регулювання у сферах електронних комунікацій, радіочастотного спектра та послуг поштового зв’язку.</w:t>
      </w:r>
    </w:p>
    <w:p w:rsidR="001F316E" w:rsidRPr="001B11DC" w:rsidRDefault="001F316E" w:rsidP="001F316E">
      <w:pPr>
        <w:jc w:val="both"/>
        <w:rPr>
          <w:rFonts w:ascii="Times New Roman" w:hAnsi="Times New Roman" w:cs="Times New Roman"/>
          <w:lang w:val="ru-RU"/>
        </w:rPr>
      </w:pPr>
      <w:bookmarkStart w:id="14" w:name="n17"/>
      <w:bookmarkEnd w:id="14"/>
      <w:r w:rsidRPr="001B11DC">
        <w:rPr>
          <w:rFonts w:ascii="Times New Roman" w:hAnsi="Times New Roman" w:cs="Times New Roman"/>
          <w:lang w:val="ru-RU"/>
        </w:rPr>
        <w:t xml:space="preserve">3. При прийнятті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ішення щодо встановлення цін (тарифів) НКЕК враховує інформацію про діяльність призначених операторів поштового зв’язку, надану відповідно до </w:t>
      </w:r>
      <w:hyperlink r:id="rId13" w:anchor="n126" w:history="1">
        <w:r w:rsidRPr="001B11DC">
          <w:rPr>
            <w:rStyle w:val="a4"/>
            <w:rFonts w:ascii="Times New Roman" w:hAnsi="Times New Roman" w:cs="Times New Roman"/>
            <w:color w:val="auto"/>
            <w:lang w:val="ru-RU"/>
          </w:rPr>
          <w:t>пункту 2</w:t>
        </w:r>
      </w:hyperlink>
      <w:r w:rsidRPr="001B11DC">
        <w:rPr>
          <w:rFonts w:ascii="Times New Roman" w:hAnsi="Times New Roman" w:cs="Times New Roman"/>
          <w:lang w:val="ru-RU"/>
        </w:rPr>
        <w:t> розділу V цього Порядку, а також іншу інформацію, зокрема основні прогнозні макропоказники економічного і соціального розвитку України, схвалені відповідною постановою Кабінету Міні</w:t>
      </w:r>
      <w:proofErr w:type="gramStart"/>
      <w:r w:rsidRPr="001B11DC">
        <w:rPr>
          <w:rFonts w:ascii="Times New Roman" w:hAnsi="Times New Roman" w:cs="Times New Roman"/>
          <w:lang w:val="ru-RU"/>
        </w:rPr>
        <w:t>стр</w:t>
      </w:r>
      <w:proofErr w:type="gramEnd"/>
      <w:r w:rsidRPr="001B11DC">
        <w:rPr>
          <w:rFonts w:ascii="Times New Roman" w:hAnsi="Times New Roman" w:cs="Times New Roman"/>
          <w:lang w:val="ru-RU"/>
        </w:rPr>
        <w:t>ів України.</w:t>
      </w:r>
    </w:p>
    <w:p w:rsidR="001F316E" w:rsidRPr="001B11DC" w:rsidRDefault="001F316E" w:rsidP="001F316E">
      <w:pPr>
        <w:jc w:val="both"/>
        <w:rPr>
          <w:rFonts w:ascii="Times New Roman" w:hAnsi="Times New Roman" w:cs="Times New Roman"/>
          <w:lang w:val="ru-RU"/>
        </w:rPr>
      </w:pPr>
      <w:bookmarkStart w:id="15" w:name="n159"/>
      <w:bookmarkEnd w:id="15"/>
      <w:r w:rsidRPr="001B11DC">
        <w:rPr>
          <w:rFonts w:ascii="Times New Roman" w:hAnsi="Times New Roman" w:cs="Times New Roman"/>
          <w:lang w:val="ru-RU"/>
        </w:rPr>
        <w:t xml:space="preserve">4. НКЕК приймає постанову щодо встановлення граничних цін (тарифів)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ісля отримання офіційної позиції Спільного представницького органу репрезентативних всеукраїнських об’єднань профспілок на національному рівні та Спільного представницького органу сторони роботодавців на національному рівні.</w:t>
      </w:r>
    </w:p>
    <w:p w:rsidR="001F316E" w:rsidRPr="001B11DC" w:rsidRDefault="001F316E" w:rsidP="001F316E">
      <w:pPr>
        <w:jc w:val="both"/>
        <w:rPr>
          <w:rFonts w:ascii="Times New Roman" w:hAnsi="Times New Roman" w:cs="Times New Roman"/>
          <w:lang w:val="ru-RU"/>
        </w:rPr>
      </w:pPr>
      <w:bookmarkStart w:id="16" w:name="n161"/>
      <w:bookmarkEnd w:id="16"/>
      <w:r w:rsidRPr="001B11DC">
        <w:rPr>
          <w:rFonts w:ascii="Times New Roman" w:hAnsi="Times New Roman" w:cs="Times New Roman"/>
          <w:i/>
          <w:iCs/>
          <w:lang w:val="ru-RU"/>
        </w:rPr>
        <w:t xml:space="preserve">{Розділ I доповнено пунктом 4 згідно з Постановою Національної комісії, що здійснює державне регулювання у </w:t>
      </w:r>
      <w:proofErr w:type="gramStart"/>
      <w:r w:rsidRPr="001B11DC">
        <w:rPr>
          <w:rFonts w:ascii="Times New Roman" w:hAnsi="Times New Roman" w:cs="Times New Roman"/>
          <w:i/>
          <w:iCs/>
          <w:lang w:val="ru-RU"/>
        </w:rPr>
        <w:t>сферах</w:t>
      </w:r>
      <w:proofErr w:type="gramEnd"/>
      <w:r w:rsidRPr="001B11DC">
        <w:rPr>
          <w:rFonts w:ascii="Times New Roman" w:hAnsi="Times New Roman" w:cs="Times New Roman"/>
          <w:i/>
          <w:iCs/>
          <w:lang w:val="ru-RU"/>
        </w:rPr>
        <w:t xml:space="preserve"> електронних комунікацій, радіочастотного спектра та надання послуг поштового зв'язку </w:t>
      </w:r>
      <w:hyperlink r:id="rId14" w:anchor="n13" w:tgtFrame="_blank" w:history="1">
        <w:r w:rsidRPr="001B11DC">
          <w:rPr>
            <w:rStyle w:val="a4"/>
            <w:rFonts w:ascii="Times New Roman" w:hAnsi="Times New Roman" w:cs="Times New Roman"/>
            <w:i/>
            <w:iCs/>
            <w:color w:val="auto"/>
            <w:lang w:val="ru-RU"/>
          </w:rPr>
          <w:t>№ 399 від 25.10.2023</w:t>
        </w:r>
      </w:hyperlink>
      <w:r w:rsidRPr="001B11DC">
        <w:rPr>
          <w:rFonts w:ascii="Times New Roman" w:hAnsi="Times New Roman" w:cs="Times New Roman"/>
          <w:i/>
          <w:iCs/>
          <w:lang w:val="ru-RU"/>
        </w:rPr>
        <w:t>}</w:t>
      </w:r>
    </w:p>
    <w:p w:rsidR="001F316E" w:rsidRPr="001B11DC" w:rsidRDefault="001F316E" w:rsidP="001F316E">
      <w:pPr>
        <w:jc w:val="both"/>
        <w:rPr>
          <w:rFonts w:ascii="Times New Roman" w:hAnsi="Times New Roman" w:cs="Times New Roman"/>
          <w:lang w:val="ru-RU"/>
        </w:rPr>
      </w:pPr>
      <w:bookmarkStart w:id="17" w:name="n18"/>
      <w:bookmarkEnd w:id="17"/>
      <w:r w:rsidRPr="001B11DC">
        <w:rPr>
          <w:rFonts w:ascii="Times New Roman" w:hAnsi="Times New Roman" w:cs="Times New Roman"/>
          <w:lang w:val="ru-RU"/>
        </w:rPr>
        <w:t xml:space="preserve">5. У цьому Порядку терміни вживаються </w:t>
      </w:r>
      <w:proofErr w:type="gramStart"/>
      <w:r w:rsidRPr="001B11DC">
        <w:rPr>
          <w:rFonts w:ascii="Times New Roman" w:hAnsi="Times New Roman" w:cs="Times New Roman"/>
          <w:lang w:val="ru-RU"/>
        </w:rPr>
        <w:t>в</w:t>
      </w:r>
      <w:proofErr w:type="gramEnd"/>
      <w:r w:rsidRPr="001B11DC">
        <w:rPr>
          <w:rFonts w:ascii="Times New Roman" w:hAnsi="Times New Roman" w:cs="Times New Roman"/>
          <w:lang w:val="ru-RU"/>
        </w:rPr>
        <w:t xml:space="preserve"> таких значеннях:</w:t>
      </w:r>
    </w:p>
    <w:p w:rsidR="001F316E" w:rsidRPr="001B11DC" w:rsidRDefault="001F316E" w:rsidP="001F316E">
      <w:pPr>
        <w:jc w:val="both"/>
        <w:rPr>
          <w:rFonts w:ascii="Times New Roman" w:hAnsi="Times New Roman" w:cs="Times New Roman"/>
          <w:lang w:val="ru-RU"/>
        </w:rPr>
      </w:pPr>
      <w:bookmarkStart w:id="18" w:name="n19"/>
      <w:bookmarkEnd w:id="18"/>
      <w:r w:rsidRPr="001B11DC">
        <w:rPr>
          <w:rFonts w:ascii="Times New Roman" w:hAnsi="Times New Roman" w:cs="Times New Roman"/>
          <w:lang w:val="ru-RU"/>
        </w:rPr>
        <w:lastRenderedPageBreak/>
        <w:t xml:space="preserve">базовий період - календарний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ік, що передує планованому періоду, дані за який формуються як сума фактичних витрат за останній звітний період (квартал, півріччя, 9 місяців) і планових витрат до кінця поточного року;</w:t>
      </w:r>
    </w:p>
    <w:p w:rsidR="001F316E" w:rsidRPr="001B11DC" w:rsidRDefault="001F316E" w:rsidP="001F316E">
      <w:pPr>
        <w:jc w:val="both"/>
        <w:rPr>
          <w:rFonts w:ascii="Times New Roman" w:hAnsi="Times New Roman" w:cs="Times New Roman"/>
          <w:lang w:val="ru-RU"/>
        </w:rPr>
      </w:pPr>
      <w:bookmarkStart w:id="19" w:name="n20"/>
      <w:bookmarkEnd w:id="19"/>
      <w:r w:rsidRPr="001B11DC">
        <w:rPr>
          <w:rFonts w:ascii="Times New Roman" w:hAnsi="Times New Roman" w:cs="Times New Roman"/>
          <w:lang w:val="ru-RU"/>
        </w:rPr>
        <w:t xml:space="preserve">економічно обґрунтовані планові витрати - витрати, планування яких здійснюється з дотриманням вимог стандартів, нормативів, норм технологічних регламентів, з урахуванням планового прибутку та </w:t>
      </w:r>
      <w:proofErr w:type="gramStart"/>
      <w:r w:rsidRPr="001B11DC">
        <w:rPr>
          <w:rFonts w:ascii="Times New Roman" w:hAnsi="Times New Roman" w:cs="Times New Roman"/>
          <w:lang w:val="ru-RU"/>
        </w:rPr>
        <w:t>з обов</w:t>
      </w:r>
      <w:proofErr w:type="gramEnd"/>
      <w:r w:rsidRPr="001B11DC">
        <w:rPr>
          <w:rFonts w:ascii="Times New Roman" w:hAnsi="Times New Roman" w:cs="Times New Roman"/>
          <w:lang w:val="ru-RU"/>
        </w:rPr>
        <w:t>’язковим включенням інвестиційної складової;</w:t>
      </w:r>
    </w:p>
    <w:p w:rsidR="001F316E" w:rsidRPr="001B11DC" w:rsidRDefault="001F316E" w:rsidP="001F316E">
      <w:pPr>
        <w:jc w:val="both"/>
        <w:rPr>
          <w:rFonts w:ascii="Times New Roman" w:hAnsi="Times New Roman" w:cs="Times New Roman"/>
          <w:lang w:val="ru-RU"/>
        </w:rPr>
      </w:pPr>
      <w:bookmarkStart w:id="20" w:name="n21"/>
      <w:bookmarkEnd w:id="20"/>
      <w:r w:rsidRPr="001B11DC">
        <w:rPr>
          <w:rFonts w:ascii="Times New Roman" w:hAnsi="Times New Roman" w:cs="Times New Roman"/>
          <w:lang w:val="ru-RU"/>
        </w:rPr>
        <w:t>згрупований вид відправлень - згруповані за характером виробничого процесу поштові відправлення;</w:t>
      </w:r>
    </w:p>
    <w:p w:rsidR="001F316E" w:rsidRPr="001B11DC" w:rsidRDefault="001F316E" w:rsidP="001F316E">
      <w:pPr>
        <w:jc w:val="both"/>
        <w:rPr>
          <w:rFonts w:ascii="Times New Roman" w:hAnsi="Times New Roman" w:cs="Times New Roman"/>
          <w:lang w:val="ru-RU"/>
        </w:rPr>
      </w:pPr>
      <w:bookmarkStart w:id="21" w:name="n22"/>
      <w:bookmarkEnd w:id="21"/>
      <w:r w:rsidRPr="001B11DC">
        <w:rPr>
          <w:rFonts w:ascii="Times New Roman" w:hAnsi="Times New Roman" w:cs="Times New Roman"/>
          <w:lang w:val="ru-RU"/>
        </w:rPr>
        <w:t>одиниця калькулювання ціни (тарифу) регульованої НКЕК поштової послуги - одне поштове відправлення (письмова кореспонденція) усередненої маси за згрупованими видами відправлень;</w:t>
      </w:r>
    </w:p>
    <w:p w:rsidR="001F316E" w:rsidRPr="001B11DC" w:rsidRDefault="001F316E" w:rsidP="001F316E">
      <w:pPr>
        <w:jc w:val="both"/>
        <w:rPr>
          <w:rFonts w:ascii="Times New Roman" w:hAnsi="Times New Roman" w:cs="Times New Roman"/>
          <w:lang w:val="ru-RU"/>
        </w:rPr>
      </w:pPr>
      <w:bookmarkStart w:id="22" w:name="n23"/>
      <w:bookmarkEnd w:id="22"/>
      <w:r w:rsidRPr="001B11DC">
        <w:rPr>
          <w:rFonts w:ascii="Times New Roman" w:hAnsi="Times New Roman" w:cs="Times New Roman"/>
          <w:lang w:val="ru-RU"/>
        </w:rPr>
        <w:t xml:space="preserve">операційна діяльність - основна діяльність призначеного оператора поштового зв’язку, </w:t>
      </w:r>
      <w:proofErr w:type="gramStart"/>
      <w:r w:rsidRPr="001B11DC">
        <w:rPr>
          <w:rFonts w:ascii="Times New Roman" w:hAnsi="Times New Roman" w:cs="Times New Roman"/>
          <w:lang w:val="ru-RU"/>
        </w:rPr>
        <w:t>кр</w:t>
      </w:r>
      <w:proofErr w:type="gramEnd"/>
      <w:r w:rsidRPr="001B11DC">
        <w:rPr>
          <w:rFonts w:ascii="Times New Roman" w:hAnsi="Times New Roman" w:cs="Times New Roman"/>
          <w:lang w:val="ru-RU"/>
        </w:rPr>
        <w:t>ім інвестиційної та фінансової діяльності;</w:t>
      </w:r>
    </w:p>
    <w:p w:rsidR="001F316E" w:rsidRPr="001B11DC" w:rsidRDefault="001F316E" w:rsidP="001F316E">
      <w:pPr>
        <w:jc w:val="both"/>
        <w:rPr>
          <w:rFonts w:ascii="Times New Roman" w:hAnsi="Times New Roman" w:cs="Times New Roman"/>
          <w:lang w:val="ru-RU"/>
        </w:rPr>
      </w:pPr>
      <w:bookmarkStart w:id="23" w:name="n24"/>
      <w:bookmarkEnd w:id="23"/>
      <w:r w:rsidRPr="001B11DC">
        <w:rPr>
          <w:rFonts w:ascii="Times New Roman" w:hAnsi="Times New Roman" w:cs="Times New Roman"/>
          <w:lang w:val="ru-RU"/>
        </w:rPr>
        <w:t xml:space="preserve">планований період - календарний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ік, дані за який формуються на основі планових витрат;</w:t>
      </w:r>
    </w:p>
    <w:p w:rsidR="001F316E" w:rsidRPr="001B11DC" w:rsidRDefault="001F316E" w:rsidP="001F316E">
      <w:pPr>
        <w:jc w:val="both"/>
        <w:rPr>
          <w:rFonts w:ascii="Times New Roman" w:hAnsi="Times New Roman" w:cs="Times New Roman"/>
          <w:lang w:val="ru-RU"/>
        </w:rPr>
      </w:pPr>
      <w:bookmarkStart w:id="24" w:name="n25"/>
      <w:bookmarkEnd w:id="24"/>
      <w:r w:rsidRPr="001B11DC">
        <w:rPr>
          <w:rFonts w:ascii="Times New Roman" w:hAnsi="Times New Roman" w:cs="Times New Roman"/>
          <w:lang w:val="ru-RU"/>
        </w:rPr>
        <w:t xml:space="preserve">попередній період - календарний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ік, що передує базовому періоду, дані за який формуються на основі фактичних витрат, що підтверджуються звітними документами.</w:t>
      </w:r>
    </w:p>
    <w:p w:rsidR="001F316E" w:rsidRPr="001B11DC" w:rsidRDefault="001F316E" w:rsidP="001F316E">
      <w:pPr>
        <w:ind w:left="225" w:right="225"/>
        <w:jc w:val="both"/>
        <w:rPr>
          <w:rFonts w:ascii="Times New Roman" w:hAnsi="Times New Roman" w:cs="Times New Roman"/>
          <w:lang w:val="ru-RU"/>
        </w:rPr>
      </w:pPr>
      <w:bookmarkStart w:id="25" w:name="n26"/>
      <w:bookmarkEnd w:id="25"/>
      <w:r w:rsidRPr="001B11DC">
        <w:rPr>
          <w:rFonts w:ascii="Times New Roman" w:hAnsi="Times New Roman" w:cs="Times New Roman"/>
          <w:b/>
          <w:bCs/>
          <w:lang w:val="ru-RU"/>
        </w:rPr>
        <w:t>II. Формування цін (тарифів)</w:t>
      </w:r>
    </w:p>
    <w:p w:rsidR="001F316E" w:rsidRPr="001B11DC" w:rsidRDefault="001F316E" w:rsidP="001F316E">
      <w:pPr>
        <w:jc w:val="both"/>
        <w:rPr>
          <w:rFonts w:ascii="Times New Roman" w:hAnsi="Times New Roman" w:cs="Times New Roman"/>
          <w:lang w:val="ru-RU"/>
        </w:rPr>
      </w:pPr>
      <w:bookmarkStart w:id="26" w:name="n27"/>
      <w:bookmarkEnd w:id="26"/>
      <w:r w:rsidRPr="001B11DC">
        <w:rPr>
          <w:rFonts w:ascii="Times New Roman" w:hAnsi="Times New Roman" w:cs="Times New Roman"/>
          <w:lang w:val="ru-RU"/>
        </w:rPr>
        <w:t xml:space="preserve">1. Формування цін (тарифів) на планований період здійснюється на основі розрахунків цін (тарифів), що проводяться призначеними операторами поштового зв’язку, виходячи з планових обсягів надання послуг та економічно обґрунтованих планових витрат на їх надання, з урахуванням планового прибутку та </w:t>
      </w:r>
      <w:proofErr w:type="gramStart"/>
      <w:r w:rsidRPr="001B11DC">
        <w:rPr>
          <w:rFonts w:ascii="Times New Roman" w:hAnsi="Times New Roman" w:cs="Times New Roman"/>
          <w:lang w:val="ru-RU"/>
        </w:rPr>
        <w:t>з обов</w:t>
      </w:r>
      <w:proofErr w:type="gramEnd"/>
      <w:r w:rsidRPr="001B11DC">
        <w:rPr>
          <w:rFonts w:ascii="Times New Roman" w:hAnsi="Times New Roman" w:cs="Times New Roman"/>
          <w:lang w:val="ru-RU"/>
        </w:rPr>
        <w:t>’язковим включенням інвестиційної складової.</w:t>
      </w:r>
    </w:p>
    <w:p w:rsidR="001F316E" w:rsidRPr="001B11DC" w:rsidRDefault="001F316E" w:rsidP="001F316E">
      <w:pPr>
        <w:jc w:val="both"/>
        <w:rPr>
          <w:rFonts w:ascii="Times New Roman" w:hAnsi="Times New Roman" w:cs="Times New Roman"/>
          <w:lang w:val="ru-RU"/>
        </w:rPr>
      </w:pPr>
      <w:bookmarkStart w:id="27" w:name="n28"/>
      <w:bookmarkEnd w:id="27"/>
      <w:r w:rsidRPr="001B11DC">
        <w:rPr>
          <w:rFonts w:ascii="Times New Roman" w:hAnsi="Times New Roman" w:cs="Times New Roman"/>
          <w:lang w:val="ru-RU"/>
        </w:rPr>
        <w:t xml:space="preserve">2. Планування витрат здійснюється із застосуванням нормативного методу на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ідставі державних і галузевих нормативів використання матеріальних та паливно-енергетичних ресурсів, норм і розцінок з оплати праці. Розмір витрат розраховується з додержанням нормативів і нормативних строків пересилання поштових відправлень, нормативів розвитку та розміщення у містах, селищах і селах мережі об’єктів поштового зв’язку призначеного оператора поштового зв’язку, які затверджуються центральним органом виконавчої влади, що забезпечує формування та реалізує державну політику у сфері надання послуг поштового зв’язку.</w:t>
      </w:r>
    </w:p>
    <w:p w:rsidR="001F316E" w:rsidRPr="001B11DC" w:rsidRDefault="001F316E" w:rsidP="001F316E">
      <w:pPr>
        <w:jc w:val="both"/>
        <w:rPr>
          <w:rFonts w:ascii="Times New Roman" w:hAnsi="Times New Roman" w:cs="Times New Roman"/>
          <w:lang w:val="ru-RU"/>
        </w:rPr>
      </w:pPr>
      <w:bookmarkStart w:id="28" w:name="n29"/>
      <w:bookmarkEnd w:id="28"/>
      <w:r w:rsidRPr="001B11DC">
        <w:rPr>
          <w:rFonts w:ascii="Times New Roman" w:hAnsi="Times New Roman" w:cs="Times New Roman"/>
          <w:lang w:val="ru-RU"/>
        </w:rPr>
        <w:t xml:space="preserve">3. Витрати, визначення яких із застосуванням нормативів неможливе, плануються з урахуванням витрат за базовий період та </w:t>
      </w:r>
      <w:proofErr w:type="gramStart"/>
      <w:r w:rsidRPr="001B11DC">
        <w:rPr>
          <w:rFonts w:ascii="Times New Roman" w:hAnsi="Times New Roman" w:cs="Times New Roman"/>
          <w:lang w:val="ru-RU"/>
        </w:rPr>
        <w:t>прогнозного</w:t>
      </w:r>
      <w:proofErr w:type="gramEnd"/>
      <w:r w:rsidRPr="001B11DC">
        <w:rPr>
          <w:rFonts w:ascii="Times New Roman" w:hAnsi="Times New Roman" w:cs="Times New Roman"/>
          <w:lang w:val="ru-RU"/>
        </w:rPr>
        <w:t xml:space="preserve"> індексу цін виробників промислової продукції.</w:t>
      </w:r>
    </w:p>
    <w:p w:rsidR="001F316E" w:rsidRPr="001B11DC" w:rsidRDefault="001F316E" w:rsidP="001F316E">
      <w:pPr>
        <w:jc w:val="both"/>
        <w:rPr>
          <w:rFonts w:ascii="Times New Roman" w:hAnsi="Times New Roman" w:cs="Times New Roman"/>
          <w:lang w:val="ru-RU"/>
        </w:rPr>
      </w:pPr>
      <w:bookmarkStart w:id="29" w:name="n30"/>
      <w:bookmarkEnd w:id="29"/>
      <w:r w:rsidRPr="001B11DC">
        <w:rPr>
          <w:rFonts w:ascii="Times New Roman" w:hAnsi="Times New Roman" w:cs="Times New Roman"/>
          <w:lang w:val="ru-RU"/>
        </w:rPr>
        <w:t xml:space="preserve">Допускається зростання планових витрат вище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івня індексу цін виробників промислової продукції, за умови надання відповідних обґрунтувань та пояснень щодо причин їх зростання в більшій мірі.</w:t>
      </w:r>
    </w:p>
    <w:p w:rsidR="001F316E" w:rsidRPr="001B11DC" w:rsidRDefault="001F316E" w:rsidP="001F316E">
      <w:pPr>
        <w:jc w:val="both"/>
        <w:rPr>
          <w:rFonts w:ascii="Times New Roman" w:hAnsi="Times New Roman" w:cs="Times New Roman"/>
          <w:lang w:val="ru-RU"/>
        </w:rPr>
      </w:pPr>
      <w:bookmarkStart w:id="30" w:name="n31"/>
      <w:bookmarkEnd w:id="30"/>
      <w:r w:rsidRPr="001B11DC">
        <w:rPr>
          <w:rFonts w:ascii="Times New Roman" w:hAnsi="Times New Roman" w:cs="Times New Roman"/>
          <w:lang w:val="ru-RU"/>
        </w:rPr>
        <w:t>4. Планові витрати розподіляються за видами послуг з пересилання кожного згрупованого виду відправлень:</w:t>
      </w:r>
    </w:p>
    <w:p w:rsidR="001F316E" w:rsidRPr="001B11DC" w:rsidRDefault="001F316E" w:rsidP="001F316E">
      <w:pPr>
        <w:jc w:val="both"/>
        <w:rPr>
          <w:rFonts w:ascii="Times New Roman" w:hAnsi="Times New Roman" w:cs="Times New Roman"/>
          <w:lang w:val="ru-RU"/>
        </w:rPr>
      </w:pPr>
      <w:bookmarkStart w:id="31" w:name="n32"/>
      <w:bookmarkEnd w:id="31"/>
      <w:r w:rsidRPr="001B11DC">
        <w:rPr>
          <w:rFonts w:ascii="Times New Roman" w:hAnsi="Times New Roman" w:cs="Times New Roman"/>
          <w:lang w:val="ru-RU"/>
        </w:rPr>
        <w:t xml:space="preserve">I - внутрішні прості листи без оголошеної цінності масою до 50 </w:t>
      </w:r>
      <w:proofErr w:type="gramStart"/>
      <w:r w:rsidRPr="001B11DC">
        <w:rPr>
          <w:rFonts w:ascii="Times New Roman" w:hAnsi="Times New Roman" w:cs="Times New Roman"/>
          <w:lang w:val="ru-RU"/>
        </w:rPr>
        <w:t>грам</w:t>
      </w:r>
      <w:proofErr w:type="gramEnd"/>
      <w:r w:rsidRPr="001B11DC">
        <w:rPr>
          <w:rFonts w:ascii="Times New Roman" w:hAnsi="Times New Roman" w:cs="Times New Roman"/>
          <w:lang w:val="ru-RU"/>
        </w:rPr>
        <w:t>ів і поштові картки;</w:t>
      </w:r>
    </w:p>
    <w:p w:rsidR="001F316E" w:rsidRPr="001B11DC" w:rsidRDefault="001F316E" w:rsidP="001F316E">
      <w:pPr>
        <w:jc w:val="both"/>
        <w:rPr>
          <w:rFonts w:ascii="Times New Roman" w:hAnsi="Times New Roman" w:cs="Times New Roman"/>
          <w:lang w:val="ru-RU"/>
        </w:rPr>
      </w:pPr>
      <w:bookmarkStart w:id="32" w:name="n33"/>
      <w:bookmarkEnd w:id="32"/>
      <w:r w:rsidRPr="001B11DC">
        <w:rPr>
          <w:rFonts w:ascii="Times New Roman" w:hAnsi="Times New Roman" w:cs="Times New Roman"/>
          <w:lang w:val="ru-RU"/>
        </w:rPr>
        <w:t xml:space="preserve">II - внутрішні реєстровані листи без оголошеної цінності (рекомендовані) масою до 50 </w:t>
      </w:r>
      <w:proofErr w:type="gramStart"/>
      <w:r w:rsidRPr="001B11DC">
        <w:rPr>
          <w:rFonts w:ascii="Times New Roman" w:hAnsi="Times New Roman" w:cs="Times New Roman"/>
          <w:lang w:val="ru-RU"/>
        </w:rPr>
        <w:t>грам</w:t>
      </w:r>
      <w:proofErr w:type="gramEnd"/>
      <w:r w:rsidRPr="001B11DC">
        <w:rPr>
          <w:rFonts w:ascii="Times New Roman" w:hAnsi="Times New Roman" w:cs="Times New Roman"/>
          <w:lang w:val="ru-RU"/>
        </w:rPr>
        <w:t>ів і поштові картки.</w:t>
      </w:r>
    </w:p>
    <w:p w:rsidR="001F316E" w:rsidRPr="001B11DC" w:rsidRDefault="001F316E" w:rsidP="001F316E">
      <w:pPr>
        <w:ind w:left="225" w:right="225"/>
        <w:jc w:val="both"/>
        <w:rPr>
          <w:rFonts w:ascii="Times New Roman" w:hAnsi="Times New Roman" w:cs="Times New Roman"/>
          <w:lang w:val="ru-RU"/>
        </w:rPr>
      </w:pPr>
      <w:bookmarkStart w:id="33" w:name="n34"/>
      <w:bookmarkEnd w:id="33"/>
      <w:r w:rsidRPr="001B11DC">
        <w:rPr>
          <w:rFonts w:ascii="Times New Roman" w:hAnsi="Times New Roman" w:cs="Times New Roman"/>
          <w:b/>
          <w:bCs/>
          <w:lang w:val="ru-RU"/>
        </w:rPr>
        <w:t>III. Визначення витрат на надання регульованих НКЕК поштових послуг</w:t>
      </w:r>
    </w:p>
    <w:p w:rsidR="001F316E" w:rsidRPr="001B11DC" w:rsidRDefault="001F316E" w:rsidP="001F316E">
      <w:pPr>
        <w:jc w:val="both"/>
        <w:rPr>
          <w:rFonts w:ascii="Times New Roman" w:hAnsi="Times New Roman" w:cs="Times New Roman"/>
          <w:lang w:val="ru-RU"/>
        </w:rPr>
      </w:pPr>
      <w:bookmarkStart w:id="34" w:name="n35"/>
      <w:bookmarkEnd w:id="34"/>
      <w:r w:rsidRPr="001B11DC">
        <w:rPr>
          <w:rFonts w:ascii="Times New Roman" w:hAnsi="Times New Roman" w:cs="Times New Roman"/>
          <w:lang w:val="ru-RU"/>
        </w:rPr>
        <w:lastRenderedPageBreak/>
        <w:t>1. При визначенні планових витрат здійснюється розподіл витрат призначеного оператора поштового зв’язку за узагальненими статтями витрат на окремі витрати за кожним згрупованим видом регульованих НКЕК поштових послуг.</w:t>
      </w:r>
    </w:p>
    <w:p w:rsidR="001F316E" w:rsidRPr="001B11DC" w:rsidRDefault="001F316E" w:rsidP="001F316E">
      <w:pPr>
        <w:jc w:val="both"/>
        <w:rPr>
          <w:rFonts w:ascii="Times New Roman" w:hAnsi="Times New Roman" w:cs="Times New Roman"/>
          <w:lang w:val="ru-RU"/>
        </w:rPr>
      </w:pPr>
      <w:bookmarkStart w:id="35" w:name="n36"/>
      <w:bookmarkEnd w:id="35"/>
      <w:r w:rsidRPr="001B11DC">
        <w:rPr>
          <w:rFonts w:ascii="Times New Roman" w:hAnsi="Times New Roman" w:cs="Times New Roman"/>
          <w:lang w:val="ru-RU"/>
        </w:rPr>
        <w:t xml:space="preserve">2. </w:t>
      </w:r>
      <w:proofErr w:type="gramStart"/>
      <w:r w:rsidRPr="001B11DC">
        <w:rPr>
          <w:rFonts w:ascii="Times New Roman" w:hAnsi="Times New Roman" w:cs="Times New Roman"/>
          <w:lang w:val="ru-RU"/>
        </w:rPr>
        <w:t>Обл</w:t>
      </w:r>
      <w:proofErr w:type="gramEnd"/>
      <w:r w:rsidRPr="001B11DC">
        <w:rPr>
          <w:rFonts w:ascii="Times New Roman" w:hAnsi="Times New Roman" w:cs="Times New Roman"/>
          <w:lang w:val="ru-RU"/>
        </w:rPr>
        <w:t>ік витрат на надання окремого виду згрупованих регульованих НКЕК поштових послуг з пересилання згрупованих видів поштових відправлень проводиться призначеним оператором поштового зв’язку у такому порядку:</w:t>
      </w:r>
    </w:p>
    <w:p w:rsidR="001F316E" w:rsidRPr="001B11DC" w:rsidRDefault="001F316E" w:rsidP="001F316E">
      <w:pPr>
        <w:jc w:val="both"/>
        <w:rPr>
          <w:rFonts w:ascii="Times New Roman" w:hAnsi="Times New Roman" w:cs="Times New Roman"/>
          <w:lang w:val="ru-RU"/>
        </w:rPr>
      </w:pPr>
      <w:bookmarkStart w:id="36" w:name="n37"/>
      <w:bookmarkEnd w:id="36"/>
      <w:r w:rsidRPr="001B11DC">
        <w:rPr>
          <w:rFonts w:ascii="Times New Roman" w:hAnsi="Times New Roman" w:cs="Times New Roman"/>
          <w:lang w:val="ru-RU"/>
        </w:rPr>
        <w:t xml:space="preserve">1) визначаються прямі витрати з оплати праці на надання кожного згрупованого виду регульованих НКЕК поштових послуг на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ідставі трудовитрат на обробку поштових відправлень на етапах їх пересилання, затверджених призначеним оператором поштового зв’язку;</w:t>
      </w:r>
    </w:p>
    <w:p w:rsidR="001F316E" w:rsidRPr="001B11DC" w:rsidRDefault="001F316E" w:rsidP="001F316E">
      <w:pPr>
        <w:jc w:val="both"/>
        <w:rPr>
          <w:rFonts w:ascii="Times New Roman" w:hAnsi="Times New Roman" w:cs="Times New Roman"/>
          <w:lang w:val="ru-RU"/>
        </w:rPr>
      </w:pPr>
      <w:bookmarkStart w:id="37" w:name="n38"/>
      <w:bookmarkEnd w:id="37"/>
      <w:r w:rsidRPr="001B11DC">
        <w:rPr>
          <w:rFonts w:ascii="Times New Roman" w:hAnsi="Times New Roman" w:cs="Times New Roman"/>
          <w:lang w:val="ru-RU"/>
        </w:rPr>
        <w:t xml:space="preserve">2) визначаються прямі матеріальні витрати та інші прямі витрати, що безпосередньо пов’язані з наданням конкретного згрупованого виду послуг та можуть бути віднесені до нього повністю або іншим економічно </w:t>
      </w:r>
      <w:proofErr w:type="gramStart"/>
      <w:r w:rsidRPr="001B11DC">
        <w:rPr>
          <w:rFonts w:ascii="Times New Roman" w:hAnsi="Times New Roman" w:cs="Times New Roman"/>
          <w:lang w:val="ru-RU"/>
        </w:rPr>
        <w:t>доц</w:t>
      </w:r>
      <w:proofErr w:type="gramEnd"/>
      <w:r w:rsidRPr="001B11DC">
        <w:rPr>
          <w:rFonts w:ascii="Times New Roman" w:hAnsi="Times New Roman" w:cs="Times New Roman"/>
          <w:lang w:val="ru-RU"/>
        </w:rPr>
        <w:t>ільним шляхом відповідно до </w:t>
      </w:r>
      <w:hyperlink r:id="rId15" w:tgtFrame="_blank" w:history="1">
        <w:r w:rsidRPr="001B11DC">
          <w:rPr>
            <w:rStyle w:val="a4"/>
            <w:rFonts w:ascii="Times New Roman" w:hAnsi="Times New Roman" w:cs="Times New Roman"/>
            <w:color w:val="auto"/>
            <w:lang w:val="ru-RU"/>
          </w:rPr>
          <w:t>Національного положення (стандарту) бухгалтерського обліку 16 «Витрати»</w:t>
        </w:r>
      </w:hyperlink>
      <w:r w:rsidRPr="001B11DC">
        <w:rPr>
          <w:rFonts w:ascii="Times New Roman" w:hAnsi="Times New Roman" w:cs="Times New Roman"/>
          <w:lang w:val="ru-RU"/>
        </w:rPr>
        <w:t>, затвердженого наказом Міністерства фінансів України від 31 грудня 1999 року № 318, зареєстрованого в Міністерстві юстиції України 19 січня 2000 року за № 27/4248;</w:t>
      </w:r>
    </w:p>
    <w:p w:rsidR="001F316E" w:rsidRPr="001B11DC" w:rsidRDefault="001F316E" w:rsidP="001F316E">
      <w:pPr>
        <w:jc w:val="both"/>
        <w:rPr>
          <w:rFonts w:ascii="Times New Roman" w:hAnsi="Times New Roman" w:cs="Times New Roman"/>
          <w:lang w:val="ru-RU"/>
        </w:rPr>
      </w:pPr>
      <w:bookmarkStart w:id="38" w:name="n39"/>
      <w:bookmarkEnd w:id="38"/>
      <w:r w:rsidRPr="001B11DC">
        <w:rPr>
          <w:rFonts w:ascii="Times New Roman" w:hAnsi="Times New Roman" w:cs="Times New Roman"/>
          <w:lang w:val="ru-RU"/>
        </w:rPr>
        <w:t xml:space="preserve">3) загальновиробничі витрати,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іністративні витрати, витрати на збут, інші операційні витрати та фінансові витрати розподіляються за всіма видами послуг, що надаються призначеним оператором поштового зв’язку, в тому числі за регульованими НКЕК поштових послуг, пропорційно доходам за попередній період.</w:t>
      </w:r>
    </w:p>
    <w:p w:rsidR="001F316E" w:rsidRPr="001B11DC" w:rsidRDefault="001F316E" w:rsidP="001F316E">
      <w:pPr>
        <w:jc w:val="both"/>
        <w:rPr>
          <w:rFonts w:ascii="Times New Roman" w:hAnsi="Times New Roman" w:cs="Times New Roman"/>
          <w:lang w:val="ru-RU"/>
        </w:rPr>
      </w:pPr>
      <w:bookmarkStart w:id="39" w:name="n40"/>
      <w:bookmarkEnd w:id="39"/>
      <w:r w:rsidRPr="001B11DC">
        <w:rPr>
          <w:rFonts w:ascii="Times New Roman" w:hAnsi="Times New Roman" w:cs="Times New Roman"/>
          <w:lang w:val="ru-RU"/>
        </w:rPr>
        <w:t>3. До планових витрат з операційної діяльності включаються:</w:t>
      </w:r>
    </w:p>
    <w:p w:rsidR="001F316E" w:rsidRPr="001B11DC" w:rsidRDefault="001F316E" w:rsidP="001F316E">
      <w:pPr>
        <w:jc w:val="both"/>
        <w:rPr>
          <w:rFonts w:ascii="Times New Roman" w:hAnsi="Times New Roman" w:cs="Times New Roman"/>
          <w:lang w:val="ru-RU"/>
        </w:rPr>
      </w:pPr>
      <w:bookmarkStart w:id="40" w:name="n41"/>
      <w:bookmarkEnd w:id="40"/>
      <w:r w:rsidRPr="001B11DC">
        <w:rPr>
          <w:rFonts w:ascii="Times New Roman" w:hAnsi="Times New Roman" w:cs="Times New Roman"/>
          <w:lang w:val="ru-RU"/>
        </w:rPr>
        <w:t>планова собівартість послуг;</w:t>
      </w:r>
    </w:p>
    <w:p w:rsidR="001F316E" w:rsidRPr="001B11DC" w:rsidRDefault="001F316E" w:rsidP="001F316E">
      <w:pPr>
        <w:jc w:val="both"/>
        <w:rPr>
          <w:rFonts w:ascii="Times New Roman" w:hAnsi="Times New Roman" w:cs="Times New Roman"/>
          <w:lang w:val="ru-RU"/>
        </w:rPr>
      </w:pPr>
      <w:bookmarkStart w:id="41" w:name="n42"/>
      <w:bookmarkEnd w:id="41"/>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іністративні витрати;</w:t>
      </w:r>
    </w:p>
    <w:p w:rsidR="001F316E" w:rsidRPr="001B11DC" w:rsidRDefault="001F316E" w:rsidP="001F316E">
      <w:pPr>
        <w:jc w:val="both"/>
        <w:rPr>
          <w:rFonts w:ascii="Times New Roman" w:hAnsi="Times New Roman" w:cs="Times New Roman"/>
          <w:lang w:val="ru-RU"/>
        </w:rPr>
      </w:pPr>
      <w:bookmarkStart w:id="42" w:name="n43"/>
      <w:bookmarkEnd w:id="42"/>
      <w:r w:rsidRPr="001B11DC">
        <w:rPr>
          <w:rFonts w:ascii="Times New Roman" w:hAnsi="Times New Roman" w:cs="Times New Roman"/>
          <w:lang w:val="ru-RU"/>
        </w:rPr>
        <w:t>витрати на збут;</w:t>
      </w:r>
    </w:p>
    <w:p w:rsidR="001F316E" w:rsidRPr="001B11DC" w:rsidRDefault="001F316E" w:rsidP="001F316E">
      <w:pPr>
        <w:jc w:val="both"/>
        <w:rPr>
          <w:rFonts w:ascii="Times New Roman" w:hAnsi="Times New Roman" w:cs="Times New Roman"/>
          <w:lang w:val="ru-RU"/>
        </w:rPr>
      </w:pPr>
      <w:bookmarkStart w:id="43" w:name="n44"/>
      <w:bookmarkEnd w:id="43"/>
      <w:r w:rsidRPr="001B11DC">
        <w:rPr>
          <w:rFonts w:ascii="Times New Roman" w:hAnsi="Times New Roman" w:cs="Times New Roman"/>
          <w:lang w:val="ru-RU"/>
        </w:rPr>
        <w:t>інші операційні витрати.</w:t>
      </w:r>
    </w:p>
    <w:p w:rsidR="001F316E" w:rsidRPr="001B11DC" w:rsidRDefault="001F316E" w:rsidP="001F316E">
      <w:pPr>
        <w:jc w:val="both"/>
        <w:rPr>
          <w:rFonts w:ascii="Times New Roman" w:hAnsi="Times New Roman" w:cs="Times New Roman"/>
          <w:lang w:val="ru-RU"/>
        </w:rPr>
      </w:pPr>
      <w:bookmarkStart w:id="44" w:name="n45"/>
      <w:bookmarkEnd w:id="44"/>
      <w:r w:rsidRPr="001B11DC">
        <w:rPr>
          <w:rFonts w:ascii="Times New Roman" w:hAnsi="Times New Roman" w:cs="Times New Roman"/>
          <w:lang w:val="ru-RU"/>
        </w:rPr>
        <w:t xml:space="preserve">4. До планової собівартості послуг включаються </w:t>
      </w:r>
      <w:proofErr w:type="gramStart"/>
      <w:r w:rsidRPr="001B11DC">
        <w:rPr>
          <w:rFonts w:ascii="Times New Roman" w:hAnsi="Times New Roman" w:cs="Times New Roman"/>
          <w:lang w:val="ru-RU"/>
        </w:rPr>
        <w:t>прям</w:t>
      </w:r>
      <w:proofErr w:type="gramEnd"/>
      <w:r w:rsidRPr="001B11DC">
        <w:rPr>
          <w:rFonts w:ascii="Times New Roman" w:hAnsi="Times New Roman" w:cs="Times New Roman"/>
          <w:lang w:val="ru-RU"/>
        </w:rPr>
        <w:t>і матеріальні витрати, прямі витрати на оплату праці, інші прямі витрати та загальновиробничі витрати, а саме:</w:t>
      </w:r>
    </w:p>
    <w:p w:rsidR="001F316E" w:rsidRPr="001B11DC" w:rsidRDefault="001F316E" w:rsidP="001F316E">
      <w:pPr>
        <w:jc w:val="both"/>
        <w:rPr>
          <w:rFonts w:ascii="Times New Roman" w:hAnsi="Times New Roman" w:cs="Times New Roman"/>
          <w:lang w:val="ru-RU"/>
        </w:rPr>
      </w:pPr>
      <w:bookmarkStart w:id="45" w:name="n46"/>
      <w:bookmarkEnd w:id="45"/>
      <w:r w:rsidRPr="001B11DC">
        <w:rPr>
          <w:rFonts w:ascii="Times New Roman" w:hAnsi="Times New Roman" w:cs="Times New Roman"/>
          <w:lang w:val="ru-RU"/>
        </w:rPr>
        <w:t xml:space="preserve">1) до складу прямих матеріальних витрат включаються витрати, </w:t>
      </w:r>
      <w:proofErr w:type="gramStart"/>
      <w:r w:rsidRPr="001B11DC">
        <w:rPr>
          <w:rFonts w:ascii="Times New Roman" w:hAnsi="Times New Roman" w:cs="Times New Roman"/>
          <w:lang w:val="ru-RU"/>
        </w:rPr>
        <w:t>пов’язан</w:t>
      </w:r>
      <w:proofErr w:type="gramEnd"/>
      <w:r w:rsidRPr="001B11DC">
        <w:rPr>
          <w:rFonts w:ascii="Times New Roman" w:hAnsi="Times New Roman" w:cs="Times New Roman"/>
          <w:lang w:val="ru-RU"/>
        </w:rPr>
        <w:t>і з використанням матеріалів, запасних частин, придбаних комплектувальних виробів та інших матеріалів, необхідних для забезпечення виробничого процесу;</w:t>
      </w:r>
    </w:p>
    <w:p w:rsidR="001F316E" w:rsidRPr="001B11DC" w:rsidRDefault="001F316E" w:rsidP="001F316E">
      <w:pPr>
        <w:jc w:val="both"/>
        <w:rPr>
          <w:rFonts w:ascii="Times New Roman" w:hAnsi="Times New Roman" w:cs="Times New Roman"/>
          <w:lang w:val="ru-RU"/>
        </w:rPr>
      </w:pPr>
      <w:bookmarkStart w:id="46" w:name="n47"/>
      <w:bookmarkEnd w:id="46"/>
      <w:r w:rsidRPr="001B11DC">
        <w:rPr>
          <w:rFonts w:ascii="Times New Roman" w:hAnsi="Times New Roman" w:cs="Times New Roman"/>
          <w:lang w:val="ru-RU"/>
        </w:rPr>
        <w:t xml:space="preserve">2)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 xml:space="preserve">івень прямих витрат на оплату праці визначається відповідно до законодавства, а також генеральної та галузевої угод, колективного договору. </w:t>
      </w:r>
      <w:proofErr w:type="gramStart"/>
      <w:r w:rsidRPr="001B11DC">
        <w:rPr>
          <w:rFonts w:ascii="Times New Roman" w:hAnsi="Times New Roman" w:cs="Times New Roman"/>
          <w:lang w:val="ru-RU"/>
        </w:rPr>
        <w:t>До</w:t>
      </w:r>
      <w:proofErr w:type="gramEnd"/>
      <w:r w:rsidRPr="001B11DC">
        <w:rPr>
          <w:rFonts w:ascii="Times New Roman" w:hAnsi="Times New Roman" w:cs="Times New Roman"/>
          <w:lang w:val="ru-RU"/>
        </w:rPr>
        <w:t xml:space="preserve"> складу прямих витрат з оплати праці включаються:</w:t>
      </w:r>
    </w:p>
    <w:p w:rsidR="001F316E" w:rsidRPr="001B11DC" w:rsidRDefault="001F316E" w:rsidP="001F316E">
      <w:pPr>
        <w:jc w:val="both"/>
        <w:rPr>
          <w:rFonts w:ascii="Times New Roman" w:hAnsi="Times New Roman" w:cs="Times New Roman"/>
          <w:lang w:val="ru-RU"/>
        </w:rPr>
      </w:pPr>
      <w:bookmarkStart w:id="47" w:name="n48"/>
      <w:bookmarkEnd w:id="47"/>
      <w:r w:rsidRPr="001B11DC">
        <w:rPr>
          <w:rFonts w:ascii="Times New Roman" w:hAnsi="Times New Roman" w:cs="Times New Roman"/>
          <w:lang w:val="ru-RU"/>
        </w:rPr>
        <w:t xml:space="preserve">витрати з основної заробітної плати виробничого персоналу, діяльність якого безпосередньо пов’язана з виробничим процесом надання регульованих НКЕК поштових послуг, що визначаються з урахуванням встановлених норм праці (норм часу), чисельності персоналу, тарифних ставок (окладів), відрядних розцінок для робітників та посадових окладів для керівників, фахівців, </w:t>
      </w:r>
      <w:proofErr w:type="gramStart"/>
      <w:r w:rsidRPr="001B11DC">
        <w:rPr>
          <w:rFonts w:ascii="Times New Roman" w:hAnsi="Times New Roman" w:cs="Times New Roman"/>
          <w:lang w:val="ru-RU"/>
        </w:rPr>
        <w:t>техн</w:t>
      </w:r>
      <w:proofErr w:type="gramEnd"/>
      <w:r w:rsidRPr="001B11DC">
        <w:rPr>
          <w:rFonts w:ascii="Times New Roman" w:hAnsi="Times New Roman" w:cs="Times New Roman"/>
          <w:lang w:val="ru-RU"/>
        </w:rPr>
        <w:t>ічних службовців;</w:t>
      </w:r>
    </w:p>
    <w:p w:rsidR="001F316E" w:rsidRPr="001B11DC" w:rsidRDefault="001F316E" w:rsidP="001F316E">
      <w:pPr>
        <w:jc w:val="both"/>
        <w:rPr>
          <w:rFonts w:ascii="Times New Roman" w:hAnsi="Times New Roman" w:cs="Times New Roman"/>
          <w:lang w:val="ru-RU"/>
        </w:rPr>
      </w:pPr>
      <w:bookmarkStart w:id="48" w:name="n49"/>
      <w:bookmarkEnd w:id="48"/>
      <w:r w:rsidRPr="001B11DC">
        <w:rPr>
          <w:rFonts w:ascii="Times New Roman" w:hAnsi="Times New Roman" w:cs="Times New Roman"/>
          <w:lang w:val="ru-RU"/>
        </w:rPr>
        <w:t xml:space="preserve">витрати з додаткової заробітної плати виробничого персоналу, що визначаються з урахуванням розміру встановлених доплат, надбавок, гарантійних і компенсаційних виплат, передбачених чинним законодавством, </w:t>
      </w:r>
      <w:proofErr w:type="gramStart"/>
      <w:r w:rsidRPr="001B11DC">
        <w:rPr>
          <w:rFonts w:ascii="Times New Roman" w:hAnsi="Times New Roman" w:cs="Times New Roman"/>
          <w:lang w:val="ru-RU"/>
        </w:rPr>
        <w:t>прем</w:t>
      </w:r>
      <w:proofErr w:type="gramEnd"/>
      <w:r w:rsidRPr="001B11DC">
        <w:rPr>
          <w:rFonts w:ascii="Times New Roman" w:hAnsi="Times New Roman" w:cs="Times New Roman"/>
          <w:lang w:val="ru-RU"/>
        </w:rPr>
        <w:t>ій, пов’язаних з виконанням виробничих завдань і функцій;</w:t>
      </w:r>
    </w:p>
    <w:p w:rsidR="001F316E" w:rsidRPr="001B11DC" w:rsidRDefault="001F316E" w:rsidP="001F316E">
      <w:pPr>
        <w:jc w:val="both"/>
        <w:rPr>
          <w:rFonts w:ascii="Times New Roman" w:hAnsi="Times New Roman" w:cs="Times New Roman"/>
          <w:lang w:val="ru-RU"/>
        </w:rPr>
      </w:pPr>
      <w:bookmarkStart w:id="49" w:name="n50"/>
      <w:bookmarkEnd w:id="49"/>
      <w:r w:rsidRPr="001B11DC">
        <w:rPr>
          <w:rFonts w:ascii="Times New Roman" w:hAnsi="Times New Roman" w:cs="Times New Roman"/>
          <w:lang w:val="ru-RU"/>
        </w:rPr>
        <w:lastRenderedPageBreak/>
        <w:t xml:space="preserve">інші заохочувальні та компенсаційні виплати виробничому персоналу, </w:t>
      </w:r>
      <w:proofErr w:type="gramStart"/>
      <w:r w:rsidRPr="001B11DC">
        <w:rPr>
          <w:rFonts w:ascii="Times New Roman" w:hAnsi="Times New Roman" w:cs="Times New Roman"/>
          <w:lang w:val="ru-RU"/>
        </w:rPr>
        <w:t>установлен</w:t>
      </w:r>
      <w:proofErr w:type="gramEnd"/>
      <w:r w:rsidRPr="001B11DC">
        <w:rPr>
          <w:rFonts w:ascii="Times New Roman" w:hAnsi="Times New Roman" w:cs="Times New Roman"/>
          <w:lang w:val="ru-RU"/>
        </w:rPr>
        <w:t>і відповідно до законодавства;</w:t>
      </w:r>
    </w:p>
    <w:p w:rsidR="001F316E" w:rsidRPr="001B11DC" w:rsidRDefault="001F316E" w:rsidP="001F316E">
      <w:pPr>
        <w:jc w:val="both"/>
        <w:rPr>
          <w:rFonts w:ascii="Times New Roman" w:hAnsi="Times New Roman" w:cs="Times New Roman"/>
          <w:lang w:val="ru-RU"/>
        </w:rPr>
      </w:pPr>
      <w:bookmarkStart w:id="50" w:name="n51"/>
      <w:bookmarkEnd w:id="50"/>
      <w:r w:rsidRPr="001B11DC">
        <w:rPr>
          <w:rFonts w:ascii="Times New Roman" w:hAnsi="Times New Roman" w:cs="Times New Roman"/>
          <w:lang w:val="ru-RU"/>
        </w:rPr>
        <w:t xml:space="preserve">3) </w:t>
      </w:r>
      <w:proofErr w:type="gramStart"/>
      <w:r w:rsidRPr="001B11DC">
        <w:rPr>
          <w:rFonts w:ascii="Times New Roman" w:hAnsi="Times New Roman" w:cs="Times New Roman"/>
          <w:lang w:val="ru-RU"/>
        </w:rPr>
        <w:t>до</w:t>
      </w:r>
      <w:proofErr w:type="gramEnd"/>
      <w:r w:rsidRPr="001B11DC">
        <w:rPr>
          <w:rFonts w:ascii="Times New Roman" w:hAnsi="Times New Roman" w:cs="Times New Roman"/>
          <w:lang w:val="ru-RU"/>
        </w:rPr>
        <w:t xml:space="preserve"> складу інших прямих витрат включаються:</w:t>
      </w:r>
    </w:p>
    <w:p w:rsidR="001F316E" w:rsidRPr="001B11DC" w:rsidRDefault="001F316E" w:rsidP="001F316E">
      <w:pPr>
        <w:jc w:val="both"/>
        <w:rPr>
          <w:rFonts w:ascii="Times New Roman" w:hAnsi="Times New Roman" w:cs="Times New Roman"/>
          <w:lang w:val="ru-RU"/>
        </w:rPr>
      </w:pPr>
      <w:bookmarkStart w:id="51" w:name="n52"/>
      <w:bookmarkEnd w:id="51"/>
      <w:r w:rsidRPr="001B11DC">
        <w:rPr>
          <w:rFonts w:ascii="Times New Roman" w:hAnsi="Times New Roman" w:cs="Times New Roman"/>
          <w:lang w:val="ru-RU"/>
        </w:rPr>
        <w:t xml:space="preserve">суми єдиного внеску на загальнообов’язкове державне </w:t>
      </w:r>
      <w:proofErr w:type="gramStart"/>
      <w:r w:rsidRPr="001B11DC">
        <w:rPr>
          <w:rFonts w:ascii="Times New Roman" w:hAnsi="Times New Roman" w:cs="Times New Roman"/>
          <w:lang w:val="ru-RU"/>
        </w:rPr>
        <w:t>соц</w:t>
      </w:r>
      <w:proofErr w:type="gramEnd"/>
      <w:r w:rsidRPr="001B11DC">
        <w:rPr>
          <w:rFonts w:ascii="Times New Roman" w:hAnsi="Times New Roman" w:cs="Times New Roman"/>
          <w:lang w:val="ru-RU"/>
        </w:rPr>
        <w:t>іальне страхування виробничого персоналу, витрати з оплати якого прямо включаються до виробничих витрат на послуги та до витрат допоміжних виробництв;</w:t>
      </w:r>
    </w:p>
    <w:p w:rsidR="001F316E" w:rsidRPr="001B11DC" w:rsidRDefault="001F316E" w:rsidP="001F316E">
      <w:pPr>
        <w:jc w:val="both"/>
        <w:rPr>
          <w:rFonts w:ascii="Times New Roman" w:hAnsi="Times New Roman" w:cs="Times New Roman"/>
          <w:lang w:val="ru-RU"/>
        </w:rPr>
      </w:pPr>
      <w:bookmarkStart w:id="52" w:name="n53"/>
      <w:bookmarkEnd w:id="52"/>
      <w:r w:rsidRPr="001B11DC">
        <w:rPr>
          <w:rFonts w:ascii="Times New Roman" w:hAnsi="Times New Roman" w:cs="Times New Roman"/>
          <w:lang w:val="ru-RU"/>
        </w:rPr>
        <w:t>амортизація основних виробничих засобів, інших необоротних матеріальних і нематеріальних активів виробничого призначення;</w:t>
      </w:r>
    </w:p>
    <w:p w:rsidR="001F316E" w:rsidRPr="001B11DC" w:rsidRDefault="001F316E" w:rsidP="001F316E">
      <w:pPr>
        <w:jc w:val="both"/>
        <w:rPr>
          <w:rFonts w:ascii="Times New Roman" w:hAnsi="Times New Roman" w:cs="Times New Roman"/>
          <w:lang w:val="ru-RU"/>
        </w:rPr>
      </w:pPr>
      <w:bookmarkStart w:id="53" w:name="n54"/>
      <w:bookmarkEnd w:id="53"/>
      <w:r w:rsidRPr="001B11DC">
        <w:rPr>
          <w:rFonts w:ascii="Times New Roman" w:hAnsi="Times New Roman" w:cs="Times New Roman"/>
          <w:lang w:val="ru-RU"/>
        </w:rPr>
        <w:t xml:space="preserve">інші виробничі витрати, які можуть бути безпосередньо віднесені до </w:t>
      </w:r>
      <w:proofErr w:type="gramStart"/>
      <w:r w:rsidRPr="001B11DC">
        <w:rPr>
          <w:rFonts w:ascii="Times New Roman" w:hAnsi="Times New Roman" w:cs="Times New Roman"/>
          <w:lang w:val="ru-RU"/>
        </w:rPr>
        <w:t>конкретного</w:t>
      </w:r>
      <w:proofErr w:type="gramEnd"/>
      <w:r w:rsidRPr="001B11DC">
        <w:rPr>
          <w:rFonts w:ascii="Times New Roman" w:hAnsi="Times New Roman" w:cs="Times New Roman"/>
          <w:lang w:val="ru-RU"/>
        </w:rPr>
        <w:t xml:space="preserve"> об’єкта витрат;</w:t>
      </w:r>
    </w:p>
    <w:p w:rsidR="001F316E" w:rsidRPr="001B11DC" w:rsidRDefault="001F316E" w:rsidP="001F316E">
      <w:pPr>
        <w:jc w:val="both"/>
        <w:rPr>
          <w:rFonts w:ascii="Times New Roman" w:hAnsi="Times New Roman" w:cs="Times New Roman"/>
          <w:lang w:val="ru-RU"/>
        </w:rPr>
      </w:pPr>
      <w:bookmarkStart w:id="54" w:name="n55"/>
      <w:bookmarkEnd w:id="54"/>
      <w:r w:rsidRPr="001B11DC">
        <w:rPr>
          <w:rFonts w:ascii="Times New Roman" w:hAnsi="Times New Roman" w:cs="Times New Roman"/>
          <w:lang w:val="ru-RU"/>
        </w:rPr>
        <w:t xml:space="preserve">4) до складу загальновиробничих витрат включаються витрати, </w:t>
      </w:r>
      <w:proofErr w:type="gramStart"/>
      <w:r w:rsidRPr="001B11DC">
        <w:rPr>
          <w:rFonts w:ascii="Times New Roman" w:hAnsi="Times New Roman" w:cs="Times New Roman"/>
          <w:lang w:val="ru-RU"/>
        </w:rPr>
        <w:t>пов’язан</w:t>
      </w:r>
      <w:proofErr w:type="gramEnd"/>
      <w:r w:rsidRPr="001B11DC">
        <w:rPr>
          <w:rFonts w:ascii="Times New Roman" w:hAnsi="Times New Roman" w:cs="Times New Roman"/>
          <w:lang w:val="ru-RU"/>
        </w:rPr>
        <w:t>і з:</w:t>
      </w:r>
    </w:p>
    <w:p w:rsidR="001F316E" w:rsidRPr="001B11DC" w:rsidRDefault="001F316E" w:rsidP="001F316E">
      <w:pPr>
        <w:jc w:val="both"/>
        <w:rPr>
          <w:rFonts w:ascii="Times New Roman" w:hAnsi="Times New Roman" w:cs="Times New Roman"/>
          <w:lang w:val="ru-RU"/>
        </w:rPr>
      </w:pPr>
      <w:bookmarkStart w:id="55" w:name="n56"/>
      <w:bookmarkEnd w:id="55"/>
      <w:r w:rsidRPr="001B11DC">
        <w:rPr>
          <w:rFonts w:ascii="Times New Roman" w:hAnsi="Times New Roman" w:cs="Times New Roman"/>
          <w:lang w:val="ru-RU"/>
        </w:rPr>
        <w:t xml:space="preserve">організацією виробництва та управління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 xml:space="preserve">ідрозділами основного й допоміжного виробництва, що визначаються з урахуванням чисельності персоналу, тарифно-кваліфікаційного складу апарату управління цехів та дільниць і тарифних ставок (окладів) (основна і додаткова заробітна плата, гарантійні та компенсаційні виплати, єдиний внесок на загальнообов’язкове державне соціальне страхування, оплата службових відряджень, витрати з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ідготовки та перепідготовки кадрів);</w:t>
      </w:r>
    </w:p>
    <w:p w:rsidR="001F316E" w:rsidRPr="001B11DC" w:rsidRDefault="001F316E" w:rsidP="001F316E">
      <w:pPr>
        <w:jc w:val="both"/>
        <w:rPr>
          <w:rFonts w:ascii="Times New Roman" w:hAnsi="Times New Roman" w:cs="Times New Roman"/>
          <w:lang w:val="ru-RU"/>
        </w:rPr>
      </w:pPr>
      <w:bookmarkStart w:id="56" w:name="n57"/>
      <w:bookmarkEnd w:id="56"/>
      <w:r w:rsidRPr="001B11DC">
        <w:rPr>
          <w:rFonts w:ascii="Times New Roman" w:hAnsi="Times New Roman" w:cs="Times New Roman"/>
          <w:lang w:val="ru-RU"/>
        </w:rPr>
        <w:t xml:space="preserve">утриманням, експлуатацією, ремонтом, страхуванням, орендою основних засобів та інших необоротних активів загальновиробничого призначення, охороною об’єктів виробничого призначення, оплатою послуг інших спеціалізованих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ідприємств, виконанням регламентних робіт, передбачених проектно-технічною документацією;</w:t>
      </w:r>
    </w:p>
    <w:p w:rsidR="001F316E" w:rsidRPr="001B11DC" w:rsidRDefault="001F316E" w:rsidP="001F316E">
      <w:pPr>
        <w:jc w:val="both"/>
        <w:rPr>
          <w:rFonts w:ascii="Times New Roman" w:hAnsi="Times New Roman" w:cs="Times New Roman"/>
          <w:lang w:val="ru-RU"/>
        </w:rPr>
      </w:pPr>
      <w:bookmarkStart w:id="57" w:name="n58"/>
      <w:bookmarkEnd w:id="57"/>
      <w:r w:rsidRPr="001B11DC">
        <w:rPr>
          <w:rFonts w:ascii="Times New Roman" w:hAnsi="Times New Roman" w:cs="Times New Roman"/>
          <w:lang w:val="ru-RU"/>
        </w:rPr>
        <w:t>опаленням, освітленням, водопостачанням, водовідведенням та утриманням виробничих приміщень;</w:t>
      </w:r>
    </w:p>
    <w:p w:rsidR="001F316E" w:rsidRPr="001B11DC" w:rsidRDefault="001F316E" w:rsidP="001F316E">
      <w:pPr>
        <w:jc w:val="both"/>
        <w:rPr>
          <w:rFonts w:ascii="Times New Roman" w:hAnsi="Times New Roman" w:cs="Times New Roman"/>
          <w:lang w:val="ru-RU"/>
        </w:rPr>
      </w:pPr>
      <w:bookmarkStart w:id="58" w:name="n59"/>
      <w:bookmarkEnd w:id="58"/>
      <w:r w:rsidRPr="001B11DC">
        <w:rPr>
          <w:rFonts w:ascii="Times New Roman" w:hAnsi="Times New Roman" w:cs="Times New Roman"/>
          <w:lang w:val="ru-RU"/>
        </w:rPr>
        <w:t xml:space="preserve">обслуговуванням виробничого процесу та інших допоміжних виробництв (використання малоцінних і швидкозношуваних предметів, забезпечення охорони праці, дотримання вимог </w:t>
      </w:r>
      <w:proofErr w:type="gramStart"/>
      <w:r w:rsidRPr="001B11DC">
        <w:rPr>
          <w:rFonts w:ascii="Times New Roman" w:hAnsi="Times New Roman" w:cs="Times New Roman"/>
          <w:lang w:val="ru-RU"/>
        </w:rPr>
        <w:t>техн</w:t>
      </w:r>
      <w:proofErr w:type="gramEnd"/>
      <w:r w:rsidRPr="001B11DC">
        <w:rPr>
          <w:rFonts w:ascii="Times New Roman" w:hAnsi="Times New Roman" w:cs="Times New Roman"/>
          <w:lang w:val="ru-RU"/>
        </w:rPr>
        <w:t>іки безпеки, обов’язкове страхування водіїв автомобільних транспортних засобів, послуги інших підприємств, службові відрядження працівників ремонтних цехів та інших допоміжних виробництв, послуги зв’язку);</w:t>
      </w:r>
    </w:p>
    <w:p w:rsidR="001F316E" w:rsidRPr="001B11DC" w:rsidRDefault="001F316E" w:rsidP="001F316E">
      <w:pPr>
        <w:jc w:val="both"/>
        <w:rPr>
          <w:rFonts w:ascii="Times New Roman" w:hAnsi="Times New Roman" w:cs="Times New Roman"/>
          <w:lang w:val="ru-RU"/>
        </w:rPr>
      </w:pPr>
      <w:bookmarkStart w:id="59" w:name="n60"/>
      <w:bookmarkEnd w:id="59"/>
      <w:r w:rsidRPr="001B11DC">
        <w:rPr>
          <w:rFonts w:ascii="Times New Roman" w:hAnsi="Times New Roman" w:cs="Times New Roman"/>
          <w:lang w:val="ru-RU"/>
        </w:rPr>
        <w:t>амортизацією основних засобів, інших необоротних матеріальних і нематеріальних активів загальновиробничого призначення.</w:t>
      </w:r>
    </w:p>
    <w:p w:rsidR="001F316E" w:rsidRPr="001B11DC" w:rsidRDefault="001F316E" w:rsidP="001F316E">
      <w:pPr>
        <w:jc w:val="both"/>
        <w:rPr>
          <w:rFonts w:ascii="Times New Roman" w:hAnsi="Times New Roman" w:cs="Times New Roman"/>
          <w:lang w:val="ru-RU"/>
        </w:rPr>
      </w:pPr>
      <w:bookmarkStart w:id="60" w:name="n61"/>
      <w:bookmarkEnd w:id="60"/>
      <w:r w:rsidRPr="001B11DC">
        <w:rPr>
          <w:rFonts w:ascii="Times New Roman" w:hAnsi="Times New Roman" w:cs="Times New Roman"/>
          <w:lang w:val="ru-RU"/>
        </w:rPr>
        <w:t>5. До складу планової собівартості послуг можуть включатися розподілені та нерозподілені постійні загальновиробничі витрати, розмі</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 xml:space="preserve"> яких не може перевищувати їх величину за базовий період з урахуванням прогнозного індексу цін виробників промислової продукції.</w:t>
      </w:r>
    </w:p>
    <w:p w:rsidR="001F316E" w:rsidRPr="001B11DC" w:rsidRDefault="001F316E" w:rsidP="001F316E">
      <w:pPr>
        <w:jc w:val="both"/>
        <w:rPr>
          <w:rFonts w:ascii="Times New Roman" w:hAnsi="Times New Roman" w:cs="Times New Roman"/>
          <w:lang w:val="ru-RU"/>
        </w:rPr>
      </w:pPr>
      <w:bookmarkStart w:id="61" w:name="n62"/>
      <w:bookmarkEnd w:id="61"/>
      <w:r w:rsidRPr="001B11DC">
        <w:rPr>
          <w:rFonts w:ascii="Times New Roman" w:hAnsi="Times New Roman" w:cs="Times New Roman"/>
          <w:lang w:val="ru-RU"/>
        </w:rPr>
        <w:t xml:space="preserve">Допускається зростання планових витрат вище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івня індексу цін виробників промислової продукції, за умови надання відповідних обґрунтувань та пояснень щодо причин їх зростання в більшій мірі.</w:t>
      </w:r>
    </w:p>
    <w:p w:rsidR="001F316E" w:rsidRPr="001B11DC" w:rsidRDefault="001F316E" w:rsidP="001F316E">
      <w:pPr>
        <w:jc w:val="both"/>
        <w:rPr>
          <w:rFonts w:ascii="Times New Roman" w:hAnsi="Times New Roman" w:cs="Times New Roman"/>
          <w:lang w:val="ru-RU"/>
        </w:rPr>
      </w:pPr>
      <w:bookmarkStart w:id="62" w:name="n63"/>
      <w:bookmarkEnd w:id="62"/>
      <w:r w:rsidRPr="001B11DC">
        <w:rPr>
          <w:rFonts w:ascii="Times New Roman" w:hAnsi="Times New Roman" w:cs="Times New Roman"/>
          <w:lang w:val="ru-RU"/>
        </w:rPr>
        <w:t xml:space="preserve">6. Загальновиробничі витрати розподіляються </w:t>
      </w:r>
      <w:proofErr w:type="gramStart"/>
      <w:r w:rsidRPr="001B11DC">
        <w:rPr>
          <w:rFonts w:ascii="Times New Roman" w:hAnsi="Times New Roman" w:cs="Times New Roman"/>
          <w:lang w:val="ru-RU"/>
        </w:rPr>
        <w:t>між</w:t>
      </w:r>
      <w:proofErr w:type="gramEnd"/>
      <w:r w:rsidRPr="001B11DC">
        <w:rPr>
          <w:rFonts w:ascii="Times New Roman" w:hAnsi="Times New Roman" w:cs="Times New Roman"/>
          <w:lang w:val="ru-RU"/>
        </w:rPr>
        <w:t xml:space="preserve"> всіма видами послуг, що надаються призначеним оператором поштового зв’язку, пропорційно доходам за попередній період.</w:t>
      </w:r>
    </w:p>
    <w:p w:rsidR="001F316E" w:rsidRPr="001B11DC" w:rsidRDefault="001F316E" w:rsidP="001F316E">
      <w:pPr>
        <w:jc w:val="both"/>
        <w:rPr>
          <w:rFonts w:ascii="Times New Roman" w:hAnsi="Times New Roman" w:cs="Times New Roman"/>
          <w:lang w:val="ru-RU"/>
        </w:rPr>
      </w:pPr>
      <w:bookmarkStart w:id="63" w:name="n64"/>
      <w:bookmarkEnd w:id="63"/>
      <w:r w:rsidRPr="001B11DC">
        <w:rPr>
          <w:rFonts w:ascii="Times New Roman" w:hAnsi="Times New Roman" w:cs="Times New Roman"/>
          <w:lang w:val="ru-RU"/>
        </w:rPr>
        <w:t xml:space="preserve">7. До складу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іністративних витрат входять витрати, пов’язані з обслуговуванням та управлінням підприємством, зокрема з:</w:t>
      </w:r>
    </w:p>
    <w:p w:rsidR="001F316E" w:rsidRPr="001B11DC" w:rsidRDefault="001F316E" w:rsidP="001F316E">
      <w:pPr>
        <w:jc w:val="both"/>
        <w:rPr>
          <w:rFonts w:ascii="Times New Roman" w:hAnsi="Times New Roman" w:cs="Times New Roman"/>
          <w:lang w:val="ru-RU"/>
        </w:rPr>
      </w:pPr>
      <w:bookmarkStart w:id="64" w:name="n65"/>
      <w:bookmarkEnd w:id="64"/>
      <w:r w:rsidRPr="001B11DC">
        <w:rPr>
          <w:rFonts w:ascii="Times New Roman" w:hAnsi="Times New Roman" w:cs="Times New Roman"/>
          <w:lang w:val="ru-RU"/>
        </w:rPr>
        <w:lastRenderedPageBreak/>
        <w:t xml:space="preserve">утриманням апарату управління та персоналу, зайнятого обслуговуванням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 xml:space="preserve">іністративної інфраструктури. Такі витрати визначаються, виходячи з чисельності персоналу і встановлених на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ідприємстві тарифних ставок (окладів) (основна і додаткова заробітна плата, гарантійні та компенсаційні виплати, єдиний внесок на загальнообов’язкове державне соціальне страхування, оплата службових відряджень, витрати з підготовки та перепідготовки кадрів);</w:t>
      </w:r>
    </w:p>
    <w:p w:rsidR="001F316E" w:rsidRPr="001B11DC" w:rsidRDefault="001F316E" w:rsidP="001F316E">
      <w:pPr>
        <w:jc w:val="both"/>
        <w:rPr>
          <w:rFonts w:ascii="Times New Roman" w:hAnsi="Times New Roman" w:cs="Times New Roman"/>
          <w:lang w:val="ru-RU"/>
        </w:rPr>
      </w:pPr>
      <w:bookmarkStart w:id="65" w:name="n66"/>
      <w:bookmarkEnd w:id="65"/>
      <w:r w:rsidRPr="001B11DC">
        <w:rPr>
          <w:rFonts w:ascii="Times New Roman" w:hAnsi="Times New Roman" w:cs="Times New Roman"/>
          <w:lang w:val="ru-RU"/>
        </w:rPr>
        <w:t xml:space="preserve">амортизацією основних засобів, інших необоротних матеріальних і нематеріальних активів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іністративного призначення;</w:t>
      </w:r>
    </w:p>
    <w:p w:rsidR="001F316E" w:rsidRPr="001B11DC" w:rsidRDefault="001F316E" w:rsidP="001F316E">
      <w:pPr>
        <w:jc w:val="both"/>
        <w:rPr>
          <w:rFonts w:ascii="Times New Roman" w:hAnsi="Times New Roman" w:cs="Times New Roman"/>
          <w:lang w:val="ru-RU"/>
        </w:rPr>
      </w:pPr>
      <w:bookmarkStart w:id="66" w:name="n67"/>
      <w:bookmarkEnd w:id="66"/>
      <w:r w:rsidRPr="001B11DC">
        <w:rPr>
          <w:rFonts w:ascii="Times New Roman" w:hAnsi="Times New Roman" w:cs="Times New Roman"/>
          <w:lang w:val="ru-RU"/>
        </w:rPr>
        <w:t xml:space="preserve">утриманням основних засобів, інших необоротних матеріальних активів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іністративного призначення;</w:t>
      </w:r>
    </w:p>
    <w:p w:rsidR="001F316E" w:rsidRPr="001B11DC" w:rsidRDefault="001F316E" w:rsidP="001F316E">
      <w:pPr>
        <w:jc w:val="both"/>
        <w:rPr>
          <w:rFonts w:ascii="Times New Roman" w:hAnsi="Times New Roman" w:cs="Times New Roman"/>
          <w:lang w:val="ru-RU"/>
        </w:rPr>
      </w:pPr>
      <w:bookmarkStart w:id="67" w:name="n68"/>
      <w:bookmarkEnd w:id="67"/>
      <w:r w:rsidRPr="001B11DC">
        <w:rPr>
          <w:rFonts w:ascii="Times New Roman" w:hAnsi="Times New Roman" w:cs="Times New Roman"/>
          <w:lang w:val="ru-RU"/>
        </w:rPr>
        <w:t xml:space="preserve">оплатою професійних послуг (юридичних, аудиторських), послуг зв’язку, розрахунково-касового обслуговування та інших послуг банків, наданих відповідно до укладених договорів, сплатою податків і зборів, платежів, </w:t>
      </w:r>
      <w:proofErr w:type="gramStart"/>
      <w:r w:rsidRPr="001B11DC">
        <w:rPr>
          <w:rFonts w:ascii="Times New Roman" w:hAnsi="Times New Roman" w:cs="Times New Roman"/>
          <w:lang w:val="ru-RU"/>
        </w:rPr>
        <w:t>кр</w:t>
      </w:r>
      <w:proofErr w:type="gramEnd"/>
      <w:r w:rsidRPr="001B11DC">
        <w:rPr>
          <w:rFonts w:ascii="Times New Roman" w:hAnsi="Times New Roman" w:cs="Times New Roman"/>
          <w:lang w:val="ru-RU"/>
        </w:rPr>
        <w:t>ім тих, що включаються до планових витрат.</w:t>
      </w:r>
    </w:p>
    <w:p w:rsidR="001F316E" w:rsidRPr="001B11DC" w:rsidRDefault="001F316E" w:rsidP="001F316E">
      <w:pPr>
        <w:jc w:val="both"/>
        <w:rPr>
          <w:rFonts w:ascii="Times New Roman" w:hAnsi="Times New Roman" w:cs="Times New Roman"/>
          <w:lang w:val="ru-RU"/>
        </w:rPr>
      </w:pPr>
      <w:bookmarkStart w:id="68" w:name="n69"/>
      <w:bookmarkEnd w:id="68"/>
      <w:r w:rsidRPr="001B11DC">
        <w:rPr>
          <w:rFonts w:ascii="Times New Roman" w:hAnsi="Times New Roman" w:cs="Times New Roman"/>
          <w:lang w:val="ru-RU"/>
        </w:rPr>
        <w:t xml:space="preserve">До складу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іністративних витрат включаються також інші витрати (використання малоцінних і швидкозношуваних предметів, канцелярські витрати, передплата періодичних видань, пов’язаних з виробничою діяльністю).</w:t>
      </w:r>
    </w:p>
    <w:p w:rsidR="001F316E" w:rsidRPr="001B11DC" w:rsidRDefault="001F316E" w:rsidP="001F316E">
      <w:pPr>
        <w:jc w:val="both"/>
        <w:rPr>
          <w:rFonts w:ascii="Times New Roman" w:hAnsi="Times New Roman" w:cs="Times New Roman"/>
          <w:lang w:val="ru-RU"/>
        </w:rPr>
      </w:pPr>
      <w:bookmarkStart w:id="69" w:name="n70"/>
      <w:bookmarkEnd w:id="69"/>
      <w:r w:rsidRPr="001B11DC">
        <w:rPr>
          <w:rFonts w:ascii="Times New Roman" w:hAnsi="Times New Roman" w:cs="Times New Roman"/>
          <w:lang w:val="ru-RU"/>
        </w:rPr>
        <w:t xml:space="preserve">Обсяг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іністративних витрат не може перевищувати їх величину за базовий період з урахуванням прогнозного індексу цін виробників промислової продукції.</w:t>
      </w:r>
    </w:p>
    <w:p w:rsidR="001F316E" w:rsidRPr="001B11DC" w:rsidRDefault="001F316E" w:rsidP="001F316E">
      <w:pPr>
        <w:jc w:val="both"/>
        <w:rPr>
          <w:rFonts w:ascii="Times New Roman" w:hAnsi="Times New Roman" w:cs="Times New Roman"/>
          <w:lang w:val="ru-RU"/>
        </w:rPr>
      </w:pPr>
      <w:bookmarkStart w:id="70" w:name="n71"/>
      <w:bookmarkEnd w:id="70"/>
      <w:r w:rsidRPr="001B11DC">
        <w:rPr>
          <w:rFonts w:ascii="Times New Roman" w:hAnsi="Times New Roman" w:cs="Times New Roman"/>
          <w:lang w:val="ru-RU"/>
        </w:rPr>
        <w:t xml:space="preserve">Допускається зростання планових витрат вище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івня індексу цін виробників промислової продукції, за умови надання відповідних обґрунтувань та пояснень щодо причин їх зростання в більшій мірі.</w:t>
      </w:r>
    </w:p>
    <w:p w:rsidR="001F316E" w:rsidRPr="001B11DC" w:rsidRDefault="001F316E" w:rsidP="001F316E">
      <w:pPr>
        <w:jc w:val="both"/>
        <w:rPr>
          <w:rFonts w:ascii="Times New Roman" w:hAnsi="Times New Roman" w:cs="Times New Roman"/>
          <w:lang w:val="ru-RU"/>
        </w:rPr>
      </w:pPr>
      <w:bookmarkStart w:id="71" w:name="n72"/>
      <w:bookmarkEnd w:id="71"/>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іністративні витрати розподіляються між всіма видами послуг, що надаються призначеним оператором поштового зв’язку, пропорційно доходам за попередній період.</w:t>
      </w:r>
    </w:p>
    <w:p w:rsidR="001F316E" w:rsidRPr="001B11DC" w:rsidRDefault="001F316E" w:rsidP="001F316E">
      <w:pPr>
        <w:jc w:val="both"/>
        <w:rPr>
          <w:rFonts w:ascii="Times New Roman" w:hAnsi="Times New Roman" w:cs="Times New Roman"/>
          <w:lang w:val="ru-RU"/>
        </w:rPr>
      </w:pPr>
      <w:bookmarkStart w:id="72" w:name="n73"/>
      <w:bookmarkEnd w:id="72"/>
      <w:r w:rsidRPr="001B11DC">
        <w:rPr>
          <w:rFonts w:ascii="Times New Roman" w:hAnsi="Times New Roman" w:cs="Times New Roman"/>
          <w:lang w:val="ru-RU"/>
        </w:rPr>
        <w:t xml:space="preserve">8. До складу витрат на збут включаються витрати з операційної діяльності, безпосередньо </w:t>
      </w:r>
      <w:proofErr w:type="gramStart"/>
      <w:r w:rsidRPr="001B11DC">
        <w:rPr>
          <w:rFonts w:ascii="Times New Roman" w:hAnsi="Times New Roman" w:cs="Times New Roman"/>
          <w:lang w:val="ru-RU"/>
        </w:rPr>
        <w:t>пов’язан</w:t>
      </w:r>
      <w:proofErr w:type="gramEnd"/>
      <w:r w:rsidRPr="001B11DC">
        <w:rPr>
          <w:rFonts w:ascii="Times New Roman" w:hAnsi="Times New Roman" w:cs="Times New Roman"/>
          <w:lang w:val="ru-RU"/>
        </w:rPr>
        <w:t>і з наданням поштових послуг, зокрема:</w:t>
      </w:r>
    </w:p>
    <w:p w:rsidR="001F316E" w:rsidRPr="001B11DC" w:rsidRDefault="001F316E" w:rsidP="001F316E">
      <w:pPr>
        <w:jc w:val="both"/>
        <w:rPr>
          <w:rFonts w:ascii="Times New Roman" w:hAnsi="Times New Roman" w:cs="Times New Roman"/>
          <w:lang w:val="ru-RU"/>
        </w:rPr>
      </w:pPr>
      <w:bookmarkStart w:id="73" w:name="n74"/>
      <w:bookmarkEnd w:id="73"/>
      <w:r w:rsidRPr="001B11DC">
        <w:rPr>
          <w:rFonts w:ascii="Times New Roman" w:hAnsi="Times New Roman" w:cs="Times New Roman"/>
          <w:lang w:val="ru-RU"/>
        </w:rPr>
        <w:t>оплата праці персоналу, який забезпечує збут послуг;</w:t>
      </w:r>
    </w:p>
    <w:p w:rsidR="001F316E" w:rsidRPr="001B11DC" w:rsidRDefault="001F316E" w:rsidP="001F316E">
      <w:pPr>
        <w:jc w:val="both"/>
        <w:rPr>
          <w:rFonts w:ascii="Times New Roman" w:hAnsi="Times New Roman" w:cs="Times New Roman"/>
          <w:lang w:val="ru-RU"/>
        </w:rPr>
      </w:pPr>
      <w:bookmarkStart w:id="74" w:name="n75"/>
      <w:bookmarkEnd w:id="74"/>
      <w:r w:rsidRPr="001B11DC">
        <w:rPr>
          <w:rFonts w:ascii="Times New Roman" w:hAnsi="Times New Roman" w:cs="Times New Roman"/>
          <w:lang w:val="ru-RU"/>
        </w:rPr>
        <w:t xml:space="preserve">єдиний внесок на загальнообов’язкове державне </w:t>
      </w:r>
      <w:proofErr w:type="gramStart"/>
      <w:r w:rsidRPr="001B11DC">
        <w:rPr>
          <w:rFonts w:ascii="Times New Roman" w:hAnsi="Times New Roman" w:cs="Times New Roman"/>
          <w:lang w:val="ru-RU"/>
        </w:rPr>
        <w:t>соц</w:t>
      </w:r>
      <w:proofErr w:type="gramEnd"/>
      <w:r w:rsidRPr="001B11DC">
        <w:rPr>
          <w:rFonts w:ascii="Times New Roman" w:hAnsi="Times New Roman" w:cs="Times New Roman"/>
          <w:lang w:val="ru-RU"/>
        </w:rPr>
        <w:t>іальне страхування;</w:t>
      </w:r>
    </w:p>
    <w:p w:rsidR="001F316E" w:rsidRPr="001B11DC" w:rsidRDefault="001F316E" w:rsidP="001F316E">
      <w:pPr>
        <w:jc w:val="both"/>
        <w:rPr>
          <w:rFonts w:ascii="Times New Roman" w:hAnsi="Times New Roman" w:cs="Times New Roman"/>
          <w:lang w:val="ru-RU"/>
        </w:rPr>
      </w:pPr>
      <w:bookmarkStart w:id="75" w:name="n76"/>
      <w:bookmarkEnd w:id="75"/>
      <w:r w:rsidRPr="001B11DC">
        <w:rPr>
          <w:rFonts w:ascii="Times New Roman" w:hAnsi="Times New Roman" w:cs="Times New Roman"/>
          <w:lang w:val="ru-RU"/>
        </w:rPr>
        <w:t xml:space="preserve">службові відрядження персоналу, </w:t>
      </w:r>
      <w:proofErr w:type="gramStart"/>
      <w:r w:rsidRPr="001B11DC">
        <w:rPr>
          <w:rFonts w:ascii="Times New Roman" w:hAnsi="Times New Roman" w:cs="Times New Roman"/>
          <w:lang w:val="ru-RU"/>
        </w:rPr>
        <w:t>пов’язан</w:t>
      </w:r>
      <w:proofErr w:type="gramEnd"/>
      <w:r w:rsidRPr="001B11DC">
        <w:rPr>
          <w:rFonts w:ascii="Times New Roman" w:hAnsi="Times New Roman" w:cs="Times New Roman"/>
          <w:lang w:val="ru-RU"/>
        </w:rPr>
        <w:t>і з вирішенням питань реалізації послуг;</w:t>
      </w:r>
    </w:p>
    <w:p w:rsidR="001F316E" w:rsidRPr="001B11DC" w:rsidRDefault="001F316E" w:rsidP="001F316E">
      <w:pPr>
        <w:jc w:val="both"/>
        <w:rPr>
          <w:rFonts w:ascii="Times New Roman" w:hAnsi="Times New Roman" w:cs="Times New Roman"/>
          <w:lang w:val="ru-RU"/>
        </w:rPr>
      </w:pPr>
      <w:bookmarkStart w:id="76" w:name="n77"/>
      <w:bookmarkEnd w:id="76"/>
      <w:r w:rsidRPr="001B11DC">
        <w:rPr>
          <w:rFonts w:ascii="Times New Roman" w:hAnsi="Times New Roman" w:cs="Times New Roman"/>
          <w:lang w:val="ru-RU"/>
        </w:rPr>
        <w:t>інформаційні послуги;</w:t>
      </w:r>
    </w:p>
    <w:p w:rsidR="001F316E" w:rsidRPr="001B11DC" w:rsidRDefault="001F316E" w:rsidP="001F316E">
      <w:pPr>
        <w:jc w:val="both"/>
        <w:rPr>
          <w:rFonts w:ascii="Times New Roman" w:hAnsi="Times New Roman" w:cs="Times New Roman"/>
          <w:lang w:val="ru-RU"/>
        </w:rPr>
      </w:pPr>
      <w:bookmarkStart w:id="77" w:name="n78"/>
      <w:bookmarkEnd w:id="77"/>
      <w:r w:rsidRPr="001B11DC">
        <w:rPr>
          <w:rFonts w:ascii="Times New Roman" w:hAnsi="Times New Roman" w:cs="Times New Roman"/>
          <w:lang w:val="ru-RU"/>
        </w:rPr>
        <w:t>виготовлення розрахункових документі</w:t>
      </w:r>
      <w:proofErr w:type="gramStart"/>
      <w:r w:rsidRPr="001B11DC">
        <w:rPr>
          <w:rFonts w:ascii="Times New Roman" w:hAnsi="Times New Roman" w:cs="Times New Roman"/>
          <w:lang w:val="ru-RU"/>
        </w:rPr>
        <w:t>в</w:t>
      </w:r>
      <w:proofErr w:type="gramEnd"/>
      <w:r w:rsidRPr="001B11DC">
        <w:rPr>
          <w:rFonts w:ascii="Times New Roman" w:hAnsi="Times New Roman" w:cs="Times New Roman"/>
          <w:lang w:val="ru-RU"/>
        </w:rPr>
        <w:t>;</w:t>
      </w:r>
    </w:p>
    <w:p w:rsidR="001F316E" w:rsidRPr="001B11DC" w:rsidRDefault="001F316E" w:rsidP="001F316E">
      <w:pPr>
        <w:jc w:val="both"/>
        <w:rPr>
          <w:rFonts w:ascii="Times New Roman" w:hAnsi="Times New Roman" w:cs="Times New Roman"/>
          <w:lang w:val="ru-RU"/>
        </w:rPr>
      </w:pPr>
      <w:bookmarkStart w:id="78" w:name="n79"/>
      <w:bookmarkEnd w:id="78"/>
      <w:r w:rsidRPr="001B11DC">
        <w:rPr>
          <w:rFonts w:ascii="Times New Roman" w:hAnsi="Times New Roman" w:cs="Times New Roman"/>
          <w:lang w:val="ru-RU"/>
        </w:rPr>
        <w:t>амортизація та утримання основних засобів, інших необоротних матеріальних і нематеріальних активів, пов’язаних із збутом послуг;</w:t>
      </w:r>
    </w:p>
    <w:p w:rsidR="001F316E" w:rsidRPr="001B11DC" w:rsidRDefault="001F316E" w:rsidP="001F316E">
      <w:pPr>
        <w:jc w:val="both"/>
        <w:rPr>
          <w:rFonts w:ascii="Times New Roman" w:hAnsi="Times New Roman" w:cs="Times New Roman"/>
          <w:lang w:val="ru-RU"/>
        </w:rPr>
      </w:pPr>
      <w:bookmarkStart w:id="79" w:name="n80"/>
      <w:bookmarkEnd w:id="79"/>
      <w:r w:rsidRPr="001B11DC">
        <w:rPr>
          <w:rFonts w:ascii="Times New Roman" w:hAnsi="Times New Roman" w:cs="Times New Roman"/>
          <w:lang w:val="ru-RU"/>
        </w:rPr>
        <w:t xml:space="preserve">збереження продукції, тари, упаковки, передпродажна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ідготовка;</w:t>
      </w:r>
    </w:p>
    <w:p w:rsidR="001F316E" w:rsidRPr="001B11DC" w:rsidRDefault="001F316E" w:rsidP="001F316E">
      <w:pPr>
        <w:jc w:val="both"/>
        <w:rPr>
          <w:rFonts w:ascii="Times New Roman" w:hAnsi="Times New Roman" w:cs="Times New Roman"/>
          <w:lang w:val="ru-RU"/>
        </w:rPr>
      </w:pPr>
      <w:bookmarkStart w:id="80" w:name="n81"/>
      <w:bookmarkEnd w:id="80"/>
      <w:r w:rsidRPr="001B11DC">
        <w:rPr>
          <w:rFonts w:ascii="Times New Roman" w:hAnsi="Times New Roman" w:cs="Times New Roman"/>
          <w:lang w:val="ru-RU"/>
        </w:rPr>
        <w:t>транспортування;</w:t>
      </w:r>
    </w:p>
    <w:p w:rsidR="001F316E" w:rsidRPr="001B11DC" w:rsidRDefault="001F316E" w:rsidP="001F316E">
      <w:pPr>
        <w:jc w:val="both"/>
        <w:rPr>
          <w:rFonts w:ascii="Times New Roman" w:hAnsi="Times New Roman" w:cs="Times New Roman"/>
          <w:lang w:val="ru-RU"/>
        </w:rPr>
      </w:pPr>
      <w:bookmarkStart w:id="81" w:name="n82"/>
      <w:bookmarkEnd w:id="81"/>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ідвищення кваліфікації та перепідготовка кадрів;</w:t>
      </w:r>
    </w:p>
    <w:p w:rsidR="001F316E" w:rsidRPr="001B11DC" w:rsidRDefault="001F316E" w:rsidP="001F316E">
      <w:pPr>
        <w:jc w:val="both"/>
        <w:rPr>
          <w:rFonts w:ascii="Times New Roman" w:hAnsi="Times New Roman" w:cs="Times New Roman"/>
          <w:lang w:val="ru-RU"/>
        </w:rPr>
      </w:pPr>
      <w:bookmarkStart w:id="82" w:name="n83"/>
      <w:bookmarkEnd w:id="82"/>
      <w:r w:rsidRPr="001B11DC">
        <w:rPr>
          <w:rFonts w:ascii="Times New Roman" w:hAnsi="Times New Roman" w:cs="Times New Roman"/>
          <w:lang w:val="ru-RU"/>
        </w:rPr>
        <w:t>супровід програмного забезпечення;</w:t>
      </w:r>
    </w:p>
    <w:p w:rsidR="001F316E" w:rsidRPr="001B11DC" w:rsidRDefault="001F316E" w:rsidP="001F316E">
      <w:pPr>
        <w:jc w:val="both"/>
        <w:rPr>
          <w:rFonts w:ascii="Times New Roman" w:hAnsi="Times New Roman" w:cs="Times New Roman"/>
          <w:lang w:val="ru-RU"/>
        </w:rPr>
      </w:pPr>
      <w:bookmarkStart w:id="83" w:name="n84"/>
      <w:bookmarkEnd w:id="83"/>
      <w:r w:rsidRPr="001B11DC">
        <w:rPr>
          <w:rFonts w:ascii="Times New Roman" w:hAnsi="Times New Roman" w:cs="Times New Roman"/>
          <w:lang w:val="ru-RU"/>
        </w:rPr>
        <w:t>проведення маркетингових заході</w:t>
      </w:r>
      <w:proofErr w:type="gramStart"/>
      <w:r w:rsidRPr="001B11DC">
        <w:rPr>
          <w:rFonts w:ascii="Times New Roman" w:hAnsi="Times New Roman" w:cs="Times New Roman"/>
          <w:lang w:val="ru-RU"/>
        </w:rPr>
        <w:t>в</w:t>
      </w:r>
      <w:proofErr w:type="gramEnd"/>
      <w:r w:rsidRPr="001B11DC">
        <w:rPr>
          <w:rFonts w:ascii="Times New Roman" w:hAnsi="Times New Roman" w:cs="Times New Roman"/>
          <w:lang w:val="ru-RU"/>
        </w:rPr>
        <w:t>.</w:t>
      </w:r>
    </w:p>
    <w:p w:rsidR="001F316E" w:rsidRPr="001B11DC" w:rsidRDefault="001F316E" w:rsidP="001F316E">
      <w:pPr>
        <w:jc w:val="both"/>
        <w:rPr>
          <w:rFonts w:ascii="Times New Roman" w:hAnsi="Times New Roman" w:cs="Times New Roman"/>
          <w:lang w:val="ru-RU"/>
        </w:rPr>
      </w:pPr>
      <w:bookmarkStart w:id="84" w:name="n85"/>
      <w:bookmarkEnd w:id="84"/>
      <w:r w:rsidRPr="001B11DC">
        <w:rPr>
          <w:rFonts w:ascii="Times New Roman" w:hAnsi="Times New Roman" w:cs="Times New Roman"/>
          <w:lang w:val="ru-RU"/>
        </w:rPr>
        <w:lastRenderedPageBreak/>
        <w:t xml:space="preserve">Обсяг витрат на збут не може перевищувати їх величину за базовий період з урахуванням </w:t>
      </w:r>
      <w:proofErr w:type="gramStart"/>
      <w:r w:rsidRPr="001B11DC">
        <w:rPr>
          <w:rFonts w:ascii="Times New Roman" w:hAnsi="Times New Roman" w:cs="Times New Roman"/>
          <w:lang w:val="ru-RU"/>
        </w:rPr>
        <w:t>прогнозного</w:t>
      </w:r>
      <w:proofErr w:type="gramEnd"/>
      <w:r w:rsidRPr="001B11DC">
        <w:rPr>
          <w:rFonts w:ascii="Times New Roman" w:hAnsi="Times New Roman" w:cs="Times New Roman"/>
          <w:lang w:val="ru-RU"/>
        </w:rPr>
        <w:t xml:space="preserve"> індексу цін виробників промислової продукції.</w:t>
      </w:r>
    </w:p>
    <w:p w:rsidR="001F316E" w:rsidRPr="001B11DC" w:rsidRDefault="001F316E" w:rsidP="001F316E">
      <w:pPr>
        <w:jc w:val="both"/>
        <w:rPr>
          <w:rFonts w:ascii="Times New Roman" w:hAnsi="Times New Roman" w:cs="Times New Roman"/>
          <w:lang w:val="ru-RU"/>
        </w:rPr>
      </w:pPr>
      <w:bookmarkStart w:id="85" w:name="n86"/>
      <w:bookmarkEnd w:id="85"/>
      <w:r w:rsidRPr="001B11DC">
        <w:rPr>
          <w:rFonts w:ascii="Times New Roman" w:hAnsi="Times New Roman" w:cs="Times New Roman"/>
          <w:lang w:val="ru-RU"/>
        </w:rPr>
        <w:t xml:space="preserve">Допускається зростання планових витрат вище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івня індексу цін виробників промислової продукції, за умови надання відповідних обґрунтувань та пояснень щодо причин їх зростання в більшій мірі.</w:t>
      </w:r>
    </w:p>
    <w:p w:rsidR="001F316E" w:rsidRPr="001B11DC" w:rsidRDefault="001F316E" w:rsidP="001F316E">
      <w:pPr>
        <w:jc w:val="both"/>
        <w:rPr>
          <w:rFonts w:ascii="Times New Roman" w:hAnsi="Times New Roman" w:cs="Times New Roman"/>
          <w:lang w:val="ru-RU"/>
        </w:rPr>
      </w:pPr>
      <w:bookmarkStart w:id="86" w:name="n87"/>
      <w:bookmarkEnd w:id="86"/>
      <w:r w:rsidRPr="001B11DC">
        <w:rPr>
          <w:rFonts w:ascii="Times New Roman" w:hAnsi="Times New Roman" w:cs="Times New Roman"/>
          <w:lang w:val="ru-RU"/>
        </w:rPr>
        <w:t xml:space="preserve">Витрати на збут розподіляються </w:t>
      </w:r>
      <w:proofErr w:type="gramStart"/>
      <w:r w:rsidRPr="001B11DC">
        <w:rPr>
          <w:rFonts w:ascii="Times New Roman" w:hAnsi="Times New Roman" w:cs="Times New Roman"/>
          <w:lang w:val="ru-RU"/>
        </w:rPr>
        <w:t>між</w:t>
      </w:r>
      <w:proofErr w:type="gramEnd"/>
      <w:r w:rsidRPr="001B11DC">
        <w:rPr>
          <w:rFonts w:ascii="Times New Roman" w:hAnsi="Times New Roman" w:cs="Times New Roman"/>
          <w:lang w:val="ru-RU"/>
        </w:rPr>
        <w:t xml:space="preserve"> всіма видами послуг, що надаються призначеним оператором поштового зв’язку, пропорційно доходам за попередній період.</w:t>
      </w:r>
    </w:p>
    <w:p w:rsidR="001F316E" w:rsidRPr="001B11DC" w:rsidRDefault="001F316E" w:rsidP="001F316E">
      <w:pPr>
        <w:jc w:val="both"/>
        <w:rPr>
          <w:rFonts w:ascii="Times New Roman" w:hAnsi="Times New Roman" w:cs="Times New Roman"/>
          <w:lang w:val="ru-RU"/>
        </w:rPr>
      </w:pPr>
      <w:bookmarkStart w:id="87" w:name="n88"/>
      <w:bookmarkEnd w:id="87"/>
      <w:r w:rsidRPr="001B11DC">
        <w:rPr>
          <w:rFonts w:ascii="Times New Roman" w:hAnsi="Times New Roman" w:cs="Times New Roman"/>
          <w:lang w:val="ru-RU"/>
        </w:rPr>
        <w:t xml:space="preserve">9. Планування інших витрат з операційної діяльності здійснюється </w:t>
      </w:r>
      <w:proofErr w:type="gramStart"/>
      <w:r w:rsidRPr="001B11DC">
        <w:rPr>
          <w:rFonts w:ascii="Times New Roman" w:hAnsi="Times New Roman" w:cs="Times New Roman"/>
          <w:lang w:val="ru-RU"/>
        </w:rPr>
        <w:t>на</w:t>
      </w:r>
      <w:proofErr w:type="gramEnd"/>
      <w:r w:rsidRPr="001B11DC">
        <w:rPr>
          <w:rFonts w:ascii="Times New Roman" w:hAnsi="Times New Roman" w:cs="Times New Roman"/>
          <w:lang w:val="ru-RU"/>
        </w:rPr>
        <w:t xml:space="preserve"> основі їх економічного обґрунтування. До складу інших витрат з операційної діяльності включаються витрати на </w:t>
      </w:r>
      <w:proofErr w:type="gramStart"/>
      <w:r w:rsidRPr="001B11DC">
        <w:rPr>
          <w:rFonts w:ascii="Times New Roman" w:hAnsi="Times New Roman" w:cs="Times New Roman"/>
          <w:lang w:val="ru-RU"/>
        </w:rPr>
        <w:t>досл</w:t>
      </w:r>
      <w:proofErr w:type="gramEnd"/>
      <w:r w:rsidRPr="001B11DC">
        <w:rPr>
          <w:rFonts w:ascii="Times New Roman" w:hAnsi="Times New Roman" w:cs="Times New Roman"/>
          <w:lang w:val="ru-RU"/>
        </w:rPr>
        <w:t>ідження і розробку, придбання форменого одягу персоналу призначеного оператора поштового зв’язку тощо.</w:t>
      </w:r>
    </w:p>
    <w:p w:rsidR="001F316E" w:rsidRPr="001B11DC" w:rsidRDefault="001F316E" w:rsidP="001F316E">
      <w:pPr>
        <w:jc w:val="both"/>
        <w:rPr>
          <w:rFonts w:ascii="Times New Roman" w:hAnsi="Times New Roman" w:cs="Times New Roman"/>
          <w:lang w:val="ru-RU"/>
        </w:rPr>
      </w:pPr>
      <w:bookmarkStart w:id="88" w:name="n89"/>
      <w:bookmarkEnd w:id="88"/>
      <w:r w:rsidRPr="001B11DC">
        <w:rPr>
          <w:rFonts w:ascii="Times New Roman" w:hAnsi="Times New Roman" w:cs="Times New Roman"/>
          <w:lang w:val="ru-RU"/>
        </w:rPr>
        <w:t xml:space="preserve">Обсяг інших витрат з операційної діяльності не може перевищувати їх величину за базовий період з урахуванням </w:t>
      </w:r>
      <w:proofErr w:type="gramStart"/>
      <w:r w:rsidRPr="001B11DC">
        <w:rPr>
          <w:rFonts w:ascii="Times New Roman" w:hAnsi="Times New Roman" w:cs="Times New Roman"/>
          <w:lang w:val="ru-RU"/>
        </w:rPr>
        <w:t>прогнозного</w:t>
      </w:r>
      <w:proofErr w:type="gramEnd"/>
      <w:r w:rsidRPr="001B11DC">
        <w:rPr>
          <w:rFonts w:ascii="Times New Roman" w:hAnsi="Times New Roman" w:cs="Times New Roman"/>
          <w:lang w:val="ru-RU"/>
        </w:rPr>
        <w:t xml:space="preserve"> індексу цін виробників промислової продукції.</w:t>
      </w:r>
    </w:p>
    <w:p w:rsidR="001F316E" w:rsidRPr="001B11DC" w:rsidRDefault="001F316E" w:rsidP="001F316E">
      <w:pPr>
        <w:jc w:val="both"/>
        <w:rPr>
          <w:rFonts w:ascii="Times New Roman" w:hAnsi="Times New Roman" w:cs="Times New Roman"/>
          <w:lang w:val="ru-RU"/>
        </w:rPr>
      </w:pPr>
      <w:bookmarkStart w:id="89" w:name="n90"/>
      <w:bookmarkEnd w:id="89"/>
      <w:r w:rsidRPr="001B11DC">
        <w:rPr>
          <w:rFonts w:ascii="Times New Roman" w:hAnsi="Times New Roman" w:cs="Times New Roman"/>
          <w:lang w:val="ru-RU"/>
        </w:rPr>
        <w:t xml:space="preserve">Допускається зростання планових витрат вище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івня індексу цін виробників промислової продукції за умови надання відповідних обґрунтувань та пояснень щодо причин їх зростання в більшій мірі.</w:t>
      </w:r>
    </w:p>
    <w:p w:rsidR="001F316E" w:rsidRPr="001B11DC" w:rsidRDefault="001F316E" w:rsidP="001F316E">
      <w:pPr>
        <w:jc w:val="both"/>
        <w:rPr>
          <w:rFonts w:ascii="Times New Roman" w:hAnsi="Times New Roman" w:cs="Times New Roman"/>
          <w:lang w:val="ru-RU"/>
        </w:rPr>
      </w:pPr>
      <w:bookmarkStart w:id="90" w:name="n91"/>
      <w:bookmarkEnd w:id="90"/>
      <w:r w:rsidRPr="001B11DC">
        <w:rPr>
          <w:rFonts w:ascii="Times New Roman" w:hAnsi="Times New Roman" w:cs="Times New Roman"/>
          <w:lang w:val="ru-RU"/>
        </w:rPr>
        <w:t xml:space="preserve">Обсяг інших витрат розподіляється </w:t>
      </w:r>
      <w:proofErr w:type="gramStart"/>
      <w:r w:rsidRPr="001B11DC">
        <w:rPr>
          <w:rFonts w:ascii="Times New Roman" w:hAnsi="Times New Roman" w:cs="Times New Roman"/>
          <w:lang w:val="ru-RU"/>
        </w:rPr>
        <w:t>між</w:t>
      </w:r>
      <w:proofErr w:type="gramEnd"/>
      <w:r w:rsidRPr="001B11DC">
        <w:rPr>
          <w:rFonts w:ascii="Times New Roman" w:hAnsi="Times New Roman" w:cs="Times New Roman"/>
          <w:lang w:val="ru-RU"/>
        </w:rPr>
        <w:t xml:space="preserve"> всіма видами послуг, що надаються призначеним оператором поштового зв’язку, пропорційно доходам за попередній період.</w:t>
      </w:r>
    </w:p>
    <w:p w:rsidR="001F316E" w:rsidRPr="001B11DC" w:rsidRDefault="001F316E" w:rsidP="001F316E">
      <w:pPr>
        <w:jc w:val="both"/>
        <w:rPr>
          <w:rFonts w:ascii="Times New Roman" w:hAnsi="Times New Roman" w:cs="Times New Roman"/>
          <w:lang w:val="ru-RU"/>
        </w:rPr>
      </w:pPr>
      <w:bookmarkStart w:id="91" w:name="n92"/>
      <w:bookmarkEnd w:id="91"/>
      <w:r w:rsidRPr="001B11DC">
        <w:rPr>
          <w:rFonts w:ascii="Times New Roman" w:hAnsi="Times New Roman" w:cs="Times New Roman"/>
          <w:lang w:val="ru-RU"/>
        </w:rPr>
        <w:t xml:space="preserve">10. </w:t>
      </w:r>
      <w:proofErr w:type="gramStart"/>
      <w:r w:rsidRPr="001B11DC">
        <w:rPr>
          <w:rFonts w:ascii="Times New Roman" w:hAnsi="Times New Roman" w:cs="Times New Roman"/>
          <w:lang w:val="ru-RU"/>
        </w:rPr>
        <w:t>До</w:t>
      </w:r>
      <w:proofErr w:type="gramEnd"/>
      <w:r w:rsidRPr="001B11DC">
        <w:rPr>
          <w:rFonts w:ascii="Times New Roman" w:hAnsi="Times New Roman" w:cs="Times New Roman"/>
          <w:lang w:val="ru-RU"/>
        </w:rPr>
        <w:t xml:space="preserve"> складу витрат з операційної діяльності не можуть включатися:</w:t>
      </w:r>
    </w:p>
    <w:p w:rsidR="001F316E" w:rsidRPr="001B11DC" w:rsidRDefault="001F316E" w:rsidP="001F316E">
      <w:pPr>
        <w:jc w:val="both"/>
        <w:rPr>
          <w:rFonts w:ascii="Times New Roman" w:hAnsi="Times New Roman" w:cs="Times New Roman"/>
          <w:lang w:val="ru-RU"/>
        </w:rPr>
      </w:pPr>
      <w:bookmarkStart w:id="92" w:name="n93"/>
      <w:bookmarkEnd w:id="92"/>
      <w:r w:rsidRPr="001B11DC">
        <w:rPr>
          <w:rFonts w:ascii="Times New Roman" w:hAnsi="Times New Roman" w:cs="Times New Roman"/>
          <w:lang w:val="ru-RU"/>
        </w:rPr>
        <w:t>суми безнадійної дебіторської заборгованості;</w:t>
      </w:r>
    </w:p>
    <w:p w:rsidR="001F316E" w:rsidRPr="001B11DC" w:rsidRDefault="001F316E" w:rsidP="001F316E">
      <w:pPr>
        <w:jc w:val="both"/>
        <w:rPr>
          <w:rFonts w:ascii="Times New Roman" w:hAnsi="Times New Roman" w:cs="Times New Roman"/>
          <w:lang w:val="ru-RU"/>
        </w:rPr>
      </w:pPr>
      <w:bookmarkStart w:id="93" w:name="n94"/>
      <w:bookmarkEnd w:id="93"/>
      <w:r w:rsidRPr="001B11DC">
        <w:rPr>
          <w:rFonts w:ascii="Times New Roman" w:hAnsi="Times New Roman" w:cs="Times New Roman"/>
          <w:lang w:val="ru-RU"/>
        </w:rPr>
        <w:t>суми неустойки (штраф, пеня);</w:t>
      </w:r>
    </w:p>
    <w:p w:rsidR="001F316E" w:rsidRPr="001B11DC" w:rsidRDefault="001F316E" w:rsidP="001F316E">
      <w:pPr>
        <w:jc w:val="both"/>
        <w:rPr>
          <w:rFonts w:ascii="Times New Roman" w:hAnsi="Times New Roman" w:cs="Times New Roman"/>
          <w:lang w:val="ru-RU"/>
        </w:rPr>
      </w:pPr>
      <w:bookmarkStart w:id="94" w:name="n95"/>
      <w:bookmarkEnd w:id="94"/>
      <w:r w:rsidRPr="001B11DC">
        <w:rPr>
          <w:rFonts w:ascii="Times New Roman" w:hAnsi="Times New Roman" w:cs="Times New Roman"/>
          <w:lang w:val="ru-RU"/>
        </w:rPr>
        <w:t>відраховування профспілковим організаціям для проведення культурно-масової і фізкультурної роботи;</w:t>
      </w:r>
    </w:p>
    <w:p w:rsidR="001F316E" w:rsidRPr="001B11DC" w:rsidRDefault="001F316E" w:rsidP="001F316E">
      <w:pPr>
        <w:jc w:val="both"/>
        <w:rPr>
          <w:rFonts w:ascii="Times New Roman" w:hAnsi="Times New Roman" w:cs="Times New Roman"/>
          <w:lang w:val="ru-RU"/>
        </w:rPr>
      </w:pPr>
      <w:bookmarkStart w:id="95" w:name="n96"/>
      <w:bookmarkEnd w:id="95"/>
      <w:r w:rsidRPr="001B11DC">
        <w:rPr>
          <w:rFonts w:ascii="Times New Roman" w:hAnsi="Times New Roman" w:cs="Times New Roman"/>
          <w:lang w:val="ru-RU"/>
        </w:rPr>
        <w:t>суми нестачі та втрати від пошкодження цінностей;</w:t>
      </w:r>
    </w:p>
    <w:p w:rsidR="001F316E" w:rsidRPr="001B11DC" w:rsidRDefault="001F316E" w:rsidP="001F316E">
      <w:pPr>
        <w:jc w:val="both"/>
        <w:rPr>
          <w:rFonts w:ascii="Times New Roman" w:hAnsi="Times New Roman" w:cs="Times New Roman"/>
          <w:lang w:val="ru-RU"/>
        </w:rPr>
      </w:pPr>
      <w:bookmarkStart w:id="96" w:name="n97"/>
      <w:bookmarkEnd w:id="96"/>
      <w:r w:rsidRPr="001B11DC">
        <w:rPr>
          <w:rFonts w:ascii="Times New Roman" w:hAnsi="Times New Roman" w:cs="Times New Roman"/>
          <w:lang w:val="ru-RU"/>
        </w:rPr>
        <w:t xml:space="preserve">витрати, пов’язані з купівлею-продажем іноземної валюти, та втрати від операційної курсової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ізниці;</w:t>
      </w:r>
    </w:p>
    <w:p w:rsidR="001F316E" w:rsidRPr="001B11DC" w:rsidRDefault="001F316E" w:rsidP="001F316E">
      <w:pPr>
        <w:jc w:val="both"/>
        <w:rPr>
          <w:rFonts w:ascii="Times New Roman" w:hAnsi="Times New Roman" w:cs="Times New Roman"/>
          <w:lang w:val="ru-RU"/>
        </w:rPr>
      </w:pPr>
      <w:bookmarkStart w:id="97" w:name="n98"/>
      <w:bookmarkEnd w:id="97"/>
      <w:r w:rsidRPr="001B11DC">
        <w:rPr>
          <w:rFonts w:ascii="Times New Roman" w:hAnsi="Times New Roman" w:cs="Times New Roman"/>
          <w:lang w:val="ru-RU"/>
        </w:rPr>
        <w:t>суми спонсорської та благодійної допомоги;</w:t>
      </w:r>
    </w:p>
    <w:p w:rsidR="001F316E" w:rsidRPr="001B11DC" w:rsidRDefault="001F316E" w:rsidP="001F316E">
      <w:pPr>
        <w:jc w:val="both"/>
        <w:rPr>
          <w:rFonts w:ascii="Times New Roman" w:hAnsi="Times New Roman" w:cs="Times New Roman"/>
          <w:lang w:val="ru-RU"/>
        </w:rPr>
      </w:pPr>
      <w:bookmarkStart w:id="98" w:name="n99"/>
      <w:bookmarkEnd w:id="98"/>
      <w:r w:rsidRPr="001B11DC">
        <w:rPr>
          <w:rFonts w:ascii="Times New Roman" w:hAnsi="Times New Roman" w:cs="Times New Roman"/>
          <w:lang w:val="ru-RU"/>
        </w:rPr>
        <w:t>витрати на реалізовані товари та виробничі запаси;</w:t>
      </w:r>
    </w:p>
    <w:p w:rsidR="001F316E" w:rsidRPr="001B11DC" w:rsidRDefault="001F316E" w:rsidP="001F316E">
      <w:pPr>
        <w:jc w:val="both"/>
        <w:rPr>
          <w:rFonts w:ascii="Times New Roman" w:hAnsi="Times New Roman" w:cs="Times New Roman"/>
          <w:lang w:val="ru-RU"/>
        </w:rPr>
      </w:pPr>
      <w:bookmarkStart w:id="99" w:name="n100"/>
      <w:bookmarkEnd w:id="99"/>
      <w:r w:rsidRPr="001B11DC">
        <w:rPr>
          <w:rFonts w:ascii="Times New Roman" w:hAnsi="Times New Roman" w:cs="Times New Roman"/>
          <w:lang w:val="ru-RU"/>
        </w:rPr>
        <w:t>втрати від знецінення запасі</w:t>
      </w:r>
      <w:proofErr w:type="gramStart"/>
      <w:r w:rsidRPr="001B11DC">
        <w:rPr>
          <w:rFonts w:ascii="Times New Roman" w:hAnsi="Times New Roman" w:cs="Times New Roman"/>
          <w:lang w:val="ru-RU"/>
        </w:rPr>
        <w:t>в</w:t>
      </w:r>
      <w:proofErr w:type="gramEnd"/>
      <w:r w:rsidRPr="001B11DC">
        <w:rPr>
          <w:rFonts w:ascii="Times New Roman" w:hAnsi="Times New Roman" w:cs="Times New Roman"/>
          <w:lang w:val="ru-RU"/>
        </w:rPr>
        <w:t>;</w:t>
      </w:r>
    </w:p>
    <w:p w:rsidR="001F316E" w:rsidRPr="001B11DC" w:rsidRDefault="001F316E" w:rsidP="001F316E">
      <w:pPr>
        <w:jc w:val="both"/>
        <w:rPr>
          <w:rFonts w:ascii="Times New Roman" w:hAnsi="Times New Roman" w:cs="Times New Roman"/>
          <w:lang w:val="ru-RU"/>
        </w:rPr>
      </w:pPr>
      <w:bookmarkStart w:id="100" w:name="n101"/>
      <w:bookmarkEnd w:id="100"/>
      <w:r w:rsidRPr="001B11DC">
        <w:rPr>
          <w:rFonts w:ascii="Times New Roman" w:hAnsi="Times New Roman" w:cs="Times New Roman"/>
          <w:lang w:val="ru-RU"/>
        </w:rPr>
        <w:t xml:space="preserve">витрати, </w:t>
      </w:r>
      <w:proofErr w:type="gramStart"/>
      <w:r w:rsidRPr="001B11DC">
        <w:rPr>
          <w:rFonts w:ascii="Times New Roman" w:hAnsi="Times New Roman" w:cs="Times New Roman"/>
          <w:lang w:val="ru-RU"/>
        </w:rPr>
        <w:t>пов’язан</w:t>
      </w:r>
      <w:proofErr w:type="gramEnd"/>
      <w:r w:rsidRPr="001B11DC">
        <w:rPr>
          <w:rFonts w:ascii="Times New Roman" w:hAnsi="Times New Roman" w:cs="Times New Roman"/>
          <w:lang w:val="ru-RU"/>
        </w:rPr>
        <w:t>і зі зменшенням власного капіталу.</w:t>
      </w:r>
    </w:p>
    <w:p w:rsidR="001F316E" w:rsidRPr="001B11DC" w:rsidRDefault="001F316E" w:rsidP="001F316E">
      <w:pPr>
        <w:jc w:val="both"/>
        <w:rPr>
          <w:rFonts w:ascii="Times New Roman" w:hAnsi="Times New Roman" w:cs="Times New Roman"/>
          <w:lang w:val="ru-RU"/>
        </w:rPr>
      </w:pPr>
      <w:bookmarkStart w:id="101" w:name="n102"/>
      <w:bookmarkEnd w:id="101"/>
      <w:r w:rsidRPr="001B11DC">
        <w:rPr>
          <w:rFonts w:ascii="Times New Roman" w:hAnsi="Times New Roman" w:cs="Times New Roman"/>
          <w:lang w:val="ru-RU"/>
        </w:rPr>
        <w:t>11. Витрати операційної діяльності групуються за такими економічними елементами:</w:t>
      </w:r>
    </w:p>
    <w:p w:rsidR="001F316E" w:rsidRPr="001B11DC" w:rsidRDefault="001F316E" w:rsidP="001F316E">
      <w:pPr>
        <w:jc w:val="both"/>
        <w:rPr>
          <w:rFonts w:ascii="Times New Roman" w:hAnsi="Times New Roman" w:cs="Times New Roman"/>
          <w:lang w:val="ru-RU"/>
        </w:rPr>
      </w:pPr>
      <w:bookmarkStart w:id="102" w:name="n103"/>
      <w:bookmarkEnd w:id="102"/>
      <w:r w:rsidRPr="001B11DC">
        <w:rPr>
          <w:rFonts w:ascii="Times New Roman" w:hAnsi="Times New Roman" w:cs="Times New Roman"/>
          <w:lang w:val="ru-RU"/>
        </w:rPr>
        <w:t>матеріальні затрати;</w:t>
      </w:r>
    </w:p>
    <w:p w:rsidR="001F316E" w:rsidRPr="001B11DC" w:rsidRDefault="001F316E" w:rsidP="001F316E">
      <w:pPr>
        <w:jc w:val="both"/>
        <w:rPr>
          <w:rFonts w:ascii="Times New Roman" w:hAnsi="Times New Roman" w:cs="Times New Roman"/>
          <w:lang w:val="ru-RU"/>
        </w:rPr>
      </w:pPr>
      <w:bookmarkStart w:id="103" w:name="n104"/>
      <w:bookmarkEnd w:id="103"/>
      <w:r w:rsidRPr="001B11DC">
        <w:rPr>
          <w:rFonts w:ascii="Times New Roman" w:hAnsi="Times New Roman" w:cs="Times New Roman"/>
          <w:lang w:val="ru-RU"/>
        </w:rPr>
        <w:t>витрати на оплату праці;</w:t>
      </w:r>
    </w:p>
    <w:p w:rsidR="001F316E" w:rsidRPr="001B11DC" w:rsidRDefault="001F316E" w:rsidP="001F316E">
      <w:pPr>
        <w:jc w:val="both"/>
        <w:rPr>
          <w:rFonts w:ascii="Times New Roman" w:hAnsi="Times New Roman" w:cs="Times New Roman"/>
          <w:lang w:val="ru-RU"/>
        </w:rPr>
      </w:pPr>
      <w:bookmarkStart w:id="104" w:name="n105"/>
      <w:bookmarkEnd w:id="104"/>
      <w:r w:rsidRPr="001B11DC">
        <w:rPr>
          <w:rFonts w:ascii="Times New Roman" w:hAnsi="Times New Roman" w:cs="Times New Roman"/>
          <w:lang w:val="ru-RU"/>
        </w:rPr>
        <w:t xml:space="preserve">єдиний внесок на загальнообов’язкове державне </w:t>
      </w:r>
      <w:proofErr w:type="gramStart"/>
      <w:r w:rsidRPr="001B11DC">
        <w:rPr>
          <w:rFonts w:ascii="Times New Roman" w:hAnsi="Times New Roman" w:cs="Times New Roman"/>
          <w:lang w:val="ru-RU"/>
        </w:rPr>
        <w:t>соц</w:t>
      </w:r>
      <w:proofErr w:type="gramEnd"/>
      <w:r w:rsidRPr="001B11DC">
        <w:rPr>
          <w:rFonts w:ascii="Times New Roman" w:hAnsi="Times New Roman" w:cs="Times New Roman"/>
          <w:lang w:val="ru-RU"/>
        </w:rPr>
        <w:t>іальне страхування;</w:t>
      </w:r>
    </w:p>
    <w:p w:rsidR="001F316E" w:rsidRPr="001B11DC" w:rsidRDefault="001F316E" w:rsidP="001F316E">
      <w:pPr>
        <w:jc w:val="both"/>
        <w:rPr>
          <w:rFonts w:ascii="Times New Roman" w:hAnsi="Times New Roman" w:cs="Times New Roman"/>
          <w:lang w:val="ru-RU"/>
        </w:rPr>
      </w:pPr>
      <w:bookmarkStart w:id="105" w:name="n106"/>
      <w:bookmarkEnd w:id="105"/>
      <w:r w:rsidRPr="001B11DC">
        <w:rPr>
          <w:rFonts w:ascii="Times New Roman" w:hAnsi="Times New Roman" w:cs="Times New Roman"/>
          <w:lang w:val="ru-RU"/>
        </w:rPr>
        <w:t>амортизація;</w:t>
      </w:r>
    </w:p>
    <w:p w:rsidR="001F316E" w:rsidRPr="001B11DC" w:rsidRDefault="001F316E" w:rsidP="001F316E">
      <w:pPr>
        <w:jc w:val="both"/>
        <w:rPr>
          <w:rFonts w:ascii="Times New Roman" w:hAnsi="Times New Roman" w:cs="Times New Roman"/>
          <w:lang w:val="ru-RU"/>
        </w:rPr>
      </w:pPr>
      <w:bookmarkStart w:id="106" w:name="n107"/>
      <w:bookmarkEnd w:id="106"/>
      <w:r w:rsidRPr="001B11DC">
        <w:rPr>
          <w:rFonts w:ascii="Times New Roman" w:hAnsi="Times New Roman" w:cs="Times New Roman"/>
          <w:lang w:val="ru-RU"/>
        </w:rPr>
        <w:lastRenderedPageBreak/>
        <w:t>інші операційні витрати.</w:t>
      </w:r>
    </w:p>
    <w:p w:rsidR="001F316E" w:rsidRPr="001B11DC" w:rsidRDefault="001F316E" w:rsidP="001F316E">
      <w:pPr>
        <w:jc w:val="both"/>
        <w:rPr>
          <w:rFonts w:ascii="Times New Roman" w:hAnsi="Times New Roman" w:cs="Times New Roman"/>
          <w:lang w:val="ru-RU"/>
        </w:rPr>
      </w:pPr>
      <w:bookmarkStart w:id="107" w:name="n108"/>
      <w:bookmarkEnd w:id="107"/>
      <w:r w:rsidRPr="001B11DC">
        <w:rPr>
          <w:rFonts w:ascii="Times New Roman" w:hAnsi="Times New Roman" w:cs="Times New Roman"/>
          <w:lang w:val="ru-RU"/>
        </w:rPr>
        <w:t xml:space="preserve">12. До фінансових витрат належать витрати з виплати відсотків за користування кредитами та витрати, </w:t>
      </w:r>
      <w:proofErr w:type="gramStart"/>
      <w:r w:rsidRPr="001B11DC">
        <w:rPr>
          <w:rFonts w:ascii="Times New Roman" w:hAnsi="Times New Roman" w:cs="Times New Roman"/>
          <w:lang w:val="ru-RU"/>
        </w:rPr>
        <w:t>пов’язан</w:t>
      </w:r>
      <w:proofErr w:type="gramEnd"/>
      <w:r w:rsidRPr="001B11DC">
        <w:rPr>
          <w:rFonts w:ascii="Times New Roman" w:hAnsi="Times New Roman" w:cs="Times New Roman"/>
          <w:lang w:val="ru-RU"/>
        </w:rPr>
        <w:t>і із залученням позикового капіталу для цілей інвестиційної діяльності розвитку регульованих НКЕК поштових послуг.</w:t>
      </w:r>
    </w:p>
    <w:p w:rsidR="001F316E" w:rsidRPr="001B11DC" w:rsidRDefault="001F316E" w:rsidP="001F316E">
      <w:pPr>
        <w:jc w:val="both"/>
        <w:rPr>
          <w:rFonts w:ascii="Times New Roman" w:hAnsi="Times New Roman" w:cs="Times New Roman"/>
          <w:lang w:val="ru-RU"/>
        </w:rPr>
      </w:pPr>
      <w:bookmarkStart w:id="108" w:name="n109"/>
      <w:bookmarkEnd w:id="108"/>
      <w:r w:rsidRPr="001B11DC">
        <w:rPr>
          <w:rFonts w:ascii="Times New Roman" w:hAnsi="Times New Roman" w:cs="Times New Roman"/>
          <w:lang w:val="ru-RU"/>
        </w:rPr>
        <w:t>Розмі</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 xml:space="preserve"> фінансових витрат визначається відповідно до кредитних та інших договорів, запозичення за якими та умови яких узгоджено з уповноваженим органом.</w:t>
      </w:r>
    </w:p>
    <w:p w:rsidR="001F316E" w:rsidRPr="001B11DC" w:rsidRDefault="001F316E" w:rsidP="001F316E">
      <w:pPr>
        <w:jc w:val="both"/>
        <w:rPr>
          <w:rFonts w:ascii="Times New Roman" w:hAnsi="Times New Roman" w:cs="Times New Roman"/>
          <w:lang w:val="ru-RU"/>
        </w:rPr>
      </w:pPr>
      <w:bookmarkStart w:id="109" w:name="n110"/>
      <w:bookmarkEnd w:id="109"/>
      <w:r w:rsidRPr="001B11DC">
        <w:rPr>
          <w:rFonts w:ascii="Times New Roman" w:hAnsi="Times New Roman" w:cs="Times New Roman"/>
          <w:lang w:val="ru-RU"/>
        </w:rPr>
        <w:t xml:space="preserve">Фінансові витрати розподіляються </w:t>
      </w:r>
      <w:proofErr w:type="gramStart"/>
      <w:r w:rsidRPr="001B11DC">
        <w:rPr>
          <w:rFonts w:ascii="Times New Roman" w:hAnsi="Times New Roman" w:cs="Times New Roman"/>
          <w:lang w:val="ru-RU"/>
        </w:rPr>
        <w:t>між</w:t>
      </w:r>
      <w:proofErr w:type="gramEnd"/>
      <w:r w:rsidRPr="001B11DC">
        <w:rPr>
          <w:rFonts w:ascii="Times New Roman" w:hAnsi="Times New Roman" w:cs="Times New Roman"/>
          <w:lang w:val="ru-RU"/>
        </w:rPr>
        <w:t xml:space="preserve"> всіма видами послуг, що надаються призначеним оператором поштового зв’язку, пропорційно доходам за попередній період.</w:t>
      </w:r>
    </w:p>
    <w:p w:rsidR="001F316E" w:rsidRPr="001B11DC" w:rsidRDefault="001F316E" w:rsidP="001F316E">
      <w:pPr>
        <w:ind w:left="225" w:right="225"/>
        <w:jc w:val="both"/>
        <w:rPr>
          <w:rFonts w:ascii="Times New Roman" w:hAnsi="Times New Roman" w:cs="Times New Roman"/>
          <w:lang w:val="ru-RU"/>
        </w:rPr>
      </w:pPr>
      <w:bookmarkStart w:id="110" w:name="n111"/>
      <w:bookmarkEnd w:id="110"/>
      <w:r w:rsidRPr="001B11DC">
        <w:rPr>
          <w:rFonts w:ascii="Times New Roman" w:hAnsi="Times New Roman" w:cs="Times New Roman"/>
          <w:b/>
          <w:bCs/>
          <w:lang w:val="ru-RU"/>
        </w:rPr>
        <w:t>IV. Розрахунок цін (тарифів)</w:t>
      </w:r>
    </w:p>
    <w:p w:rsidR="001F316E" w:rsidRPr="001B11DC" w:rsidRDefault="001F316E" w:rsidP="001F316E">
      <w:pPr>
        <w:jc w:val="both"/>
        <w:rPr>
          <w:rFonts w:ascii="Times New Roman" w:hAnsi="Times New Roman" w:cs="Times New Roman"/>
          <w:lang w:val="ru-RU"/>
        </w:rPr>
      </w:pPr>
      <w:bookmarkStart w:id="111" w:name="n112"/>
      <w:bookmarkEnd w:id="111"/>
      <w:r w:rsidRPr="001B11DC">
        <w:rPr>
          <w:rFonts w:ascii="Times New Roman" w:hAnsi="Times New Roman" w:cs="Times New Roman"/>
          <w:lang w:val="ru-RU"/>
        </w:rPr>
        <w:t xml:space="preserve">1. При розрахунку цін (тарифів) </w:t>
      </w:r>
      <w:proofErr w:type="gramStart"/>
      <w:r w:rsidRPr="001B11DC">
        <w:rPr>
          <w:rFonts w:ascii="Times New Roman" w:hAnsi="Times New Roman" w:cs="Times New Roman"/>
          <w:lang w:val="ru-RU"/>
        </w:rPr>
        <w:t>включається</w:t>
      </w:r>
      <w:proofErr w:type="gramEnd"/>
      <w:r w:rsidRPr="001B11DC">
        <w:rPr>
          <w:rFonts w:ascii="Times New Roman" w:hAnsi="Times New Roman" w:cs="Times New Roman"/>
          <w:lang w:val="ru-RU"/>
        </w:rPr>
        <w:t xml:space="preserve"> плановий прибуток, який спрямовується на здійснення заходів інвестиційної програми, погашення основної суми запозичень (кредитів, позик), узгоджених з уповноваженим органом, відшкодування витрат з податку на прибуток та досягнення інших цілей відповідно до законодавства.</w:t>
      </w:r>
    </w:p>
    <w:p w:rsidR="001F316E" w:rsidRPr="001B11DC" w:rsidRDefault="001F316E" w:rsidP="001F316E">
      <w:pPr>
        <w:jc w:val="both"/>
        <w:rPr>
          <w:rFonts w:ascii="Times New Roman" w:hAnsi="Times New Roman" w:cs="Times New Roman"/>
          <w:lang w:val="ru-RU"/>
        </w:rPr>
      </w:pPr>
      <w:bookmarkStart w:id="112" w:name="n113"/>
      <w:bookmarkEnd w:id="112"/>
      <w:r w:rsidRPr="001B11DC">
        <w:rPr>
          <w:rFonts w:ascii="Times New Roman" w:hAnsi="Times New Roman" w:cs="Times New Roman"/>
          <w:lang w:val="ru-RU"/>
        </w:rPr>
        <w:t xml:space="preserve">2. Планування складової прибутку, що передбачається для здійснення заходів інвестиційної програми, провадиться відповідно до інвестиційної програми призначеного оператора поштового зв’язку, що має стимулювати впровадження призначеним оператором новітніх технологій,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ідвищення якості надання послуг, збільшення обсягів і розширення номенклатури послуг.</w:t>
      </w:r>
    </w:p>
    <w:p w:rsidR="001F316E" w:rsidRPr="001B11DC" w:rsidRDefault="001F316E" w:rsidP="001F316E">
      <w:pPr>
        <w:jc w:val="both"/>
        <w:rPr>
          <w:rFonts w:ascii="Times New Roman" w:hAnsi="Times New Roman" w:cs="Times New Roman"/>
          <w:lang w:val="ru-RU"/>
        </w:rPr>
      </w:pPr>
      <w:bookmarkStart w:id="113" w:name="n114"/>
      <w:bookmarkEnd w:id="113"/>
      <w:r w:rsidRPr="001B11DC">
        <w:rPr>
          <w:rFonts w:ascii="Times New Roman" w:hAnsi="Times New Roman" w:cs="Times New Roman"/>
          <w:lang w:val="ru-RU"/>
        </w:rPr>
        <w:t xml:space="preserve">3. </w:t>
      </w:r>
      <w:proofErr w:type="gramStart"/>
      <w:r w:rsidRPr="001B11DC">
        <w:rPr>
          <w:rFonts w:ascii="Times New Roman" w:hAnsi="Times New Roman" w:cs="Times New Roman"/>
          <w:lang w:val="ru-RU"/>
        </w:rPr>
        <w:t>Джерелами фінансування інвестиційної програми, за рахунок яких здійснюється фінансування заходів інвестиційної програми, є амортизаційні відрахування, виробничі інвестиції з прибутку (кошти в обсязі, передбаченому в установлених цінах (тарифах) для виконання інвестиційних програм), та інші надходження, отримані від провадження господарської діяльності.</w:t>
      </w:r>
      <w:proofErr w:type="gramEnd"/>
    </w:p>
    <w:p w:rsidR="001F316E" w:rsidRPr="001B11DC" w:rsidRDefault="001F316E" w:rsidP="001F316E">
      <w:pPr>
        <w:jc w:val="both"/>
        <w:rPr>
          <w:rFonts w:ascii="Times New Roman" w:hAnsi="Times New Roman" w:cs="Times New Roman"/>
          <w:lang w:val="ru-RU"/>
        </w:rPr>
      </w:pPr>
      <w:bookmarkStart w:id="114" w:name="n115"/>
      <w:bookmarkEnd w:id="114"/>
      <w:r w:rsidRPr="001B11DC">
        <w:rPr>
          <w:rFonts w:ascii="Times New Roman" w:hAnsi="Times New Roman" w:cs="Times New Roman"/>
          <w:lang w:val="ru-RU"/>
        </w:rPr>
        <w:t xml:space="preserve">4. </w:t>
      </w:r>
      <w:proofErr w:type="gramStart"/>
      <w:r w:rsidRPr="001B11DC">
        <w:rPr>
          <w:rFonts w:ascii="Times New Roman" w:hAnsi="Times New Roman" w:cs="Times New Roman"/>
          <w:lang w:val="ru-RU"/>
        </w:rPr>
        <w:t>Погоджена з уповноваженим органом інвестиційна програма повинна містити планований обсяг використання коштів для здійснення необхідних інвестицій із зазначенням об’єктів інвестування, джерел фінансування та графіка здійснення інвестиційних заходів на планований період чи більш тривалий строк (з окремим визначенням показників планованого періоду).</w:t>
      </w:r>
      <w:proofErr w:type="gramEnd"/>
    </w:p>
    <w:p w:rsidR="001F316E" w:rsidRPr="001B11DC" w:rsidRDefault="001F316E" w:rsidP="001F316E">
      <w:pPr>
        <w:jc w:val="both"/>
        <w:rPr>
          <w:rFonts w:ascii="Times New Roman" w:hAnsi="Times New Roman" w:cs="Times New Roman"/>
          <w:lang w:val="ru-RU"/>
        </w:rPr>
      </w:pPr>
      <w:bookmarkStart w:id="115" w:name="n116"/>
      <w:bookmarkEnd w:id="115"/>
      <w:r w:rsidRPr="001B11DC">
        <w:rPr>
          <w:rFonts w:ascii="Times New Roman" w:hAnsi="Times New Roman" w:cs="Times New Roman"/>
          <w:lang w:val="ru-RU"/>
        </w:rPr>
        <w:t>5. Розмі</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 xml:space="preserve"> інвестиційної складової, що враховуються при формуванні регульованих НКЕК поштових послуг, визначається пропорційно доходам за попередній період.</w:t>
      </w:r>
    </w:p>
    <w:p w:rsidR="001F316E" w:rsidRPr="001B11DC" w:rsidRDefault="001F316E" w:rsidP="001F316E">
      <w:pPr>
        <w:jc w:val="both"/>
        <w:rPr>
          <w:rFonts w:ascii="Times New Roman" w:hAnsi="Times New Roman" w:cs="Times New Roman"/>
          <w:lang w:val="ru-RU"/>
        </w:rPr>
      </w:pPr>
      <w:bookmarkStart w:id="116" w:name="n117"/>
      <w:bookmarkEnd w:id="116"/>
      <w:r w:rsidRPr="001B11DC">
        <w:rPr>
          <w:rFonts w:ascii="Times New Roman" w:hAnsi="Times New Roman" w:cs="Times New Roman"/>
          <w:lang w:val="ru-RU"/>
        </w:rPr>
        <w:t xml:space="preserve">6. Розрахунок цін (тарифів) включає визначення розміру економічно обґрунтованих планових витрат призначеного оператора поштового зв’язку з урахуванням планового обсягу послуг у </w:t>
      </w:r>
      <w:proofErr w:type="gramStart"/>
      <w:r w:rsidRPr="001B11DC">
        <w:rPr>
          <w:rFonts w:ascii="Times New Roman" w:hAnsi="Times New Roman" w:cs="Times New Roman"/>
          <w:lang w:val="ru-RU"/>
        </w:rPr>
        <w:t>натуральному</w:t>
      </w:r>
      <w:proofErr w:type="gramEnd"/>
      <w:r w:rsidRPr="001B11DC">
        <w:rPr>
          <w:rFonts w:ascii="Times New Roman" w:hAnsi="Times New Roman" w:cs="Times New Roman"/>
          <w:lang w:val="ru-RU"/>
        </w:rPr>
        <w:t xml:space="preserve"> вираженні.</w:t>
      </w:r>
    </w:p>
    <w:p w:rsidR="001F316E" w:rsidRPr="001B11DC" w:rsidRDefault="001F316E" w:rsidP="001F316E">
      <w:pPr>
        <w:jc w:val="both"/>
        <w:rPr>
          <w:rFonts w:ascii="Times New Roman" w:hAnsi="Times New Roman" w:cs="Times New Roman"/>
          <w:lang w:val="ru-RU"/>
        </w:rPr>
      </w:pPr>
      <w:bookmarkStart w:id="117" w:name="n118"/>
      <w:bookmarkEnd w:id="117"/>
      <w:r w:rsidRPr="001B11DC">
        <w:rPr>
          <w:rFonts w:ascii="Times New Roman" w:hAnsi="Times New Roman" w:cs="Times New Roman"/>
          <w:lang w:val="ru-RU"/>
        </w:rPr>
        <w:t>7. Економічно обґрунтовані ціни (тарифи) на регульовані НКЕК поштові послуги визначаються за формулою:</w:t>
      </w:r>
    </w:p>
    <w:p w:rsidR="001F316E" w:rsidRPr="001B11DC" w:rsidRDefault="001F316E" w:rsidP="001F316E">
      <w:pPr>
        <w:jc w:val="both"/>
        <w:rPr>
          <w:rFonts w:ascii="Times New Roman" w:hAnsi="Times New Roman" w:cs="Times New Roman"/>
          <w:lang w:val="ru-RU"/>
        </w:rPr>
      </w:pPr>
      <w:bookmarkStart w:id="118" w:name="n119"/>
      <w:bookmarkEnd w:id="118"/>
      <w:r w:rsidRPr="001B11DC">
        <w:rPr>
          <w:rFonts w:ascii="Times New Roman" w:hAnsi="Times New Roman" w:cs="Times New Roman"/>
          <w:lang w:val="ru-RU"/>
        </w:rPr>
        <w:t>Т = (ПВ + П) / Q,</w:t>
      </w:r>
    </w:p>
    <w:tbl>
      <w:tblPr>
        <w:tblW w:w="5000" w:type="pct"/>
        <w:tblCellMar>
          <w:left w:w="0" w:type="dxa"/>
          <w:right w:w="0" w:type="dxa"/>
        </w:tblCellMar>
        <w:tblLook w:val="04A0" w:firstRow="1" w:lastRow="0" w:firstColumn="1" w:lastColumn="0" w:noHBand="0" w:noVBand="1"/>
      </w:tblPr>
      <w:tblGrid>
        <w:gridCol w:w="565"/>
        <w:gridCol w:w="804"/>
        <w:gridCol w:w="179"/>
        <w:gridCol w:w="7813"/>
      </w:tblGrid>
      <w:tr w:rsidR="001B11DC" w:rsidRPr="001B11DC" w:rsidTr="001F316E">
        <w:tc>
          <w:tcPr>
            <w:tcW w:w="456" w:type="dxa"/>
            <w:vMerge w:val="restart"/>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bookmarkStart w:id="119" w:name="n120"/>
            <w:bookmarkEnd w:id="119"/>
            <w:r w:rsidRPr="001B11DC">
              <w:rPr>
                <w:rFonts w:ascii="Times New Roman" w:hAnsi="Times New Roman" w:cs="Times New Roman"/>
                <w:lang w:val="ru-RU"/>
              </w:rPr>
              <w:t>де</w:t>
            </w:r>
          </w:p>
        </w:tc>
        <w:tc>
          <w:tcPr>
            <w:tcW w:w="648" w:type="dxa"/>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r w:rsidRPr="001B11DC">
              <w:rPr>
                <w:rFonts w:ascii="Times New Roman" w:hAnsi="Times New Roman" w:cs="Times New Roman"/>
                <w:lang w:val="ru-RU"/>
              </w:rPr>
              <w:t>ПВ</w:t>
            </w:r>
          </w:p>
        </w:tc>
        <w:tc>
          <w:tcPr>
            <w:tcW w:w="144" w:type="dxa"/>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r w:rsidRPr="001B11DC">
              <w:rPr>
                <w:rFonts w:ascii="Times New Roman" w:hAnsi="Times New Roman" w:cs="Times New Roman"/>
                <w:lang w:val="ru-RU"/>
              </w:rPr>
              <w:t>-</w:t>
            </w:r>
          </w:p>
        </w:tc>
        <w:tc>
          <w:tcPr>
            <w:tcW w:w="6300" w:type="dxa"/>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r w:rsidRPr="001B11DC">
              <w:rPr>
                <w:rFonts w:ascii="Times New Roman" w:hAnsi="Times New Roman" w:cs="Times New Roman"/>
                <w:lang w:val="ru-RU"/>
              </w:rPr>
              <w:t>планові витрати з пересилання згрупованого виду відправлень;</w:t>
            </w:r>
          </w:p>
        </w:tc>
      </w:tr>
      <w:tr w:rsidR="001B11DC" w:rsidRPr="001B11DC" w:rsidTr="001F316E">
        <w:tc>
          <w:tcPr>
            <w:tcW w:w="0" w:type="auto"/>
            <w:vMerge/>
            <w:tcBorders>
              <w:top w:val="single" w:sz="2" w:space="0" w:color="auto"/>
              <w:left w:val="single" w:sz="2" w:space="0" w:color="auto"/>
              <w:bottom w:val="single" w:sz="2" w:space="0" w:color="auto"/>
              <w:right w:val="single" w:sz="2" w:space="0" w:color="auto"/>
            </w:tcBorders>
            <w:vAlign w:val="center"/>
            <w:hideMark/>
          </w:tcPr>
          <w:p w:rsidR="001F316E" w:rsidRPr="001B11DC" w:rsidRDefault="001F316E" w:rsidP="001F316E">
            <w:pPr>
              <w:jc w:val="both"/>
              <w:rPr>
                <w:rFonts w:ascii="Times New Roman" w:hAnsi="Times New Roman" w:cs="Times New Roman"/>
                <w:lang w:val="ru-RU"/>
              </w:rPr>
            </w:pPr>
          </w:p>
        </w:tc>
        <w:tc>
          <w:tcPr>
            <w:tcW w:w="648" w:type="dxa"/>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proofErr w:type="gramStart"/>
            <w:r w:rsidRPr="001B11DC">
              <w:rPr>
                <w:rFonts w:ascii="Times New Roman" w:hAnsi="Times New Roman" w:cs="Times New Roman"/>
                <w:lang w:val="ru-RU"/>
              </w:rPr>
              <w:t>П</w:t>
            </w:r>
            <w:proofErr w:type="gramEnd"/>
          </w:p>
        </w:tc>
        <w:tc>
          <w:tcPr>
            <w:tcW w:w="144" w:type="dxa"/>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r w:rsidRPr="001B11DC">
              <w:rPr>
                <w:rFonts w:ascii="Times New Roman" w:hAnsi="Times New Roman" w:cs="Times New Roman"/>
                <w:lang w:val="ru-RU"/>
              </w:rPr>
              <w:t>-</w:t>
            </w:r>
          </w:p>
        </w:tc>
        <w:tc>
          <w:tcPr>
            <w:tcW w:w="6300" w:type="dxa"/>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r w:rsidRPr="001B11DC">
              <w:rPr>
                <w:rFonts w:ascii="Times New Roman" w:hAnsi="Times New Roman" w:cs="Times New Roman"/>
                <w:lang w:val="ru-RU"/>
              </w:rPr>
              <w:t>плановий прибуток з пересилання згрупованого виду відправлень;</w:t>
            </w:r>
          </w:p>
        </w:tc>
      </w:tr>
      <w:tr w:rsidR="001B11DC" w:rsidRPr="001B11DC" w:rsidTr="001F316E">
        <w:tc>
          <w:tcPr>
            <w:tcW w:w="0" w:type="auto"/>
            <w:vMerge/>
            <w:tcBorders>
              <w:top w:val="single" w:sz="2" w:space="0" w:color="auto"/>
              <w:left w:val="single" w:sz="2" w:space="0" w:color="auto"/>
              <w:bottom w:val="single" w:sz="2" w:space="0" w:color="auto"/>
              <w:right w:val="single" w:sz="2" w:space="0" w:color="auto"/>
            </w:tcBorders>
            <w:vAlign w:val="center"/>
            <w:hideMark/>
          </w:tcPr>
          <w:p w:rsidR="001F316E" w:rsidRPr="001B11DC" w:rsidRDefault="001F316E" w:rsidP="001F316E">
            <w:pPr>
              <w:jc w:val="both"/>
              <w:rPr>
                <w:rFonts w:ascii="Times New Roman" w:hAnsi="Times New Roman" w:cs="Times New Roman"/>
                <w:lang w:val="ru-RU"/>
              </w:rPr>
            </w:pPr>
          </w:p>
        </w:tc>
        <w:tc>
          <w:tcPr>
            <w:tcW w:w="648" w:type="dxa"/>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r w:rsidRPr="001B11DC">
              <w:rPr>
                <w:rFonts w:ascii="Times New Roman" w:hAnsi="Times New Roman" w:cs="Times New Roman"/>
                <w:lang w:val="ru-RU"/>
              </w:rPr>
              <w:t>Q</w:t>
            </w:r>
          </w:p>
        </w:tc>
        <w:tc>
          <w:tcPr>
            <w:tcW w:w="144" w:type="dxa"/>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r w:rsidRPr="001B11DC">
              <w:rPr>
                <w:rFonts w:ascii="Times New Roman" w:hAnsi="Times New Roman" w:cs="Times New Roman"/>
                <w:lang w:val="ru-RU"/>
              </w:rPr>
              <w:t>-</w:t>
            </w:r>
          </w:p>
        </w:tc>
        <w:tc>
          <w:tcPr>
            <w:tcW w:w="6300" w:type="dxa"/>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jc w:val="both"/>
              <w:rPr>
                <w:rFonts w:ascii="Times New Roman" w:hAnsi="Times New Roman" w:cs="Times New Roman"/>
                <w:lang w:val="ru-RU"/>
              </w:rPr>
            </w:pPr>
            <w:r w:rsidRPr="001B11DC">
              <w:rPr>
                <w:rFonts w:ascii="Times New Roman" w:hAnsi="Times New Roman" w:cs="Times New Roman"/>
                <w:lang w:val="ru-RU"/>
              </w:rPr>
              <w:t>плановий обсяг згрупованого виду відправлень.</w:t>
            </w:r>
          </w:p>
        </w:tc>
      </w:tr>
    </w:tbl>
    <w:p w:rsidR="001F316E" w:rsidRPr="001B11DC" w:rsidRDefault="001F316E" w:rsidP="001F316E">
      <w:pPr>
        <w:jc w:val="both"/>
        <w:rPr>
          <w:rFonts w:ascii="Times New Roman" w:hAnsi="Times New Roman" w:cs="Times New Roman"/>
          <w:lang w:val="ru-RU"/>
        </w:rPr>
      </w:pPr>
      <w:bookmarkStart w:id="120" w:name="n121"/>
      <w:bookmarkEnd w:id="120"/>
      <w:r w:rsidRPr="001B11DC">
        <w:rPr>
          <w:rFonts w:ascii="Times New Roman" w:hAnsi="Times New Roman" w:cs="Times New Roman"/>
          <w:lang w:val="ru-RU"/>
        </w:rPr>
        <w:t xml:space="preserve">8. </w:t>
      </w:r>
      <w:proofErr w:type="gramStart"/>
      <w:r w:rsidRPr="001B11DC">
        <w:rPr>
          <w:rFonts w:ascii="Times New Roman" w:hAnsi="Times New Roman" w:cs="Times New Roman"/>
          <w:lang w:val="ru-RU"/>
        </w:rPr>
        <w:t>Ц</w:t>
      </w:r>
      <w:proofErr w:type="gramEnd"/>
      <w:r w:rsidRPr="001B11DC">
        <w:rPr>
          <w:rFonts w:ascii="Times New Roman" w:hAnsi="Times New Roman" w:cs="Times New Roman"/>
          <w:lang w:val="ru-RU"/>
        </w:rPr>
        <w:t>іни (тарифи) на регульовані НКЕК поштові послуги встановлюються у національній валюті без врахування податку на додану вартість.</w:t>
      </w:r>
    </w:p>
    <w:p w:rsidR="001F316E" w:rsidRPr="001B11DC" w:rsidRDefault="001F316E" w:rsidP="001F316E">
      <w:pPr>
        <w:jc w:val="both"/>
        <w:rPr>
          <w:rFonts w:ascii="Times New Roman" w:hAnsi="Times New Roman" w:cs="Times New Roman"/>
          <w:lang w:val="ru-RU"/>
        </w:rPr>
      </w:pPr>
      <w:bookmarkStart w:id="121" w:name="n122"/>
      <w:bookmarkEnd w:id="121"/>
      <w:r w:rsidRPr="001B11DC">
        <w:rPr>
          <w:rFonts w:ascii="Times New Roman" w:hAnsi="Times New Roman" w:cs="Times New Roman"/>
          <w:lang w:val="ru-RU"/>
        </w:rPr>
        <w:lastRenderedPageBreak/>
        <w:t xml:space="preserve">9. Вартість пересилання внутрішніх простих листів без оголошеної цінності масою до 50 </w:t>
      </w:r>
      <w:proofErr w:type="gramStart"/>
      <w:r w:rsidRPr="001B11DC">
        <w:rPr>
          <w:rFonts w:ascii="Times New Roman" w:hAnsi="Times New Roman" w:cs="Times New Roman"/>
          <w:lang w:val="ru-RU"/>
        </w:rPr>
        <w:t>грам</w:t>
      </w:r>
      <w:proofErr w:type="gramEnd"/>
      <w:r w:rsidRPr="001B11DC">
        <w:rPr>
          <w:rFonts w:ascii="Times New Roman" w:hAnsi="Times New Roman" w:cs="Times New Roman"/>
          <w:lang w:val="ru-RU"/>
        </w:rPr>
        <w:t>ів та поштових карток, відправниками та адресатами яких є військовослужбовці строкової служби, визначається із застосуванням коефіцієнта 0,6 до встановленої граничної ціни (тарифу) на пересилання внутрішніх простих листів без оголошеної цінності і поштових карток.</w:t>
      </w:r>
    </w:p>
    <w:p w:rsidR="001F316E" w:rsidRPr="001B11DC" w:rsidRDefault="001F316E" w:rsidP="001F316E">
      <w:pPr>
        <w:jc w:val="both"/>
        <w:rPr>
          <w:rFonts w:ascii="Times New Roman" w:hAnsi="Times New Roman" w:cs="Times New Roman"/>
          <w:lang w:val="ru-RU"/>
        </w:rPr>
      </w:pPr>
      <w:bookmarkStart w:id="122" w:name="n123"/>
      <w:bookmarkEnd w:id="122"/>
      <w:r w:rsidRPr="001B11DC">
        <w:rPr>
          <w:rFonts w:ascii="Times New Roman" w:hAnsi="Times New Roman" w:cs="Times New Roman"/>
          <w:lang w:val="ru-RU"/>
        </w:rPr>
        <w:t>Оплата цих послуг здійснюється відповідно до </w:t>
      </w:r>
      <w:hyperlink r:id="rId16" w:anchor="n11" w:tgtFrame="_blank" w:history="1">
        <w:r w:rsidRPr="001B11DC">
          <w:rPr>
            <w:rStyle w:val="a4"/>
            <w:rFonts w:ascii="Times New Roman" w:hAnsi="Times New Roman" w:cs="Times New Roman"/>
            <w:color w:val="auto"/>
            <w:lang w:val="ru-RU"/>
          </w:rPr>
          <w:t>Правил надання послуг поштового зв’язку</w:t>
        </w:r>
      </w:hyperlink>
      <w:r w:rsidRPr="001B11DC">
        <w:rPr>
          <w:rFonts w:ascii="Times New Roman" w:hAnsi="Times New Roman" w:cs="Times New Roman"/>
          <w:lang w:val="ru-RU"/>
        </w:rPr>
        <w:t>, затверджених постановою Кабінету Міні</w:t>
      </w:r>
      <w:proofErr w:type="gramStart"/>
      <w:r w:rsidRPr="001B11DC">
        <w:rPr>
          <w:rFonts w:ascii="Times New Roman" w:hAnsi="Times New Roman" w:cs="Times New Roman"/>
          <w:lang w:val="ru-RU"/>
        </w:rPr>
        <w:t>стр</w:t>
      </w:r>
      <w:proofErr w:type="gramEnd"/>
      <w:r w:rsidRPr="001B11DC">
        <w:rPr>
          <w:rFonts w:ascii="Times New Roman" w:hAnsi="Times New Roman" w:cs="Times New Roman"/>
          <w:lang w:val="ru-RU"/>
        </w:rPr>
        <w:t>ів України від 05 березня 2009 року № 270, та інших нормативно-правових актів у сфері надання послуг поштового зв’язку.</w:t>
      </w:r>
    </w:p>
    <w:p w:rsidR="001F316E" w:rsidRPr="001B11DC" w:rsidRDefault="001F316E" w:rsidP="001F316E">
      <w:pPr>
        <w:ind w:left="225" w:right="225"/>
        <w:jc w:val="both"/>
        <w:rPr>
          <w:rFonts w:ascii="Times New Roman" w:hAnsi="Times New Roman" w:cs="Times New Roman"/>
          <w:lang w:val="ru-RU"/>
        </w:rPr>
      </w:pPr>
      <w:bookmarkStart w:id="123" w:name="n124"/>
      <w:bookmarkEnd w:id="123"/>
      <w:r w:rsidRPr="001B11DC">
        <w:rPr>
          <w:rFonts w:ascii="Times New Roman" w:hAnsi="Times New Roman" w:cs="Times New Roman"/>
          <w:b/>
          <w:bCs/>
          <w:lang w:val="ru-RU"/>
        </w:rPr>
        <w:t>V. Зміна цін (тарифів)</w:t>
      </w:r>
    </w:p>
    <w:p w:rsidR="001F316E" w:rsidRPr="001B11DC" w:rsidRDefault="001F316E" w:rsidP="001F316E">
      <w:pPr>
        <w:jc w:val="both"/>
        <w:rPr>
          <w:rFonts w:ascii="Times New Roman" w:hAnsi="Times New Roman" w:cs="Times New Roman"/>
          <w:lang w:val="ru-RU"/>
        </w:rPr>
      </w:pPr>
      <w:bookmarkStart w:id="124" w:name="n125"/>
      <w:bookmarkEnd w:id="124"/>
      <w:r w:rsidRPr="001B11DC">
        <w:rPr>
          <w:rFonts w:ascii="Times New Roman" w:hAnsi="Times New Roman" w:cs="Times New Roman"/>
          <w:lang w:val="ru-RU"/>
        </w:rPr>
        <w:t xml:space="preserve">1. </w:t>
      </w:r>
      <w:proofErr w:type="gramStart"/>
      <w:r w:rsidRPr="001B11DC">
        <w:rPr>
          <w:rFonts w:ascii="Times New Roman" w:hAnsi="Times New Roman" w:cs="Times New Roman"/>
          <w:lang w:val="ru-RU"/>
        </w:rPr>
        <w:t>Ц</w:t>
      </w:r>
      <w:proofErr w:type="gramEnd"/>
      <w:r w:rsidRPr="001B11DC">
        <w:rPr>
          <w:rFonts w:ascii="Times New Roman" w:hAnsi="Times New Roman" w:cs="Times New Roman"/>
          <w:lang w:val="ru-RU"/>
        </w:rPr>
        <w:t>іни (тарифи) можуть бути переглянуті при зміні ставок податків, зборів, платежів, мінімального рівня заробітної плати, ставок орендної плати, індексу інфляції, цін і тарифів на паливно-енергетичні та матеріальні ресурси, які не залежать від господарської діяльності призначеного оператора поштового зв’язку, але впливають на рівень планових економічно обґрунтованих витрат призначеного оператора поштового зв’язку.</w:t>
      </w:r>
    </w:p>
    <w:p w:rsidR="001F316E" w:rsidRPr="001B11DC" w:rsidRDefault="001F316E" w:rsidP="001F316E">
      <w:pPr>
        <w:jc w:val="both"/>
        <w:rPr>
          <w:rFonts w:ascii="Times New Roman" w:hAnsi="Times New Roman" w:cs="Times New Roman"/>
          <w:lang w:val="ru-RU"/>
        </w:rPr>
      </w:pPr>
      <w:bookmarkStart w:id="125" w:name="n126"/>
      <w:bookmarkEnd w:id="125"/>
      <w:r w:rsidRPr="001B11DC">
        <w:rPr>
          <w:rFonts w:ascii="Times New Roman" w:hAnsi="Times New Roman" w:cs="Times New Roman"/>
          <w:lang w:val="ru-RU"/>
        </w:rPr>
        <w:t xml:space="preserve">2. Для перегляду цін (тарифів) призначений оператор поштового зв’язку особисто, через уповноважений ним орган чи особу або реєстрованим (рекомендованим) листом </w:t>
      </w:r>
      <w:proofErr w:type="gramStart"/>
      <w:r w:rsidRPr="001B11DC">
        <w:rPr>
          <w:rFonts w:ascii="Times New Roman" w:hAnsi="Times New Roman" w:cs="Times New Roman"/>
          <w:lang w:val="ru-RU"/>
        </w:rPr>
        <w:t>у дов</w:t>
      </w:r>
      <w:proofErr w:type="gramEnd"/>
      <w:r w:rsidRPr="001B11DC">
        <w:rPr>
          <w:rFonts w:ascii="Times New Roman" w:hAnsi="Times New Roman" w:cs="Times New Roman"/>
          <w:lang w:val="ru-RU"/>
        </w:rPr>
        <w:t>ільній формі подає до НКЕК відповідні обґрунтовані пропозиції та комплект документів (далі - пропозиції), які містять таку інформацію:</w:t>
      </w:r>
    </w:p>
    <w:p w:rsidR="001F316E" w:rsidRPr="001B11DC" w:rsidRDefault="001F316E" w:rsidP="001F316E">
      <w:pPr>
        <w:jc w:val="both"/>
        <w:rPr>
          <w:rFonts w:ascii="Times New Roman" w:hAnsi="Times New Roman" w:cs="Times New Roman"/>
          <w:lang w:val="ru-RU"/>
        </w:rPr>
      </w:pPr>
      <w:bookmarkStart w:id="126" w:name="n127"/>
      <w:bookmarkEnd w:id="126"/>
      <w:r w:rsidRPr="001B11DC">
        <w:rPr>
          <w:rFonts w:ascii="Times New Roman" w:hAnsi="Times New Roman" w:cs="Times New Roman"/>
          <w:lang w:val="ru-RU"/>
        </w:rPr>
        <w:t xml:space="preserve">1) економічні показники діяльності призначеного оператора поштового зв’язку (обов’язково </w:t>
      </w:r>
      <w:proofErr w:type="gramStart"/>
      <w:r w:rsidRPr="001B11DC">
        <w:rPr>
          <w:rFonts w:ascii="Times New Roman" w:hAnsi="Times New Roman" w:cs="Times New Roman"/>
          <w:lang w:val="ru-RU"/>
        </w:rPr>
        <w:t>дан</w:t>
      </w:r>
      <w:proofErr w:type="gramEnd"/>
      <w:r w:rsidRPr="001B11DC">
        <w:rPr>
          <w:rFonts w:ascii="Times New Roman" w:hAnsi="Times New Roman" w:cs="Times New Roman"/>
          <w:lang w:val="ru-RU"/>
        </w:rPr>
        <w:t>і про доходи, витрати за всіма видами поштових послуг, рентабельність діяльності) за останні 3 роки;</w:t>
      </w:r>
    </w:p>
    <w:p w:rsidR="001F316E" w:rsidRPr="001B11DC" w:rsidRDefault="001F316E" w:rsidP="001F316E">
      <w:pPr>
        <w:jc w:val="both"/>
        <w:rPr>
          <w:rFonts w:ascii="Times New Roman" w:hAnsi="Times New Roman" w:cs="Times New Roman"/>
          <w:lang w:val="ru-RU"/>
        </w:rPr>
      </w:pPr>
      <w:bookmarkStart w:id="127" w:name="n128"/>
      <w:bookmarkEnd w:id="127"/>
      <w:r w:rsidRPr="001B11DC">
        <w:rPr>
          <w:rFonts w:ascii="Times New Roman" w:hAnsi="Times New Roman" w:cs="Times New Roman"/>
          <w:lang w:val="ru-RU"/>
        </w:rPr>
        <w:t>2) </w:t>
      </w:r>
      <w:hyperlink r:id="rId17" w:anchor="n147" w:tgtFrame="_blank" w:history="1">
        <w:r w:rsidRPr="001B11DC">
          <w:rPr>
            <w:rStyle w:val="a4"/>
            <w:rFonts w:ascii="Times New Roman" w:hAnsi="Times New Roman" w:cs="Times New Roman"/>
            <w:color w:val="auto"/>
            <w:lang w:val="ru-RU"/>
          </w:rPr>
          <w:t>форма № 1 «Баланс (Звіт про фінансовий стан)»</w:t>
        </w:r>
      </w:hyperlink>
      <w:r w:rsidRPr="001B11DC">
        <w:rPr>
          <w:rFonts w:ascii="Times New Roman" w:hAnsi="Times New Roman" w:cs="Times New Roman"/>
          <w:lang w:val="ru-RU"/>
        </w:rPr>
        <w:t>, </w:t>
      </w:r>
      <w:hyperlink r:id="rId18" w:anchor="n156" w:tgtFrame="_blank" w:history="1">
        <w:r w:rsidRPr="001B11DC">
          <w:rPr>
            <w:rStyle w:val="a4"/>
            <w:rFonts w:ascii="Times New Roman" w:hAnsi="Times New Roman" w:cs="Times New Roman"/>
            <w:color w:val="auto"/>
            <w:lang w:val="ru-RU"/>
          </w:rPr>
          <w:t>форма № 2 «Звіт про фінансові результати (Звіт про сукупний дохід)»</w:t>
        </w:r>
      </w:hyperlink>
      <w:r w:rsidRPr="001B11DC">
        <w:rPr>
          <w:rFonts w:ascii="Times New Roman" w:hAnsi="Times New Roman" w:cs="Times New Roman"/>
          <w:lang w:val="ru-RU"/>
        </w:rPr>
        <w:t xml:space="preserve">, наведені в додатку 1 до Національного положення (стандарту) бухгалтерського </w:t>
      </w:r>
      <w:proofErr w:type="gramStart"/>
      <w:r w:rsidRPr="001B11DC">
        <w:rPr>
          <w:rFonts w:ascii="Times New Roman" w:hAnsi="Times New Roman" w:cs="Times New Roman"/>
          <w:lang w:val="ru-RU"/>
        </w:rPr>
        <w:t>обл</w:t>
      </w:r>
      <w:proofErr w:type="gramEnd"/>
      <w:r w:rsidRPr="001B11DC">
        <w:rPr>
          <w:rFonts w:ascii="Times New Roman" w:hAnsi="Times New Roman" w:cs="Times New Roman"/>
          <w:lang w:val="ru-RU"/>
        </w:rPr>
        <w:t xml:space="preserve">іку 1 «Загальні вимоги до фінансової звітності», затвердженого наказом Міністерства фінансів України від 07 лютого 2013 року № 73, зареєстрованого в Міністерстві юстиції України 28 </w:t>
      </w:r>
      <w:proofErr w:type="gramStart"/>
      <w:r w:rsidRPr="001B11DC">
        <w:rPr>
          <w:rFonts w:ascii="Times New Roman" w:hAnsi="Times New Roman" w:cs="Times New Roman"/>
          <w:lang w:val="ru-RU"/>
        </w:rPr>
        <w:t>лютого</w:t>
      </w:r>
      <w:proofErr w:type="gramEnd"/>
      <w:r w:rsidRPr="001B11DC">
        <w:rPr>
          <w:rFonts w:ascii="Times New Roman" w:hAnsi="Times New Roman" w:cs="Times New Roman"/>
          <w:lang w:val="ru-RU"/>
        </w:rPr>
        <w:t xml:space="preserve"> 2013 року за № 336/22868, копії звітів про виконання фінансового плану за останні 3 роки;</w:t>
      </w:r>
    </w:p>
    <w:p w:rsidR="001F316E" w:rsidRPr="001B11DC" w:rsidRDefault="001F316E" w:rsidP="001F316E">
      <w:pPr>
        <w:jc w:val="both"/>
        <w:rPr>
          <w:rFonts w:ascii="Times New Roman" w:hAnsi="Times New Roman" w:cs="Times New Roman"/>
          <w:lang w:val="ru-RU"/>
        </w:rPr>
      </w:pPr>
      <w:bookmarkStart w:id="128" w:name="n129"/>
      <w:bookmarkEnd w:id="128"/>
      <w:proofErr w:type="gramStart"/>
      <w:r w:rsidRPr="001B11DC">
        <w:rPr>
          <w:rFonts w:ascii="Times New Roman" w:hAnsi="Times New Roman" w:cs="Times New Roman"/>
          <w:lang w:val="ru-RU"/>
        </w:rPr>
        <w:t>3) дані про доходи, витрати діяльності призначеного оператора поштового зв’язку щодо надання регульованих НКЕК поштових послуг, обсяги згрупованих видів поштових відправлень за попередній, базовий та планований періоди та розрахунок цін (тарифів) з урахуванням планових економічно обґрунтованих витрат щодо кожного згрупованого виду відправлень (</w:t>
      </w:r>
      <w:hyperlink r:id="rId19" w:anchor="n149" w:history="1">
        <w:r w:rsidRPr="001B11DC">
          <w:rPr>
            <w:rStyle w:val="a4"/>
            <w:rFonts w:ascii="Times New Roman" w:hAnsi="Times New Roman" w:cs="Times New Roman"/>
            <w:color w:val="auto"/>
            <w:lang w:val="ru-RU"/>
          </w:rPr>
          <w:t>додаток 1</w:t>
        </w:r>
      </w:hyperlink>
      <w:r w:rsidRPr="001B11DC">
        <w:rPr>
          <w:rFonts w:ascii="Times New Roman" w:hAnsi="Times New Roman" w:cs="Times New Roman"/>
          <w:lang w:val="ru-RU"/>
        </w:rPr>
        <w:t>);</w:t>
      </w:r>
      <w:proofErr w:type="gramEnd"/>
    </w:p>
    <w:p w:rsidR="001F316E" w:rsidRPr="001B11DC" w:rsidRDefault="001F316E" w:rsidP="001F316E">
      <w:pPr>
        <w:jc w:val="both"/>
        <w:rPr>
          <w:rFonts w:ascii="Times New Roman" w:hAnsi="Times New Roman" w:cs="Times New Roman"/>
          <w:lang w:val="ru-RU"/>
        </w:rPr>
      </w:pPr>
      <w:bookmarkStart w:id="129" w:name="n130"/>
      <w:bookmarkEnd w:id="129"/>
      <w:r w:rsidRPr="001B11DC">
        <w:rPr>
          <w:rFonts w:ascii="Times New Roman" w:hAnsi="Times New Roman" w:cs="Times New Roman"/>
          <w:lang w:val="ru-RU"/>
        </w:rPr>
        <w:t xml:space="preserve">4) порівняльна таблиця </w:t>
      </w:r>
      <w:proofErr w:type="gramStart"/>
      <w:r w:rsidRPr="001B11DC">
        <w:rPr>
          <w:rFonts w:ascii="Times New Roman" w:hAnsi="Times New Roman" w:cs="Times New Roman"/>
          <w:lang w:val="ru-RU"/>
        </w:rPr>
        <w:t>оплати праці штатних та в еквіваленті повної зайнятості працівник</w:t>
      </w:r>
      <w:proofErr w:type="gramEnd"/>
      <w:r w:rsidRPr="001B11DC">
        <w:rPr>
          <w:rFonts w:ascii="Times New Roman" w:hAnsi="Times New Roman" w:cs="Times New Roman"/>
          <w:lang w:val="ru-RU"/>
        </w:rPr>
        <w:t>ів призначеного оператора поштового зв’язку за попередній, базовий та планований періоди (</w:t>
      </w:r>
      <w:hyperlink r:id="rId20" w:anchor="n153" w:history="1">
        <w:r w:rsidRPr="001B11DC">
          <w:rPr>
            <w:rStyle w:val="a4"/>
            <w:rFonts w:ascii="Times New Roman" w:hAnsi="Times New Roman" w:cs="Times New Roman"/>
            <w:color w:val="auto"/>
            <w:lang w:val="ru-RU"/>
          </w:rPr>
          <w:t>додаток 2</w:t>
        </w:r>
      </w:hyperlink>
      <w:r w:rsidRPr="001B11DC">
        <w:rPr>
          <w:rFonts w:ascii="Times New Roman" w:hAnsi="Times New Roman" w:cs="Times New Roman"/>
          <w:lang w:val="ru-RU"/>
        </w:rPr>
        <w:t>);</w:t>
      </w:r>
    </w:p>
    <w:p w:rsidR="001F316E" w:rsidRPr="001B11DC" w:rsidRDefault="001F316E" w:rsidP="001F316E">
      <w:pPr>
        <w:jc w:val="both"/>
        <w:rPr>
          <w:rFonts w:ascii="Times New Roman" w:hAnsi="Times New Roman" w:cs="Times New Roman"/>
          <w:lang w:val="ru-RU"/>
        </w:rPr>
      </w:pPr>
      <w:bookmarkStart w:id="130" w:name="n131"/>
      <w:bookmarkEnd w:id="130"/>
      <w:r w:rsidRPr="001B11DC">
        <w:rPr>
          <w:rFonts w:ascii="Times New Roman" w:hAnsi="Times New Roman" w:cs="Times New Roman"/>
          <w:lang w:val="ru-RU"/>
        </w:rPr>
        <w:t>5) пояснювальна записка з обґрунтуванням необхідності зміни цін (тарифів);</w:t>
      </w:r>
    </w:p>
    <w:p w:rsidR="001F316E" w:rsidRPr="001B11DC" w:rsidRDefault="001F316E" w:rsidP="001F316E">
      <w:pPr>
        <w:jc w:val="both"/>
        <w:rPr>
          <w:rFonts w:ascii="Times New Roman" w:hAnsi="Times New Roman" w:cs="Times New Roman"/>
          <w:lang w:val="ru-RU"/>
        </w:rPr>
      </w:pPr>
      <w:bookmarkStart w:id="131" w:name="n132"/>
      <w:bookmarkEnd w:id="131"/>
      <w:r w:rsidRPr="001B11DC">
        <w:rPr>
          <w:rFonts w:ascii="Times New Roman" w:hAnsi="Times New Roman" w:cs="Times New Roman"/>
          <w:lang w:val="ru-RU"/>
        </w:rPr>
        <w:t>6) інвестиційна програма призначеного оператора поштового зв’язку, погоджена уповноваженим органом, та інформація про її виконання.</w:t>
      </w:r>
    </w:p>
    <w:p w:rsidR="001F316E" w:rsidRPr="001B11DC" w:rsidRDefault="001F316E" w:rsidP="001F316E">
      <w:pPr>
        <w:jc w:val="both"/>
        <w:rPr>
          <w:rFonts w:ascii="Times New Roman" w:hAnsi="Times New Roman" w:cs="Times New Roman"/>
          <w:lang w:val="ru-RU"/>
        </w:rPr>
      </w:pPr>
      <w:bookmarkStart w:id="132" w:name="n133"/>
      <w:bookmarkEnd w:id="132"/>
      <w:r w:rsidRPr="001B11DC">
        <w:rPr>
          <w:rFonts w:ascii="Times New Roman" w:hAnsi="Times New Roman" w:cs="Times New Roman"/>
          <w:lang w:val="ru-RU"/>
        </w:rPr>
        <w:t>Достовірність зазначеної в документах інформації забезпечує призначений оператор поштового зв’язку.</w:t>
      </w:r>
    </w:p>
    <w:p w:rsidR="001F316E" w:rsidRPr="001B11DC" w:rsidRDefault="001F316E" w:rsidP="001F316E">
      <w:pPr>
        <w:jc w:val="both"/>
        <w:rPr>
          <w:rFonts w:ascii="Times New Roman" w:hAnsi="Times New Roman" w:cs="Times New Roman"/>
          <w:lang w:val="ru-RU"/>
        </w:rPr>
      </w:pPr>
      <w:bookmarkStart w:id="133" w:name="n134"/>
      <w:bookmarkEnd w:id="133"/>
      <w:r w:rsidRPr="001B11DC">
        <w:rPr>
          <w:rFonts w:ascii="Times New Roman" w:hAnsi="Times New Roman" w:cs="Times New Roman"/>
          <w:lang w:val="ru-RU"/>
        </w:rPr>
        <w:t>3. Пропозиції залишаються без розгляду, якщо вони надані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ідписані) особою, яка не має на це повноважень, про що призначений оператор поштового зв’язку повідомляється у письмовій формі.</w:t>
      </w:r>
    </w:p>
    <w:p w:rsidR="001F316E" w:rsidRPr="001B11DC" w:rsidRDefault="001F316E" w:rsidP="001F316E">
      <w:pPr>
        <w:jc w:val="both"/>
        <w:rPr>
          <w:rFonts w:ascii="Times New Roman" w:hAnsi="Times New Roman" w:cs="Times New Roman"/>
          <w:lang w:val="ru-RU"/>
        </w:rPr>
      </w:pPr>
      <w:bookmarkStart w:id="134" w:name="n135"/>
      <w:bookmarkEnd w:id="134"/>
      <w:r w:rsidRPr="001B11DC">
        <w:rPr>
          <w:rFonts w:ascii="Times New Roman" w:hAnsi="Times New Roman" w:cs="Times New Roman"/>
          <w:lang w:val="ru-RU"/>
        </w:rPr>
        <w:lastRenderedPageBreak/>
        <w:t xml:space="preserve">4. Пропозиції щодо зміни цін (тарифів) розглядаються протягом 60 календарних днів з дня їх надходження, за результатами чого НКЕК приймає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ішення про схвалення або відмову у перегляді цін (тарифів).</w:t>
      </w:r>
    </w:p>
    <w:p w:rsidR="001F316E" w:rsidRPr="001B11DC" w:rsidRDefault="001F316E" w:rsidP="001F316E">
      <w:pPr>
        <w:jc w:val="both"/>
        <w:rPr>
          <w:rFonts w:ascii="Times New Roman" w:hAnsi="Times New Roman" w:cs="Times New Roman"/>
          <w:lang w:val="ru-RU"/>
        </w:rPr>
      </w:pPr>
      <w:bookmarkStart w:id="135" w:name="n162"/>
      <w:bookmarkEnd w:id="135"/>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ішення про схвалення відповідних цін (тарифів) проходить обов’язкове громадське обговорення.</w:t>
      </w:r>
    </w:p>
    <w:p w:rsidR="001F316E" w:rsidRPr="001B11DC" w:rsidRDefault="001F316E" w:rsidP="001F316E">
      <w:pPr>
        <w:jc w:val="both"/>
        <w:rPr>
          <w:rFonts w:ascii="Times New Roman" w:hAnsi="Times New Roman" w:cs="Times New Roman"/>
          <w:lang w:val="ru-RU"/>
        </w:rPr>
      </w:pPr>
      <w:bookmarkStart w:id="136" w:name="n163"/>
      <w:bookmarkEnd w:id="136"/>
      <w:r w:rsidRPr="001B11DC">
        <w:rPr>
          <w:rFonts w:ascii="Times New Roman" w:hAnsi="Times New Roman" w:cs="Times New Roman"/>
          <w:i/>
          <w:iCs/>
          <w:lang w:val="ru-RU"/>
        </w:rPr>
        <w:t xml:space="preserve">{Пункт 4 розділу V доповнено новим абзацом згідно з Постановою Національної комісії, що здійснює державне регулювання у </w:t>
      </w:r>
      <w:proofErr w:type="gramStart"/>
      <w:r w:rsidRPr="001B11DC">
        <w:rPr>
          <w:rFonts w:ascii="Times New Roman" w:hAnsi="Times New Roman" w:cs="Times New Roman"/>
          <w:i/>
          <w:iCs/>
          <w:lang w:val="ru-RU"/>
        </w:rPr>
        <w:t>сферах</w:t>
      </w:r>
      <w:proofErr w:type="gramEnd"/>
      <w:r w:rsidRPr="001B11DC">
        <w:rPr>
          <w:rFonts w:ascii="Times New Roman" w:hAnsi="Times New Roman" w:cs="Times New Roman"/>
          <w:i/>
          <w:iCs/>
          <w:lang w:val="ru-RU"/>
        </w:rPr>
        <w:t xml:space="preserve"> електронних комунікацій, радіочастотного спектра та надання послуг поштового зв'язку </w:t>
      </w:r>
      <w:hyperlink r:id="rId21" w:anchor="n16" w:tgtFrame="_blank" w:history="1">
        <w:r w:rsidRPr="001B11DC">
          <w:rPr>
            <w:rStyle w:val="a4"/>
            <w:rFonts w:ascii="Times New Roman" w:hAnsi="Times New Roman" w:cs="Times New Roman"/>
            <w:i/>
            <w:iCs/>
            <w:color w:val="auto"/>
            <w:lang w:val="ru-RU"/>
          </w:rPr>
          <w:t>№ 399 від 25.10.2023</w:t>
        </w:r>
      </w:hyperlink>
      <w:r w:rsidRPr="001B11DC">
        <w:rPr>
          <w:rFonts w:ascii="Times New Roman" w:hAnsi="Times New Roman" w:cs="Times New Roman"/>
          <w:i/>
          <w:iCs/>
          <w:lang w:val="ru-RU"/>
        </w:rPr>
        <w:t>}</w:t>
      </w:r>
    </w:p>
    <w:p w:rsidR="001F316E" w:rsidRPr="001B11DC" w:rsidRDefault="001F316E" w:rsidP="001F316E">
      <w:pPr>
        <w:jc w:val="both"/>
        <w:rPr>
          <w:rFonts w:ascii="Times New Roman" w:hAnsi="Times New Roman" w:cs="Times New Roman"/>
          <w:lang w:val="ru-RU"/>
        </w:rPr>
      </w:pPr>
      <w:bookmarkStart w:id="137" w:name="n136"/>
      <w:bookmarkEnd w:id="137"/>
      <w:r w:rsidRPr="001B11DC">
        <w:rPr>
          <w:rFonts w:ascii="Times New Roman" w:hAnsi="Times New Roman" w:cs="Times New Roman"/>
          <w:lang w:val="ru-RU"/>
        </w:rPr>
        <w:t xml:space="preserve">5.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ішення НКЕК про відмову у перегляді цін (тарифів) приймається у разі:</w:t>
      </w:r>
    </w:p>
    <w:p w:rsidR="001F316E" w:rsidRPr="001B11DC" w:rsidRDefault="001F316E" w:rsidP="001F316E">
      <w:pPr>
        <w:jc w:val="both"/>
        <w:rPr>
          <w:rFonts w:ascii="Times New Roman" w:hAnsi="Times New Roman" w:cs="Times New Roman"/>
          <w:lang w:val="ru-RU"/>
        </w:rPr>
      </w:pPr>
      <w:bookmarkStart w:id="138" w:name="n137"/>
      <w:bookmarkEnd w:id="138"/>
      <w:r w:rsidRPr="001B11DC">
        <w:rPr>
          <w:rFonts w:ascii="Times New Roman" w:hAnsi="Times New Roman" w:cs="Times New Roman"/>
          <w:lang w:val="ru-RU"/>
        </w:rPr>
        <w:t>невідповідності переліку інформації, передбаченої пунктом 2 цього розділу;</w:t>
      </w:r>
    </w:p>
    <w:p w:rsidR="001F316E" w:rsidRPr="001B11DC" w:rsidRDefault="001F316E" w:rsidP="001F316E">
      <w:pPr>
        <w:jc w:val="both"/>
        <w:rPr>
          <w:rFonts w:ascii="Times New Roman" w:hAnsi="Times New Roman" w:cs="Times New Roman"/>
          <w:lang w:val="ru-RU"/>
        </w:rPr>
      </w:pPr>
      <w:bookmarkStart w:id="139" w:name="n138"/>
      <w:bookmarkEnd w:id="139"/>
      <w:r w:rsidRPr="001B11DC">
        <w:rPr>
          <w:rFonts w:ascii="Times New Roman" w:hAnsi="Times New Roman" w:cs="Times New Roman"/>
          <w:lang w:val="ru-RU"/>
        </w:rPr>
        <w:t>неузгодженість відомостей, наданих у пропозиціях щодо перегляду цін (тарифів);</w:t>
      </w:r>
    </w:p>
    <w:p w:rsidR="001F316E" w:rsidRPr="001B11DC" w:rsidRDefault="001F316E" w:rsidP="001F316E">
      <w:pPr>
        <w:jc w:val="both"/>
        <w:rPr>
          <w:rFonts w:ascii="Times New Roman" w:hAnsi="Times New Roman" w:cs="Times New Roman"/>
          <w:lang w:val="ru-RU"/>
        </w:rPr>
      </w:pPr>
      <w:bookmarkStart w:id="140" w:name="n139"/>
      <w:bookmarkEnd w:id="140"/>
      <w:r w:rsidRPr="001B11DC">
        <w:rPr>
          <w:rFonts w:ascii="Times New Roman" w:hAnsi="Times New Roman" w:cs="Times New Roman"/>
          <w:lang w:val="ru-RU"/>
        </w:rPr>
        <w:t xml:space="preserve">економічної необґрунтованості витрат та цін (тарифів), що надані </w:t>
      </w:r>
      <w:proofErr w:type="gramStart"/>
      <w:r w:rsidRPr="001B11DC">
        <w:rPr>
          <w:rFonts w:ascii="Times New Roman" w:hAnsi="Times New Roman" w:cs="Times New Roman"/>
          <w:lang w:val="ru-RU"/>
        </w:rPr>
        <w:t>для</w:t>
      </w:r>
      <w:proofErr w:type="gramEnd"/>
      <w:r w:rsidRPr="001B11DC">
        <w:rPr>
          <w:rFonts w:ascii="Times New Roman" w:hAnsi="Times New Roman" w:cs="Times New Roman"/>
          <w:lang w:val="ru-RU"/>
        </w:rPr>
        <w:t xml:space="preserve"> перегляду;</w:t>
      </w:r>
    </w:p>
    <w:p w:rsidR="001F316E" w:rsidRPr="001B11DC" w:rsidRDefault="001F316E" w:rsidP="001F316E">
      <w:pPr>
        <w:jc w:val="both"/>
        <w:rPr>
          <w:rFonts w:ascii="Times New Roman" w:hAnsi="Times New Roman" w:cs="Times New Roman"/>
          <w:lang w:val="ru-RU"/>
        </w:rPr>
      </w:pPr>
      <w:bookmarkStart w:id="141" w:name="n140"/>
      <w:bookmarkEnd w:id="141"/>
      <w:r w:rsidRPr="001B11DC">
        <w:rPr>
          <w:rFonts w:ascii="Times New Roman" w:hAnsi="Times New Roman" w:cs="Times New Roman"/>
          <w:lang w:val="ru-RU"/>
        </w:rPr>
        <w:t>необґрунтованості зміни обсягу регульованих НКЕК поштових послуг;</w:t>
      </w:r>
    </w:p>
    <w:p w:rsidR="001F316E" w:rsidRPr="001B11DC" w:rsidRDefault="001F316E" w:rsidP="001F316E">
      <w:pPr>
        <w:jc w:val="both"/>
        <w:rPr>
          <w:rFonts w:ascii="Times New Roman" w:hAnsi="Times New Roman" w:cs="Times New Roman"/>
          <w:lang w:val="ru-RU"/>
        </w:rPr>
      </w:pPr>
      <w:bookmarkStart w:id="142" w:name="n141"/>
      <w:bookmarkEnd w:id="142"/>
      <w:r w:rsidRPr="001B11DC">
        <w:rPr>
          <w:rFonts w:ascii="Times New Roman" w:hAnsi="Times New Roman" w:cs="Times New Roman"/>
          <w:lang w:val="ru-RU"/>
        </w:rPr>
        <w:t xml:space="preserve">встановлення факту наявності перехресного субсидіювання </w:t>
      </w:r>
      <w:proofErr w:type="gramStart"/>
      <w:r w:rsidRPr="001B11DC">
        <w:rPr>
          <w:rFonts w:ascii="Times New Roman" w:hAnsi="Times New Roman" w:cs="Times New Roman"/>
          <w:lang w:val="ru-RU"/>
        </w:rPr>
        <w:t>між</w:t>
      </w:r>
      <w:proofErr w:type="gramEnd"/>
      <w:r w:rsidRPr="001B11DC">
        <w:rPr>
          <w:rFonts w:ascii="Times New Roman" w:hAnsi="Times New Roman" w:cs="Times New Roman"/>
          <w:lang w:val="ru-RU"/>
        </w:rPr>
        <w:t xml:space="preserve"> послугами, які надаються призначеним оператором поштового зв’язку.</w:t>
      </w:r>
    </w:p>
    <w:p w:rsidR="001F316E" w:rsidRPr="001B11DC" w:rsidRDefault="001F316E" w:rsidP="001F316E">
      <w:pPr>
        <w:jc w:val="both"/>
        <w:rPr>
          <w:rFonts w:ascii="Times New Roman" w:hAnsi="Times New Roman" w:cs="Times New Roman"/>
          <w:lang w:val="ru-RU"/>
        </w:rPr>
      </w:pPr>
      <w:bookmarkStart w:id="143" w:name="n142"/>
      <w:bookmarkEnd w:id="143"/>
      <w:r w:rsidRPr="001B11DC">
        <w:rPr>
          <w:rFonts w:ascii="Times New Roman" w:hAnsi="Times New Roman" w:cs="Times New Roman"/>
          <w:lang w:val="ru-RU"/>
        </w:rPr>
        <w:t xml:space="preserve">6. НКЕК може вимагати від призначеного оператора поштового зв’язку додаткові письмові обґрунтування щодо наданих </w:t>
      </w:r>
      <w:proofErr w:type="gramStart"/>
      <w:r w:rsidRPr="001B11DC">
        <w:rPr>
          <w:rFonts w:ascii="Times New Roman" w:hAnsi="Times New Roman" w:cs="Times New Roman"/>
          <w:lang w:val="ru-RU"/>
        </w:rPr>
        <w:t>матер</w:t>
      </w:r>
      <w:proofErr w:type="gramEnd"/>
      <w:r w:rsidRPr="001B11DC">
        <w:rPr>
          <w:rFonts w:ascii="Times New Roman" w:hAnsi="Times New Roman" w:cs="Times New Roman"/>
          <w:lang w:val="ru-RU"/>
        </w:rPr>
        <w:t>іалів та/або іншу додаткову інформацію, необхідну для розгляду пропозицій, а також ініціювати проведення експертизи розрахунків і документів, про що призначений оператор поштового зв’язку повідомляється у письмовій формі.</w:t>
      </w:r>
    </w:p>
    <w:p w:rsidR="001F316E" w:rsidRPr="001B11DC" w:rsidRDefault="001F316E" w:rsidP="001F316E">
      <w:pPr>
        <w:jc w:val="both"/>
        <w:rPr>
          <w:rFonts w:ascii="Times New Roman" w:hAnsi="Times New Roman" w:cs="Times New Roman"/>
          <w:lang w:val="ru-RU"/>
        </w:rPr>
      </w:pPr>
      <w:bookmarkStart w:id="144" w:name="n143"/>
      <w:bookmarkEnd w:id="144"/>
      <w:r w:rsidRPr="001B11DC">
        <w:rPr>
          <w:rFonts w:ascii="Times New Roman" w:hAnsi="Times New Roman" w:cs="Times New Roman"/>
          <w:lang w:val="ru-RU"/>
        </w:rPr>
        <w:t xml:space="preserve">7. </w:t>
      </w:r>
      <w:proofErr w:type="gramStart"/>
      <w:r w:rsidRPr="001B11DC">
        <w:rPr>
          <w:rFonts w:ascii="Times New Roman" w:hAnsi="Times New Roman" w:cs="Times New Roman"/>
          <w:lang w:val="ru-RU"/>
        </w:rPr>
        <w:t>У випадках, передбачених пунктом 6 цього розділу, строк розгляду пропозицій продовжується на період, що триває з дня письмового запиту НКЕК до призначеного оператора поштового зв’язку щодо необхідності надання додаткових письмових обґрунтувань та/або повідомлення його про проведення експертизи розрахунків і документів, до дня отримання письмової відповіді призначеного оператора поштового</w:t>
      </w:r>
      <w:proofErr w:type="gramEnd"/>
      <w:r w:rsidRPr="001B11DC">
        <w:rPr>
          <w:rFonts w:ascii="Times New Roman" w:hAnsi="Times New Roman" w:cs="Times New Roman"/>
          <w:lang w:val="ru-RU"/>
        </w:rPr>
        <w:t xml:space="preserve"> зв’язку та/або результатів експертизи, але не більше ніж 60 календарних дні</w:t>
      </w:r>
      <w:proofErr w:type="gramStart"/>
      <w:r w:rsidRPr="001B11DC">
        <w:rPr>
          <w:rFonts w:ascii="Times New Roman" w:hAnsi="Times New Roman" w:cs="Times New Roman"/>
          <w:lang w:val="ru-RU"/>
        </w:rPr>
        <w:t>в</w:t>
      </w:r>
      <w:proofErr w:type="gramEnd"/>
      <w:r w:rsidRPr="001B11DC">
        <w:rPr>
          <w:rFonts w:ascii="Times New Roman" w:hAnsi="Times New Roman" w:cs="Times New Roman"/>
          <w:lang w:val="ru-RU"/>
        </w:rPr>
        <w:t>.</w:t>
      </w:r>
    </w:p>
    <w:p w:rsidR="001F316E" w:rsidRPr="001B11DC" w:rsidRDefault="001F316E" w:rsidP="001F316E">
      <w:pPr>
        <w:jc w:val="both"/>
        <w:rPr>
          <w:rFonts w:ascii="Times New Roman" w:hAnsi="Times New Roman" w:cs="Times New Roman"/>
          <w:lang w:val="ru-RU"/>
        </w:rPr>
      </w:pPr>
      <w:bookmarkStart w:id="145" w:name="n144"/>
      <w:bookmarkEnd w:id="145"/>
      <w:r w:rsidRPr="001B11DC">
        <w:rPr>
          <w:rFonts w:ascii="Times New Roman" w:hAnsi="Times New Roman" w:cs="Times New Roman"/>
          <w:lang w:val="ru-RU"/>
        </w:rPr>
        <w:t xml:space="preserve">8. </w:t>
      </w:r>
      <w:proofErr w:type="gramStart"/>
      <w:r w:rsidRPr="001B11DC">
        <w:rPr>
          <w:rFonts w:ascii="Times New Roman" w:hAnsi="Times New Roman" w:cs="Times New Roman"/>
          <w:lang w:val="ru-RU"/>
        </w:rPr>
        <w:t>Ц</w:t>
      </w:r>
      <w:proofErr w:type="gramEnd"/>
      <w:r w:rsidRPr="001B11DC">
        <w:rPr>
          <w:rFonts w:ascii="Times New Roman" w:hAnsi="Times New Roman" w:cs="Times New Roman"/>
          <w:lang w:val="ru-RU"/>
        </w:rPr>
        <w:t>іни (тарифи) на регульовані НКЕК поштові послуги встановлюються з початку року або з іншої дати, за умови обґрунтування доцільності їх впровадження раніше ніж з початку року.</w:t>
      </w:r>
    </w:p>
    <w:p w:rsidR="001F316E" w:rsidRPr="001B11DC" w:rsidRDefault="001F316E" w:rsidP="001F316E">
      <w:pPr>
        <w:jc w:val="both"/>
        <w:rPr>
          <w:rFonts w:ascii="Times New Roman" w:hAnsi="Times New Roman" w:cs="Times New Roman"/>
          <w:lang w:val="ru-RU"/>
        </w:rPr>
      </w:pPr>
      <w:bookmarkStart w:id="146" w:name="n145"/>
      <w:bookmarkEnd w:id="146"/>
      <w:r w:rsidRPr="001B11DC">
        <w:rPr>
          <w:rFonts w:ascii="Times New Roman" w:hAnsi="Times New Roman" w:cs="Times New Roman"/>
          <w:lang w:val="ru-RU"/>
        </w:rPr>
        <w:t xml:space="preserve">9. </w:t>
      </w:r>
      <w:proofErr w:type="gramStart"/>
      <w:r w:rsidRPr="001B11DC">
        <w:rPr>
          <w:rFonts w:ascii="Times New Roman" w:hAnsi="Times New Roman" w:cs="Times New Roman"/>
          <w:lang w:val="ru-RU"/>
        </w:rPr>
        <w:t>На період дії правового режиму воєнного стану та протягом шести місяців з дня його припинення чи скасування призначений оператор може звернутися до НКЕК з пропозицією щодо встановлення (перегляду) цін (тарифів) шляхом коригування діючих цін (тарифів) на фактичний індекс інфляції, що діяв протягом останнього року дії цих цін (тариф</w:t>
      </w:r>
      <w:proofErr w:type="gramEnd"/>
      <w:r w:rsidRPr="001B11DC">
        <w:rPr>
          <w:rFonts w:ascii="Times New Roman" w:hAnsi="Times New Roman" w:cs="Times New Roman"/>
          <w:lang w:val="ru-RU"/>
        </w:rPr>
        <w:t xml:space="preserve">ів) за умови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ідтвердження фактичної та/або планової збитковості їх надання.</w:t>
      </w:r>
    </w:p>
    <w:p w:rsidR="001F316E" w:rsidRPr="001B11DC" w:rsidRDefault="001F316E" w:rsidP="001F316E">
      <w:pPr>
        <w:jc w:val="both"/>
        <w:rPr>
          <w:rFonts w:ascii="Times New Roman" w:hAnsi="Times New Roman" w:cs="Times New Roman"/>
          <w:lang w:val="ru-RU"/>
        </w:rPr>
      </w:pPr>
      <w:bookmarkStart w:id="147" w:name="n146"/>
      <w:bookmarkEnd w:id="147"/>
      <w:r w:rsidRPr="001B11DC">
        <w:rPr>
          <w:rFonts w:ascii="Times New Roman" w:hAnsi="Times New Roman" w:cs="Times New Roman"/>
          <w:lang w:val="ru-RU"/>
        </w:rPr>
        <w:t xml:space="preserve">Призначений оператор </w:t>
      </w:r>
      <w:proofErr w:type="gramStart"/>
      <w:r w:rsidRPr="001B11DC">
        <w:rPr>
          <w:rFonts w:ascii="Times New Roman" w:hAnsi="Times New Roman" w:cs="Times New Roman"/>
          <w:lang w:val="ru-RU"/>
        </w:rPr>
        <w:t>при</w:t>
      </w:r>
      <w:proofErr w:type="gramEnd"/>
      <w:r w:rsidRPr="001B11DC">
        <w:rPr>
          <w:rFonts w:ascii="Times New Roman" w:hAnsi="Times New Roman" w:cs="Times New Roman"/>
          <w:lang w:val="ru-RU"/>
        </w:rPr>
        <w:t xml:space="preserve"> такому зверненні не надає комплект документів, визначений пунктом 2 цього розділу.</w:t>
      </w:r>
    </w:p>
    <w:p w:rsidR="001F316E" w:rsidRPr="001B11DC" w:rsidRDefault="001F316E" w:rsidP="001F316E">
      <w:pPr>
        <w:jc w:val="both"/>
        <w:rPr>
          <w:rFonts w:ascii="Times New Roman" w:hAnsi="Times New Roman" w:cs="Times New Roman"/>
          <w:lang w:val="ru-RU"/>
        </w:rPr>
      </w:pPr>
      <w:bookmarkStart w:id="148" w:name="n164"/>
      <w:bookmarkEnd w:id="148"/>
      <w:r w:rsidRPr="001B11DC">
        <w:rPr>
          <w:rFonts w:ascii="Times New Roman" w:hAnsi="Times New Roman" w:cs="Times New Roman"/>
          <w:i/>
          <w:iCs/>
          <w:lang w:val="ru-RU"/>
        </w:rPr>
        <w:t>{Пункт 9 розділу V в редакц</w:t>
      </w:r>
      <w:proofErr w:type="gramStart"/>
      <w:r w:rsidRPr="001B11DC">
        <w:rPr>
          <w:rFonts w:ascii="Times New Roman" w:hAnsi="Times New Roman" w:cs="Times New Roman"/>
          <w:i/>
          <w:iCs/>
          <w:lang w:val="ru-RU"/>
        </w:rPr>
        <w:t>ії П</w:t>
      </w:r>
      <w:proofErr w:type="gramEnd"/>
      <w:r w:rsidRPr="001B11DC">
        <w:rPr>
          <w:rFonts w:ascii="Times New Roman" w:hAnsi="Times New Roman" w:cs="Times New Roman"/>
          <w:i/>
          <w:iCs/>
          <w:lang w:val="ru-RU"/>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22" w:anchor="n18" w:tgtFrame="_blank" w:history="1">
        <w:r w:rsidRPr="001B11DC">
          <w:rPr>
            <w:rStyle w:val="a4"/>
            <w:rFonts w:ascii="Times New Roman" w:hAnsi="Times New Roman" w:cs="Times New Roman"/>
            <w:i/>
            <w:iCs/>
            <w:color w:val="auto"/>
            <w:lang w:val="ru-RU"/>
          </w:rPr>
          <w:t>№ 399 від 25.10.2023</w:t>
        </w:r>
      </w:hyperlink>
      <w:r w:rsidRPr="001B11DC">
        <w:rPr>
          <w:rFonts w:ascii="Times New Roman" w:hAnsi="Times New Roman" w:cs="Times New Roman"/>
          <w:i/>
          <w:iCs/>
          <w:lang w:val="ru-RU"/>
        </w:rPr>
        <w:t>}</w:t>
      </w:r>
    </w:p>
    <w:tbl>
      <w:tblPr>
        <w:tblW w:w="5000" w:type="pct"/>
        <w:tblCellMar>
          <w:left w:w="0" w:type="dxa"/>
          <w:right w:w="0" w:type="dxa"/>
        </w:tblCellMar>
        <w:tblLook w:val="04A0" w:firstRow="1" w:lastRow="0" w:firstColumn="1" w:lastColumn="0" w:noHBand="0" w:noVBand="1"/>
      </w:tblPr>
      <w:tblGrid>
        <w:gridCol w:w="3932"/>
        <w:gridCol w:w="5429"/>
      </w:tblGrid>
      <w:tr w:rsidR="001B11DC" w:rsidRPr="001B11DC" w:rsidTr="001F316E">
        <w:tc>
          <w:tcPr>
            <w:tcW w:w="2100" w:type="pct"/>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rPr>
                <w:rFonts w:ascii="Times New Roman" w:hAnsi="Times New Roman" w:cs="Times New Roman"/>
                <w:lang w:val="ru-RU"/>
              </w:rPr>
            </w:pPr>
            <w:bookmarkStart w:id="149" w:name="n147"/>
            <w:bookmarkEnd w:id="149"/>
            <w:r w:rsidRPr="001B11DC">
              <w:rPr>
                <w:rFonts w:ascii="Times New Roman" w:hAnsi="Times New Roman" w:cs="Times New Roman"/>
                <w:b/>
                <w:bCs/>
                <w:lang w:val="ru-RU"/>
              </w:rPr>
              <w:t>Директор Департаменту</w:t>
            </w:r>
            <w:r w:rsidRPr="001B11DC">
              <w:rPr>
                <w:rFonts w:ascii="Times New Roman" w:hAnsi="Times New Roman" w:cs="Times New Roman"/>
                <w:lang w:val="ru-RU"/>
              </w:rPr>
              <w:br/>
            </w:r>
            <w:r w:rsidRPr="001B11DC">
              <w:rPr>
                <w:rFonts w:ascii="Times New Roman" w:hAnsi="Times New Roman" w:cs="Times New Roman"/>
                <w:b/>
                <w:bCs/>
                <w:lang w:val="ru-RU"/>
              </w:rPr>
              <w:t>економічного регулювання</w:t>
            </w:r>
          </w:p>
        </w:tc>
        <w:tc>
          <w:tcPr>
            <w:tcW w:w="3500" w:type="pct"/>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r w:rsidRPr="001B11DC">
              <w:rPr>
                <w:rFonts w:ascii="Times New Roman" w:hAnsi="Times New Roman" w:cs="Times New Roman"/>
                <w:b/>
                <w:bCs/>
                <w:lang w:val="ru-RU"/>
              </w:rPr>
              <w:t>А. Барабін</w:t>
            </w:r>
          </w:p>
        </w:tc>
      </w:tr>
    </w:tbl>
    <w:p w:rsidR="001F316E" w:rsidRPr="001B11DC" w:rsidRDefault="001B11DC" w:rsidP="001F316E">
      <w:pPr>
        <w:rPr>
          <w:rFonts w:ascii="Times New Roman" w:hAnsi="Times New Roman" w:cs="Times New Roman"/>
          <w:lang w:val="ru-RU"/>
        </w:rPr>
      </w:pPr>
      <w:r w:rsidRPr="001B11DC">
        <w:rPr>
          <w:rFonts w:ascii="Times New Roman" w:hAnsi="Times New Roman" w:cs="Times New Roman"/>
          <w:lang w:val="ru-RU"/>
        </w:rPr>
        <w:pict>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1B11DC" w:rsidRPr="001B11DC" w:rsidTr="001F316E">
        <w:tc>
          <w:tcPr>
            <w:tcW w:w="2250" w:type="pct"/>
            <w:tcBorders>
              <w:top w:val="single" w:sz="2" w:space="0" w:color="auto"/>
              <w:left w:val="single" w:sz="2" w:space="0" w:color="auto"/>
              <w:bottom w:val="single" w:sz="2" w:space="0" w:color="auto"/>
              <w:right w:val="single" w:sz="2" w:space="0" w:color="auto"/>
            </w:tcBorders>
            <w:hideMark/>
          </w:tcPr>
          <w:p w:rsidR="00665D52" w:rsidRPr="001B11DC" w:rsidRDefault="00665D52" w:rsidP="001F316E">
            <w:pPr>
              <w:rPr>
                <w:rFonts w:ascii="Times New Roman" w:hAnsi="Times New Roman" w:cs="Times New Roman"/>
                <w:lang w:val="ru-RU"/>
              </w:rPr>
            </w:pPr>
            <w:bookmarkStart w:id="150" w:name="n155"/>
            <w:bookmarkStart w:id="151" w:name="n148"/>
            <w:bookmarkEnd w:id="150"/>
            <w:bookmarkEnd w:id="151"/>
          </w:p>
        </w:tc>
        <w:tc>
          <w:tcPr>
            <w:tcW w:w="2000" w:type="pct"/>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Додаток 1</w:t>
            </w:r>
            <w:r w:rsidRPr="001B11DC">
              <w:rPr>
                <w:rFonts w:ascii="Times New Roman" w:hAnsi="Times New Roman" w:cs="Times New Roman"/>
                <w:lang w:val="ru-RU"/>
              </w:rPr>
              <w:br/>
              <w:t>до Порядку регулювання</w:t>
            </w:r>
            <w:r w:rsidRPr="001B11DC">
              <w:rPr>
                <w:rFonts w:ascii="Times New Roman" w:hAnsi="Times New Roman" w:cs="Times New Roman"/>
                <w:lang w:val="ru-RU"/>
              </w:rPr>
              <w:br/>
              <w:t>та встановлення цін (тарифів)</w:t>
            </w:r>
            <w:r w:rsidRPr="001B11DC">
              <w:rPr>
                <w:rFonts w:ascii="Times New Roman" w:hAnsi="Times New Roman" w:cs="Times New Roman"/>
                <w:lang w:val="ru-RU"/>
              </w:rPr>
              <w:br/>
              <w:t>на послуги поштового зв’язку</w:t>
            </w:r>
            <w:r w:rsidRPr="001B11DC">
              <w:rPr>
                <w:rFonts w:ascii="Times New Roman" w:hAnsi="Times New Roman" w:cs="Times New Roman"/>
                <w:lang w:val="ru-RU"/>
              </w:rPr>
              <w:br/>
              <w:t>з пересилання внутрішніх простих</w:t>
            </w:r>
            <w:r w:rsidRPr="001B11DC">
              <w:rPr>
                <w:rFonts w:ascii="Times New Roman" w:hAnsi="Times New Roman" w:cs="Times New Roman"/>
                <w:lang w:val="ru-RU"/>
              </w:rPr>
              <w:br/>
              <w:t>та реєстрованих листів без оголошеної</w:t>
            </w:r>
            <w:r w:rsidRPr="001B11DC">
              <w:rPr>
                <w:rFonts w:ascii="Times New Roman" w:hAnsi="Times New Roman" w:cs="Times New Roman"/>
                <w:lang w:val="ru-RU"/>
              </w:rPr>
              <w:br/>
              <w:t>цінності (рекомендованих) масою</w:t>
            </w:r>
            <w:r w:rsidRPr="001B11DC">
              <w:rPr>
                <w:rFonts w:ascii="Times New Roman" w:hAnsi="Times New Roman" w:cs="Times New Roman"/>
                <w:lang w:val="ru-RU"/>
              </w:rPr>
              <w:br/>
              <w:t xml:space="preserve">до 50 </w:t>
            </w:r>
            <w:proofErr w:type="gramStart"/>
            <w:r w:rsidRPr="001B11DC">
              <w:rPr>
                <w:rFonts w:ascii="Times New Roman" w:hAnsi="Times New Roman" w:cs="Times New Roman"/>
                <w:lang w:val="ru-RU"/>
              </w:rPr>
              <w:t>грам</w:t>
            </w:r>
            <w:proofErr w:type="gramEnd"/>
            <w:r w:rsidRPr="001B11DC">
              <w:rPr>
                <w:rFonts w:ascii="Times New Roman" w:hAnsi="Times New Roman" w:cs="Times New Roman"/>
                <w:lang w:val="ru-RU"/>
              </w:rPr>
              <w:t>ів і поштових карток</w:t>
            </w:r>
            <w:r w:rsidRPr="001B11DC">
              <w:rPr>
                <w:rFonts w:ascii="Times New Roman" w:hAnsi="Times New Roman" w:cs="Times New Roman"/>
                <w:lang w:val="ru-RU"/>
              </w:rPr>
              <w:br/>
              <w:t>(підпункт 3 пункту 2 розділу V)</w:t>
            </w:r>
          </w:p>
        </w:tc>
      </w:tr>
    </w:tbl>
    <w:p w:rsidR="001F316E" w:rsidRPr="001B11DC" w:rsidRDefault="001F316E" w:rsidP="001F316E">
      <w:pPr>
        <w:ind w:left="225" w:right="225"/>
        <w:jc w:val="center"/>
        <w:rPr>
          <w:rFonts w:ascii="Times New Roman" w:hAnsi="Times New Roman" w:cs="Times New Roman"/>
        </w:rPr>
      </w:pPr>
      <w:bookmarkStart w:id="152" w:name="n149"/>
      <w:bookmarkEnd w:id="152"/>
      <w:r w:rsidRPr="001B11DC">
        <w:rPr>
          <w:rFonts w:ascii="Times New Roman" w:hAnsi="Times New Roman" w:cs="Times New Roman"/>
          <w:b/>
          <w:bCs/>
        </w:rPr>
        <w:t>ДАНІ</w:t>
      </w:r>
      <w:r w:rsidRPr="001B11DC">
        <w:rPr>
          <w:rFonts w:ascii="Times New Roman" w:hAnsi="Times New Roman" w:cs="Times New Roman"/>
        </w:rPr>
        <w:br/>
      </w:r>
      <w:r w:rsidRPr="001B11DC">
        <w:rPr>
          <w:rFonts w:ascii="Times New Roman" w:hAnsi="Times New Roman" w:cs="Times New Roman"/>
          <w:b/>
          <w:bCs/>
        </w:rPr>
        <w:t>про доходи, витрати діяльності призначеного оператора поштового зв’язку щодо надання регульованих НКЕК поштових послуг, обсяги згрупованих видів поштових відправлень за попередній, базовий та планований періоди та розрахунок цін (тарифів) з урахуванням планових економічно обґрунтованих витрат щодо кожного згрупованого виду відправлень</w:t>
      </w:r>
    </w:p>
    <w:tbl>
      <w:tblPr>
        <w:tblW w:w="5000" w:type="pct"/>
        <w:tblCellMar>
          <w:top w:w="12" w:type="dxa"/>
          <w:left w:w="12" w:type="dxa"/>
          <w:bottom w:w="12" w:type="dxa"/>
          <w:right w:w="12" w:type="dxa"/>
        </w:tblCellMar>
        <w:tblLook w:val="04A0" w:firstRow="1" w:lastRow="0" w:firstColumn="1" w:lastColumn="0" w:noHBand="0" w:noVBand="1"/>
      </w:tblPr>
      <w:tblGrid>
        <w:gridCol w:w="633"/>
        <w:gridCol w:w="2835"/>
        <w:gridCol w:w="956"/>
        <w:gridCol w:w="749"/>
        <w:gridCol w:w="451"/>
        <w:gridCol w:w="451"/>
        <w:gridCol w:w="750"/>
        <w:gridCol w:w="451"/>
        <w:gridCol w:w="451"/>
        <w:gridCol w:w="750"/>
        <w:gridCol w:w="451"/>
        <w:gridCol w:w="451"/>
      </w:tblGrid>
      <w:tr w:rsidR="001B11DC" w:rsidRPr="001B11DC" w:rsidTr="001F316E">
        <w:trPr>
          <w:trHeight w:val="96"/>
        </w:trPr>
        <w:tc>
          <w:tcPr>
            <w:tcW w:w="408" w:type="dxa"/>
            <w:vMerge w:val="restart"/>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bookmarkStart w:id="153" w:name="n150"/>
            <w:bookmarkEnd w:id="153"/>
            <w:r w:rsidRPr="001B11DC">
              <w:rPr>
                <w:rFonts w:ascii="Times New Roman" w:hAnsi="Times New Roman" w:cs="Times New Roman"/>
                <w:lang w:val="ru-RU"/>
              </w:rPr>
              <w:t>№</w:t>
            </w:r>
            <w:r w:rsidRPr="001B11DC">
              <w:rPr>
                <w:rFonts w:ascii="Times New Roman" w:hAnsi="Times New Roman" w:cs="Times New Roman"/>
                <w:lang w:val="ru-RU"/>
              </w:rPr>
              <w:br/>
              <w:t>з/</w:t>
            </w:r>
            <w:proofErr w:type="gramStart"/>
            <w:r w:rsidRPr="001B11DC">
              <w:rPr>
                <w:rFonts w:ascii="Times New Roman" w:hAnsi="Times New Roman" w:cs="Times New Roman"/>
                <w:lang w:val="ru-RU"/>
              </w:rPr>
              <w:t>п</w:t>
            </w:r>
            <w:proofErr w:type="gramEnd"/>
          </w:p>
        </w:tc>
        <w:tc>
          <w:tcPr>
            <w:tcW w:w="2568" w:type="dxa"/>
            <w:vMerge w:val="restart"/>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Показники</w:t>
            </w:r>
          </w:p>
        </w:tc>
        <w:tc>
          <w:tcPr>
            <w:tcW w:w="828" w:type="dxa"/>
            <w:vMerge w:val="restart"/>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Одиниця виміру</w:t>
            </w:r>
          </w:p>
        </w:tc>
        <w:tc>
          <w:tcPr>
            <w:tcW w:w="1452" w:type="dxa"/>
            <w:gridSpan w:val="3"/>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Попередній</w:t>
            </w:r>
          </w:p>
        </w:tc>
        <w:tc>
          <w:tcPr>
            <w:tcW w:w="1452" w:type="dxa"/>
            <w:gridSpan w:val="3"/>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Базовий</w:t>
            </w:r>
          </w:p>
        </w:tc>
        <w:tc>
          <w:tcPr>
            <w:tcW w:w="1452" w:type="dxa"/>
            <w:gridSpan w:val="3"/>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Планований</w:t>
            </w:r>
          </w:p>
        </w:tc>
      </w:tr>
      <w:tr w:rsidR="001B11DC" w:rsidRPr="001B11DC" w:rsidTr="001F316E">
        <w:trPr>
          <w:trHeight w:val="9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316E" w:rsidRPr="001B11DC" w:rsidRDefault="001F316E" w:rsidP="001F316E">
            <w:pPr>
              <w:rPr>
                <w:rFonts w:ascii="Times New Roman" w:hAnsi="Times New Roman" w:cs="Times New Roman"/>
                <w:lang w:val="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316E" w:rsidRPr="001B11DC" w:rsidRDefault="001F316E" w:rsidP="001F316E">
            <w:pPr>
              <w:rPr>
                <w:rFonts w:ascii="Times New Roman" w:hAnsi="Times New Roman" w:cs="Times New Roman"/>
                <w:lang w:val="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316E" w:rsidRPr="001B11DC" w:rsidRDefault="001F316E" w:rsidP="001F316E">
            <w:pPr>
              <w:rPr>
                <w:rFonts w:ascii="Times New Roman" w:hAnsi="Times New Roman" w:cs="Times New Roman"/>
                <w:lang w:val="ru-RU"/>
              </w:rPr>
            </w:pPr>
          </w:p>
        </w:tc>
        <w:tc>
          <w:tcPr>
            <w:tcW w:w="1452" w:type="dxa"/>
            <w:gridSpan w:val="3"/>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(20__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ік)</w:t>
            </w:r>
          </w:p>
        </w:tc>
        <w:tc>
          <w:tcPr>
            <w:tcW w:w="1452" w:type="dxa"/>
            <w:gridSpan w:val="3"/>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(20__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ік)</w:t>
            </w:r>
          </w:p>
        </w:tc>
        <w:tc>
          <w:tcPr>
            <w:tcW w:w="1452" w:type="dxa"/>
            <w:gridSpan w:val="3"/>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(20__ </w:t>
            </w:r>
            <w:proofErr w:type="gramStart"/>
            <w:r w:rsidRPr="001B11DC">
              <w:rPr>
                <w:rFonts w:ascii="Times New Roman" w:hAnsi="Times New Roman" w:cs="Times New Roman"/>
                <w:lang w:val="ru-RU"/>
              </w:rPr>
              <w:t>р</w:t>
            </w:r>
            <w:proofErr w:type="gramEnd"/>
            <w:r w:rsidRPr="001B11DC">
              <w:rPr>
                <w:rFonts w:ascii="Times New Roman" w:hAnsi="Times New Roman" w:cs="Times New Roman"/>
                <w:lang w:val="ru-RU"/>
              </w:rPr>
              <w:t>ік)</w:t>
            </w:r>
          </w:p>
        </w:tc>
      </w:tr>
      <w:tr w:rsidR="001B11DC" w:rsidRPr="001B11DC" w:rsidTr="001F316E">
        <w:trPr>
          <w:trHeight w:val="9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316E" w:rsidRPr="001B11DC" w:rsidRDefault="001F316E" w:rsidP="001F316E">
            <w:pPr>
              <w:rPr>
                <w:rFonts w:ascii="Times New Roman" w:hAnsi="Times New Roman" w:cs="Times New Roman"/>
                <w:lang w:val="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316E" w:rsidRPr="001B11DC" w:rsidRDefault="001F316E" w:rsidP="001F316E">
            <w:pPr>
              <w:rPr>
                <w:rFonts w:ascii="Times New Roman" w:hAnsi="Times New Roman" w:cs="Times New Roman"/>
                <w:lang w:val="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316E" w:rsidRPr="001B11DC" w:rsidRDefault="001F316E" w:rsidP="001F316E">
            <w:pPr>
              <w:rPr>
                <w:rFonts w:ascii="Times New Roman" w:hAnsi="Times New Roman" w:cs="Times New Roman"/>
                <w:lang w:val="ru-RU"/>
              </w:rPr>
            </w:pP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Всього</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ІІ *</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Всього</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ІІ*</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Всього</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 *</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ІІ *</w:t>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3</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4</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5</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6</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7</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8</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9</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10</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11</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12</w:t>
            </w:r>
          </w:p>
        </w:tc>
      </w:tr>
      <w:tr w:rsidR="001B11DC" w:rsidRPr="001B11DC" w:rsidTr="001F316E">
        <w:trPr>
          <w:trHeight w:val="228"/>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Загальні доходи (без ПДВ)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r>
      <w:tr w:rsidR="001B11DC" w:rsidRPr="001B11DC" w:rsidTr="001F316E">
        <w:trPr>
          <w:trHeight w:val="228"/>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1.1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від надання послуг поштового зв’язку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r>
      <w:tr w:rsidR="001B11DC" w:rsidRPr="001B11DC" w:rsidTr="001F316E">
        <w:trPr>
          <w:trHeight w:val="228"/>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1.1.1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від надання регульованих НКЕК поштових послуг</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372"/>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Витрати з операційної діяльності на надання регульованих НКЕК поштових послуг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51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proofErr w:type="gramStart"/>
            <w:r w:rsidRPr="001B11DC">
              <w:rPr>
                <w:rFonts w:ascii="Times New Roman" w:hAnsi="Times New Roman" w:cs="Times New Roman"/>
                <w:lang w:val="ru-RU"/>
              </w:rPr>
              <w:t>Прям</w:t>
            </w:r>
            <w:proofErr w:type="gramEnd"/>
            <w:r w:rsidRPr="001B11DC">
              <w:rPr>
                <w:rFonts w:ascii="Times New Roman" w:hAnsi="Times New Roman" w:cs="Times New Roman"/>
                <w:lang w:val="ru-RU"/>
              </w:rPr>
              <w:t>і матеріальні витрати (матеріали, запасні частини, придбані комплектувальні вироби та інші матеріали, необхідні для забезпечення виробничого процесу)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228"/>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2.1.1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витрати на матеріали, запасні частини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228"/>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lastRenderedPageBreak/>
              <w:t>2.1.2</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витрати на знаки поштової оплати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228"/>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2.1.3</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витрати на придбані комплектувальні вироби, тощо</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228"/>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2.2</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proofErr w:type="gramStart"/>
            <w:r w:rsidRPr="001B11DC">
              <w:rPr>
                <w:rFonts w:ascii="Times New Roman" w:hAnsi="Times New Roman" w:cs="Times New Roman"/>
                <w:lang w:val="ru-RU"/>
              </w:rPr>
              <w:t>Прям</w:t>
            </w:r>
            <w:proofErr w:type="gramEnd"/>
            <w:r w:rsidRPr="001B11DC">
              <w:rPr>
                <w:rFonts w:ascii="Times New Roman" w:hAnsi="Times New Roman" w:cs="Times New Roman"/>
                <w:lang w:val="ru-RU"/>
              </w:rPr>
              <w:t>і витрати на оплату праці виробничого персоналу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228"/>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2.2.1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витрати з основної заробітної плати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228"/>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2.2.2</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витрати з додаткової заробітної плати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2.2.3</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інші заохочувальні й компенсаційні виплати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2.2.4</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норми часу (трудовитрати)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сек.</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2.3</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Інші прямі витрати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2.3.1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суми єдиного внеску на загальнообов’язкове державне </w:t>
            </w:r>
            <w:proofErr w:type="gramStart"/>
            <w:r w:rsidRPr="001B11DC">
              <w:rPr>
                <w:rFonts w:ascii="Times New Roman" w:hAnsi="Times New Roman" w:cs="Times New Roman"/>
                <w:lang w:val="ru-RU"/>
              </w:rPr>
              <w:t>соц</w:t>
            </w:r>
            <w:proofErr w:type="gramEnd"/>
            <w:r w:rsidRPr="001B11DC">
              <w:rPr>
                <w:rFonts w:ascii="Times New Roman" w:hAnsi="Times New Roman" w:cs="Times New Roman"/>
                <w:lang w:val="ru-RU"/>
              </w:rPr>
              <w:t>іальне страхування виробничого персоналу</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2.3.2</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амортизація основних виробничих засобів, інших необоротних матеріальних і нематеріальних активів виробничого призначення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2.3.3</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інші виробничі витрати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2.4</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Загальновиробничі витрати від надання послуг поштового зв’язку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2.4.1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витрати на оплату праці персоналу, пов’язаного з загальновиробничим процесом</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lastRenderedPageBreak/>
              <w:t>2.4.2</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єдиний внесок на загальнообов’язкове державне </w:t>
            </w:r>
            <w:proofErr w:type="gramStart"/>
            <w:r w:rsidRPr="001B11DC">
              <w:rPr>
                <w:rFonts w:ascii="Times New Roman" w:hAnsi="Times New Roman" w:cs="Times New Roman"/>
                <w:lang w:val="ru-RU"/>
              </w:rPr>
              <w:t>соц</w:t>
            </w:r>
            <w:proofErr w:type="gramEnd"/>
            <w:r w:rsidRPr="001B11DC">
              <w:rPr>
                <w:rFonts w:ascii="Times New Roman" w:hAnsi="Times New Roman" w:cs="Times New Roman"/>
                <w:lang w:val="ru-RU"/>
              </w:rPr>
              <w:t>іальне страхування;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2.4.3</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утримання, експлуатація, ремонт, страхування, основних засобі</w:t>
            </w:r>
            <w:proofErr w:type="gramStart"/>
            <w:r w:rsidRPr="001B11DC">
              <w:rPr>
                <w:rFonts w:ascii="Times New Roman" w:hAnsi="Times New Roman" w:cs="Times New Roman"/>
                <w:lang w:val="ru-RU"/>
              </w:rPr>
              <w:t>в</w:t>
            </w:r>
            <w:proofErr w:type="gramEnd"/>
            <w:r w:rsidRPr="001B11DC">
              <w:rPr>
                <w:rFonts w:ascii="Times New Roman" w:hAnsi="Times New Roman" w:cs="Times New Roman"/>
                <w:lang w:val="ru-RU"/>
              </w:rPr>
              <w:t xml:space="preserve"> </w:t>
            </w:r>
            <w:proofErr w:type="gramStart"/>
            <w:r w:rsidRPr="001B11DC">
              <w:rPr>
                <w:rFonts w:ascii="Times New Roman" w:hAnsi="Times New Roman" w:cs="Times New Roman"/>
                <w:lang w:val="ru-RU"/>
              </w:rPr>
              <w:t>та</w:t>
            </w:r>
            <w:proofErr w:type="gramEnd"/>
            <w:r w:rsidRPr="001B11DC">
              <w:rPr>
                <w:rFonts w:ascii="Times New Roman" w:hAnsi="Times New Roman" w:cs="Times New Roman"/>
                <w:lang w:val="ru-RU"/>
              </w:rPr>
              <w:t xml:space="preserve"> інших необоротних активів загальновиробничого призначення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2.4.4</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оренда основних засобі</w:t>
            </w:r>
            <w:proofErr w:type="gramStart"/>
            <w:r w:rsidRPr="001B11DC">
              <w:rPr>
                <w:rFonts w:ascii="Times New Roman" w:hAnsi="Times New Roman" w:cs="Times New Roman"/>
                <w:lang w:val="ru-RU"/>
              </w:rPr>
              <w:t>в</w:t>
            </w:r>
            <w:proofErr w:type="gramEnd"/>
            <w:r w:rsidRPr="001B11DC">
              <w:rPr>
                <w:rFonts w:ascii="Times New Roman" w:hAnsi="Times New Roman" w:cs="Times New Roman"/>
                <w:lang w:val="ru-RU"/>
              </w:rPr>
              <w:t xml:space="preserve"> </w:t>
            </w:r>
            <w:proofErr w:type="gramStart"/>
            <w:r w:rsidRPr="001B11DC">
              <w:rPr>
                <w:rFonts w:ascii="Times New Roman" w:hAnsi="Times New Roman" w:cs="Times New Roman"/>
                <w:lang w:val="ru-RU"/>
              </w:rPr>
              <w:t>та</w:t>
            </w:r>
            <w:proofErr w:type="gramEnd"/>
            <w:r w:rsidRPr="001B11DC">
              <w:rPr>
                <w:rFonts w:ascii="Times New Roman" w:hAnsi="Times New Roman" w:cs="Times New Roman"/>
                <w:lang w:val="ru-RU"/>
              </w:rPr>
              <w:t xml:space="preserve"> інших необоротних активів загальновиробничого призначення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2.4.5</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опалення, освітлення, водопостачання, водовідведення та утримання виробничих приміщень</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2.4.6</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обслуговування виробничого процесу та інших допоміжних виробництв</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2.4.7</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амортизація основних засобів, інших необоротних матеріальних і нематеріальних активів загальновиробничого призначення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2.5</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іністративні витрати від надання послуг поштового зв’язку,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2.5.1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витрати на оплату праці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іністративного персоналу;</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2.5.2</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єдиний внесок на загальнообов’язкове державне </w:t>
            </w:r>
            <w:proofErr w:type="gramStart"/>
            <w:r w:rsidRPr="001B11DC">
              <w:rPr>
                <w:rFonts w:ascii="Times New Roman" w:hAnsi="Times New Roman" w:cs="Times New Roman"/>
                <w:lang w:val="ru-RU"/>
              </w:rPr>
              <w:t>соц</w:t>
            </w:r>
            <w:proofErr w:type="gramEnd"/>
            <w:r w:rsidRPr="001B11DC">
              <w:rPr>
                <w:rFonts w:ascii="Times New Roman" w:hAnsi="Times New Roman" w:cs="Times New Roman"/>
                <w:lang w:val="ru-RU"/>
              </w:rPr>
              <w:t>іальне страхування;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2.5.3</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амортизація основних засобів, інших необоротних матеріальних і нематеріальних активів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 xml:space="preserve">іністративного </w:t>
            </w:r>
            <w:r w:rsidRPr="001B11DC">
              <w:rPr>
                <w:rFonts w:ascii="Times New Roman" w:hAnsi="Times New Roman" w:cs="Times New Roman"/>
                <w:lang w:val="ru-RU"/>
              </w:rPr>
              <w:lastRenderedPageBreak/>
              <w:t>призначення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lastRenderedPageBreak/>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lastRenderedPageBreak/>
              <w:t>2.5.4</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утримання основних засобів, інших необоротних матеріальних активів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іністративного призначення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2.5.5</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оплата професійних послуг (юридичних, аудиторських), послуг зв’язку, розрахунково-касового обслуговування та інших послуг банків, наданих відповідно до укладених договорів, сплата податків і зборів (платежів), </w:t>
            </w:r>
            <w:proofErr w:type="gramStart"/>
            <w:r w:rsidRPr="001B11DC">
              <w:rPr>
                <w:rFonts w:ascii="Times New Roman" w:hAnsi="Times New Roman" w:cs="Times New Roman"/>
                <w:lang w:val="ru-RU"/>
              </w:rPr>
              <w:t>кр</w:t>
            </w:r>
            <w:proofErr w:type="gramEnd"/>
            <w:r w:rsidRPr="001B11DC">
              <w:rPr>
                <w:rFonts w:ascii="Times New Roman" w:hAnsi="Times New Roman" w:cs="Times New Roman"/>
                <w:lang w:val="ru-RU"/>
              </w:rPr>
              <w:t>ім тих, що включаються до планованої собівартості</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2.5.6</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інші </w:t>
            </w:r>
            <w:proofErr w:type="gramStart"/>
            <w:r w:rsidRPr="001B11DC">
              <w:rPr>
                <w:rFonts w:ascii="Times New Roman" w:hAnsi="Times New Roman" w:cs="Times New Roman"/>
                <w:lang w:val="ru-RU"/>
              </w:rPr>
              <w:t>адм</w:t>
            </w:r>
            <w:proofErr w:type="gramEnd"/>
            <w:r w:rsidRPr="001B11DC">
              <w:rPr>
                <w:rFonts w:ascii="Times New Roman" w:hAnsi="Times New Roman" w:cs="Times New Roman"/>
                <w:lang w:val="ru-RU"/>
              </w:rPr>
              <w:t>іністративні витрати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Витрати на збут від надання послуг поштового зв’язку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витрати на оплату праці персоналу, який забезпечує збут послуг;</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2.6.2</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єдиний внесок на загальнообов’язкове державне </w:t>
            </w:r>
            <w:proofErr w:type="gramStart"/>
            <w:r w:rsidRPr="001B11DC">
              <w:rPr>
                <w:rFonts w:ascii="Times New Roman" w:hAnsi="Times New Roman" w:cs="Times New Roman"/>
                <w:lang w:val="ru-RU"/>
              </w:rPr>
              <w:t>соц</w:t>
            </w:r>
            <w:proofErr w:type="gramEnd"/>
            <w:r w:rsidRPr="001B11DC">
              <w:rPr>
                <w:rFonts w:ascii="Times New Roman" w:hAnsi="Times New Roman" w:cs="Times New Roman"/>
                <w:lang w:val="ru-RU"/>
              </w:rPr>
              <w:t>іальне страхування;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2.6.3</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службові відрядження персоналу, </w:t>
            </w:r>
            <w:proofErr w:type="gramStart"/>
            <w:r w:rsidRPr="001B11DC">
              <w:rPr>
                <w:rFonts w:ascii="Times New Roman" w:hAnsi="Times New Roman" w:cs="Times New Roman"/>
                <w:lang w:val="ru-RU"/>
              </w:rPr>
              <w:t>пов’язан</w:t>
            </w:r>
            <w:proofErr w:type="gramEnd"/>
            <w:r w:rsidRPr="001B11DC">
              <w:rPr>
                <w:rFonts w:ascii="Times New Roman" w:hAnsi="Times New Roman" w:cs="Times New Roman"/>
                <w:lang w:val="ru-RU"/>
              </w:rPr>
              <w:t>і з вирішенням питань реалізації послуг;</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2.6.4</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інформаційні послуги;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2.6.5</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виготовлення розрахункових документі</w:t>
            </w:r>
            <w:proofErr w:type="gramStart"/>
            <w:r w:rsidRPr="001B11DC">
              <w:rPr>
                <w:rFonts w:ascii="Times New Roman" w:hAnsi="Times New Roman" w:cs="Times New Roman"/>
                <w:lang w:val="ru-RU"/>
              </w:rPr>
              <w:t>в</w:t>
            </w:r>
            <w:proofErr w:type="gramEnd"/>
            <w:r w:rsidRPr="001B11DC">
              <w:rPr>
                <w:rFonts w:ascii="Times New Roman" w:hAnsi="Times New Roman" w:cs="Times New Roman"/>
                <w:lang w:val="ru-RU"/>
              </w:rPr>
              <w:t>;</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2.6.6</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амортизація та утримання основних засобів, інших необоротних матеріальних і нематеріальних активів, </w:t>
            </w:r>
            <w:r w:rsidRPr="001B11DC">
              <w:rPr>
                <w:rFonts w:ascii="Times New Roman" w:hAnsi="Times New Roman" w:cs="Times New Roman"/>
                <w:lang w:val="ru-RU"/>
              </w:rPr>
              <w:lastRenderedPageBreak/>
              <w:t>пов’язаних із збутом послуг;</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lastRenderedPageBreak/>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lastRenderedPageBreak/>
              <w:t>2.6.7</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 xml:space="preserve">збереження продукції, тари, упаковки, передпродажна </w:t>
            </w: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ідготовка;</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2.6.8</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транспортування;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2.6.9</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proofErr w:type="gramStart"/>
            <w:r w:rsidRPr="001B11DC">
              <w:rPr>
                <w:rFonts w:ascii="Times New Roman" w:hAnsi="Times New Roman" w:cs="Times New Roman"/>
                <w:lang w:val="ru-RU"/>
              </w:rPr>
              <w:t>п</w:t>
            </w:r>
            <w:proofErr w:type="gramEnd"/>
            <w:r w:rsidRPr="001B11DC">
              <w:rPr>
                <w:rFonts w:ascii="Times New Roman" w:hAnsi="Times New Roman" w:cs="Times New Roman"/>
                <w:lang w:val="ru-RU"/>
              </w:rPr>
              <w:t>ідвищення кваліфікації та перепідготовка кадрів;</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2.6.10</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супровід програмного забезпечення;</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2.6.11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проведення маркетингових заході</w:t>
            </w:r>
            <w:proofErr w:type="gramStart"/>
            <w:r w:rsidRPr="001B11DC">
              <w:rPr>
                <w:rFonts w:ascii="Times New Roman" w:hAnsi="Times New Roman" w:cs="Times New Roman"/>
                <w:lang w:val="ru-RU"/>
              </w:rPr>
              <w:t>в</w:t>
            </w:r>
            <w:proofErr w:type="gramEnd"/>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2.7</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Інші витрати з операційної діяльності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2.7.1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придбання форменого одягу персоналу</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3</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Фінансові витрати</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4</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Прибуток всього, у т.ч.:</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4.1</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інвестиційна складова</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4.2</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прибуток, що спрямовується на досягнення інших цілей</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4.3</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податок на прибуток</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5</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Загальні витрати на надання регульованих НКЕК поштових послуг (сума рядків 2, 3 та 4)</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.г</w:t>
            </w:r>
            <w:proofErr w:type="gramEnd"/>
            <w:r w:rsidRPr="001B11DC">
              <w:rPr>
                <w:rFonts w:ascii="Times New Roman" w:hAnsi="Times New Roman" w:cs="Times New Roman"/>
                <w:lang w:val="ru-RU"/>
              </w:rPr>
              <w:t>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6</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Обсяги наданих регульованих НКЕК поштових послуг</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тис</w:t>
            </w:r>
            <w:proofErr w:type="gramStart"/>
            <w:r w:rsidRPr="001B11DC">
              <w:rPr>
                <w:rFonts w:ascii="Times New Roman" w:hAnsi="Times New Roman" w:cs="Times New Roman"/>
                <w:lang w:val="ru-RU"/>
              </w:rPr>
              <w:t>.о</w:t>
            </w:r>
            <w:proofErr w:type="gramEnd"/>
            <w:r w:rsidRPr="001B11DC">
              <w:rPr>
                <w:rFonts w:ascii="Times New Roman" w:hAnsi="Times New Roman" w:cs="Times New Roman"/>
                <w:lang w:val="ru-RU"/>
              </w:rPr>
              <w:t>д.</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r w:rsidR="001B11DC" w:rsidRPr="001B11DC" w:rsidTr="001F316E">
        <w:trPr>
          <w:trHeight w:val="96"/>
        </w:trPr>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7</w:t>
            </w:r>
          </w:p>
        </w:tc>
        <w:tc>
          <w:tcPr>
            <w:tcW w:w="256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proofErr w:type="gramStart"/>
            <w:r w:rsidRPr="001B11DC">
              <w:rPr>
                <w:rFonts w:ascii="Times New Roman" w:hAnsi="Times New Roman" w:cs="Times New Roman"/>
                <w:lang w:val="ru-RU"/>
              </w:rPr>
              <w:t>Ц</w:t>
            </w:r>
            <w:proofErr w:type="gramEnd"/>
            <w:r w:rsidRPr="001B11DC">
              <w:rPr>
                <w:rFonts w:ascii="Times New Roman" w:hAnsi="Times New Roman" w:cs="Times New Roman"/>
                <w:lang w:val="ru-RU"/>
              </w:rPr>
              <w:t>іна (тариф)</w:t>
            </w:r>
          </w:p>
        </w:tc>
        <w:tc>
          <w:tcPr>
            <w:tcW w:w="82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грн</w:t>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636"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b/>
                <w:bCs/>
                <w:lang w:val="ru-RU"/>
              </w:rPr>
              <w:t>×</w:t>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c>
          <w:tcPr>
            <w:tcW w:w="408" w:type="dxa"/>
            <w:tcBorders>
              <w:top w:val="single" w:sz="6" w:space="0" w:color="000000"/>
              <w:left w:val="single" w:sz="6" w:space="0" w:color="000000"/>
              <w:bottom w:val="single" w:sz="6" w:space="0" w:color="000000"/>
              <w:right w:val="single" w:sz="6" w:space="0" w:color="000000"/>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br/>
            </w:r>
          </w:p>
        </w:tc>
      </w:tr>
    </w:tbl>
    <w:p w:rsidR="001F316E" w:rsidRPr="001B11DC" w:rsidRDefault="001F316E" w:rsidP="001F316E">
      <w:pPr>
        <w:rPr>
          <w:rFonts w:ascii="Times New Roman" w:hAnsi="Times New Roman" w:cs="Times New Roman"/>
          <w:lang w:val="ru-RU"/>
        </w:rPr>
      </w:pPr>
      <w:bookmarkStart w:id="154" w:name="n151"/>
      <w:bookmarkEnd w:id="154"/>
      <w:r w:rsidRPr="001B11DC">
        <w:rPr>
          <w:rFonts w:ascii="Times New Roman" w:hAnsi="Times New Roman" w:cs="Times New Roman"/>
          <w:lang w:val="ru-RU"/>
        </w:rPr>
        <w:t>__________</w:t>
      </w:r>
      <w:r w:rsidRPr="001B11DC">
        <w:rPr>
          <w:rFonts w:ascii="Times New Roman" w:hAnsi="Times New Roman" w:cs="Times New Roman"/>
          <w:lang w:val="ru-RU"/>
        </w:rPr>
        <w:br/>
        <w:t>* - згрупований вид відправлень</w:t>
      </w:r>
    </w:p>
    <w:p w:rsidR="001F316E" w:rsidRPr="001B11DC" w:rsidRDefault="001B11DC" w:rsidP="001F316E">
      <w:pPr>
        <w:rPr>
          <w:rFonts w:ascii="Times New Roman" w:hAnsi="Times New Roman" w:cs="Times New Roman"/>
          <w:lang w:val="ru-RU"/>
        </w:rPr>
      </w:pPr>
      <w:r w:rsidRPr="001B11DC">
        <w:rPr>
          <w:rFonts w:ascii="Times New Roman" w:hAnsi="Times New Roman" w:cs="Times New Roman"/>
          <w:lang w:val="ru-RU"/>
        </w:rPr>
        <w:lastRenderedPageBreak/>
        <w:pict>
          <v:rect id="_x0000_i1027" style="width:0;height:0" o:hralign="center" o:hrstd="t" o:hrnoshade="t" o:hr="t" fillcolor="black" stroked="f"/>
        </w:pict>
      </w:r>
    </w:p>
    <w:p w:rsidR="001F316E" w:rsidRPr="001B11DC" w:rsidRDefault="001F316E" w:rsidP="001F316E">
      <w:pPr>
        <w:rPr>
          <w:rFonts w:ascii="Times New Roman" w:hAnsi="Times New Roman" w:cs="Times New Roman"/>
          <w:lang w:val="ru-RU"/>
        </w:rPr>
      </w:pPr>
      <w:bookmarkStart w:id="155" w:name="n154"/>
      <w:bookmarkEnd w:id="155"/>
      <w:r w:rsidRPr="001B11DC">
        <w:rPr>
          <w:rFonts w:ascii="Times New Roman" w:hAnsi="Times New Roman" w:cs="Times New Roman"/>
          <w:lang w:val="ru-RU"/>
        </w:rPr>
        <w:br/>
      </w:r>
    </w:p>
    <w:tbl>
      <w:tblPr>
        <w:tblW w:w="5000" w:type="pct"/>
        <w:tblCellMar>
          <w:left w:w="0" w:type="dxa"/>
          <w:right w:w="0" w:type="dxa"/>
        </w:tblCellMar>
        <w:tblLook w:val="04A0" w:firstRow="1" w:lastRow="0" w:firstColumn="1" w:lastColumn="0" w:noHBand="0" w:noVBand="1"/>
      </w:tblPr>
      <w:tblGrid>
        <w:gridCol w:w="4956"/>
        <w:gridCol w:w="4405"/>
      </w:tblGrid>
      <w:tr w:rsidR="001B11DC" w:rsidRPr="001B11DC" w:rsidTr="001F316E">
        <w:tc>
          <w:tcPr>
            <w:tcW w:w="2250" w:type="pct"/>
            <w:tcBorders>
              <w:top w:val="single" w:sz="2" w:space="0" w:color="auto"/>
              <w:left w:val="single" w:sz="2" w:space="0" w:color="auto"/>
              <w:bottom w:val="single" w:sz="2" w:space="0" w:color="auto"/>
              <w:right w:val="single" w:sz="2" w:space="0" w:color="auto"/>
            </w:tcBorders>
            <w:hideMark/>
          </w:tcPr>
          <w:p w:rsidR="00665D52" w:rsidRPr="001B11DC" w:rsidRDefault="00665D52" w:rsidP="001F316E">
            <w:pPr>
              <w:rPr>
                <w:rFonts w:ascii="Times New Roman" w:hAnsi="Times New Roman" w:cs="Times New Roman"/>
                <w:lang w:val="ru-RU"/>
              </w:rPr>
            </w:pPr>
            <w:bookmarkStart w:id="156" w:name="n152"/>
            <w:bookmarkEnd w:id="156"/>
          </w:p>
        </w:tc>
        <w:tc>
          <w:tcPr>
            <w:tcW w:w="2000" w:type="pct"/>
            <w:tcBorders>
              <w:top w:val="single" w:sz="2" w:space="0" w:color="auto"/>
              <w:left w:val="single" w:sz="2" w:space="0" w:color="auto"/>
              <w:bottom w:val="single" w:sz="2" w:space="0" w:color="auto"/>
              <w:right w:val="single" w:sz="2" w:space="0" w:color="auto"/>
            </w:tcBorders>
            <w:hideMark/>
          </w:tcPr>
          <w:p w:rsidR="00665D52" w:rsidRPr="001B11DC" w:rsidRDefault="001F316E" w:rsidP="001F316E">
            <w:pPr>
              <w:rPr>
                <w:rFonts w:ascii="Times New Roman" w:hAnsi="Times New Roman" w:cs="Times New Roman"/>
                <w:lang w:val="ru-RU"/>
              </w:rPr>
            </w:pPr>
            <w:r w:rsidRPr="001B11DC">
              <w:rPr>
                <w:rFonts w:ascii="Times New Roman" w:hAnsi="Times New Roman" w:cs="Times New Roman"/>
                <w:lang w:val="ru-RU"/>
              </w:rPr>
              <w:t>Додаток 2</w:t>
            </w:r>
            <w:r w:rsidRPr="001B11DC">
              <w:rPr>
                <w:rFonts w:ascii="Times New Roman" w:hAnsi="Times New Roman" w:cs="Times New Roman"/>
                <w:lang w:val="ru-RU"/>
              </w:rPr>
              <w:br/>
              <w:t>до Порядку регулювання</w:t>
            </w:r>
            <w:r w:rsidRPr="001B11DC">
              <w:rPr>
                <w:rFonts w:ascii="Times New Roman" w:hAnsi="Times New Roman" w:cs="Times New Roman"/>
                <w:lang w:val="ru-RU"/>
              </w:rPr>
              <w:br/>
              <w:t>та встановлення цін (тарифів)</w:t>
            </w:r>
            <w:r w:rsidRPr="001B11DC">
              <w:rPr>
                <w:rFonts w:ascii="Times New Roman" w:hAnsi="Times New Roman" w:cs="Times New Roman"/>
                <w:lang w:val="ru-RU"/>
              </w:rPr>
              <w:br/>
              <w:t>на послуги поштового зв’язку</w:t>
            </w:r>
            <w:r w:rsidRPr="001B11DC">
              <w:rPr>
                <w:rFonts w:ascii="Times New Roman" w:hAnsi="Times New Roman" w:cs="Times New Roman"/>
                <w:lang w:val="ru-RU"/>
              </w:rPr>
              <w:br/>
              <w:t>з пересилання внутрішніх простих</w:t>
            </w:r>
            <w:r w:rsidRPr="001B11DC">
              <w:rPr>
                <w:rFonts w:ascii="Times New Roman" w:hAnsi="Times New Roman" w:cs="Times New Roman"/>
                <w:lang w:val="ru-RU"/>
              </w:rPr>
              <w:br/>
              <w:t>та реєстрованих листів без оголошеної</w:t>
            </w:r>
            <w:r w:rsidRPr="001B11DC">
              <w:rPr>
                <w:rFonts w:ascii="Times New Roman" w:hAnsi="Times New Roman" w:cs="Times New Roman"/>
                <w:lang w:val="ru-RU"/>
              </w:rPr>
              <w:br/>
              <w:t>цінності (рекомендованих) масою</w:t>
            </w:r>
            <w:r w:rsidRPr="001B11DC">
              <w:rPr>
                <w:rFonts w:ascii="Times New Roman" w:hAnsi="Times New Roman" w:cs="Times New Roman"/>
                <w:lang w:val="ru-RU"/>
              </w:rPr>
              <w:br/>
              <w:t xml:space="preserve">до 50 </w:t>
            </w:r>
            <w:proofErr w:type="gramStart"/>
            <w:r w:rsidRPr="001B11DC">
              <w:rPr>
                <w:rFonts w:ascii="Times New Roman" w:hAnsi="Times New Roman" w:cs="Times New Roman"/>
                <w:lang w:val="ru-RU"/>
              </w:rPr>
              <w:t>грам</w:t>
            </w:r>
            <w:proofErr w:type="gramEnd"/>
            <w:r w:rsidRPr="001B11DC">
              <w:rPr>
                <w:rFonts w:ascii="Times New Roman" w:hAnsi="Times New Roman" w:cs="Times New Roman"/>
                <w:lang w:val="ru-RU"/>
              </w:rPr>
              <w:t>ів і поштових карток</w:t>
            </w:r>
            <w:r w:rsidRPr="001B11DC">
              <w:rPr>
                <w:rFonts w:ascii="Times New Roman" w:hAnsi="Times New Roman" w:cs="Times New Roman"/>
                <w:lang w:val="ru-RU"/>
              </w:rPr>
              <w:br/>
              <w:t>(підпункт 4 пункту 2 розділу V)</w:t>
            </w:r>
          </w:p>
        </w:tc>
      </w:tr>
    </w:tbl>
    <w:bookmarkStart w:id="157" w:name="n153"/>
    <w:bookmarkEnd w:id="157"/>
    <w:p w:rsidR="001F316E" w:rsidRPr="001B11DC" w:rsidRDefault="001F316E" w:rsidP="001F316E">
      <w:pPr>
        <w:ind w:left="225" w:right="225"/>
        <w:jc w:val="center"/>
        <w:rPr>
          <w:rFonts w:ascii="Times New Roman" w:hAnsi="Times New Roman" w:cs="Times New Roman"/>
          <w:lang w:val="ru-RU"/>
        </w:rPr>
      </w:pPr>
      <w:r w:rsidRPr="001B11DC">
        <w:rPr>
          <w:rFonts w:ascii="Times New Roman" w:hAnsi="Times New Roman" w:cs="Times New Roman"/>
          <w:lang w:val="ru-RU"/>
        </w:rPr>
        <w:fldChar w:fldCharType="begin"/>
      </w:r>
      <w:r w:rsidRPr="001B11DC">
        <w:rPr>
          <w:rFonts w:ascii="Times New Roman" w:hAnsi="Times New Roman" w:cs="Times New Roman"/>
          <w:lang w:val="ru-RU"/>
        </w:rPr>
        <w:instrText xml:space="preserve"> HYPERLINK "https://zakon.rada.gov.ua/laws/file/text/107/f527632n157.docx" </w:instrText>
      </w:r>
      <w:r w:rsidRPr="001B11DC">
        <w:rPr>
          <w:rFonts w:ascii="Times New Roman" w:hAnsi="Times New Roman" w:cs="Times New Roman"/>
          <w:lang w:val="ru-RU"/>
        </w:rPr>
        <w:fldChar w:fldCharType="separate"/>
      </w:r>
      <w:r w:rsidRPr="001B11DC">
        <w:rPr>
          <w:rStyle w:val="a4"/>
          <w:rFonts w:ascii="Times New Roman" w:hAnsi="Times New Roman" w:cs="Times New Roman"/>
          <w:b/>
          <w:bCs/>
          <w:color w:val="auto"/>
          <w:lang w:val="ru-RU"/>
        </w:rPr>
        <w:t>ПОРІВНЯЛЬНА ТАБЛИЦЯ</w:t>
      </w:r>
      <w:r w:rsidRPr="001B11DC">
        <w:rPr>
          <w:rFonts w:ascii="Times New Roman" w:hAnsi="Times New Roman" w:cs="Times New Roman"/>
        </w:rPr>
        <w:fldChar w:fldCharType="end"/>
      </w:r>
      <w:r w:rsidRPr="001B11DC">
        <w:rPr>
          <w:rFonts w:ascii="Times New Roman" w:hAnsi="Times New Roman" w:cs="Times New Roman"/>
          <w:lang w:val="ru-RU"/>
        </w:rPr>
        <w:br/>
      </w:r>
      <w:proofErr w:type="gramStart"/>
      <w:r w:rsidRPr="001B11DC">
        <w:rPr>
          <w:rFonts w:ascii="Times New Roman" w:hAnsi="Times New Roman" w:cs="Times New Roman"/>
          <w:b/>
          <w:bCs/>
          <w:lang w:val="ru-RU"/>
        </w:rPr>
        <w:t>оплати праці штатних та в еквіваленті повної зайнятості працівник</w:t>
      </w:r>
      <w:proofErr w:type="gramEnd"/>
      <w:r w:rsidRPr="001B11DC">
        <w:rPr>
          <w:rFonts w:ascii="Times New Roman" w:hAnsi="Times New Roman" w:cs="Times New Roman"/>
          <w:b/>
          <w:bCs/>
          <w:lang w:val="ru-RU"/>
        </w:rPr>
        <w:t>ів призначеного оператора поштового зв’язку за попередній, базовий та планований періоди</w:t>
      </w:r>
    </w:p>
    <w:p w:rsidR="00202E02" w:rsidRPr="001B11DC" w:rsidRDefault="00202E02">
      <w:pPr>
        <w:rPr>
          <w:rFonts w:ascii="Times New Roman" w:hAnsi="Times New Roman" w:cs="Times New Roman"/>
          <w:lang w:val="ru-RU"/>
        </w:rPr>
      </w:pPr>
    </w:p>
    <w:sectPr w:rsidR="00202E02" w:rsidRPr="001B11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7E"/>
    <w:rsid w:val="001B11DC"/>
    <w:rsid w:val="001F316E"/>
    <w:rsid w:val="00202E02"/>
    <w:rsid w:val="0047387E"/>
    <w:rsid w:val="00665D52"/>
    <w:rsid w:val="007002EB"/>
    <w:rsid w:val="00875938"/>
    <w:rsid w:val="00AD1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1F316E"/>
  </w:style>
  <w:style w:type="paragraph" w:customStyle="1" w:styleId="rvps4">
    <w:name w:val="rvps4"/>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1F316E"/>
  </w:style>
  <w:style w:type="character" w:customStyle="1" w:styleId="rvts23">
    <w:name w:val="rvts23"/>
    <w:basedOn w:val="a0"/>
    <w:rsid w:val="001F316E"/>
  </w:style>
  <w:style w:type="paragraph" w:customStyle="1" w:styleId="rvps7">
    <w:name w:val="rvps7"/>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1F316E"/>
  </w:style>
  <w:style w:type="paragraph" w:customStyle="1" w:styleId="rvps14">
    <w:name w:val="rvps14"/>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6">
    <w:name w:val="rvps6"/>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3">
    <w:name w:val="Emphasis"/>
    <w:basedOn w:val="a0"/>
    <w:uiPriority w:val="20"/>
    <w:qFormat/>
    <w:rsid w:val="001F316E"/>
    <w:rPr>
      <w:i/>
      <w:iCs/>
    </w:rPr>
  </w:style>
  <w:style w:type="paragraph" w:customStyle="1" w:styleId="rvps18">
    <w:name w:val="rvps18"/>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basedOn w:val="a0"/>
    <w:uiPriority w:val="99"/>
    <w:unhideWhenUsed/>
    <w:rsid w:val="001F316E"/>
    <w:rPr>
      <w:color w:val="0000FF"/>
      <w:u w:val="single"/>
    </w:rPr>
  </w:style>
  <w:style w:type="character" w:styleId="a5">
    <w:name w:val="FollowedHyperlink"/>
    <w:basedOn w:val="a0"/>
    <w:uiPriority w:val="99"/>
    <w:semiHidden/>
    <w:unhideWhenUsed/>
    <w:rsid w:val="001F316E"/>
    <w:rPr>
      <w:color w:val="800080"/>
      <w:u w:val="single"/>
    </w:rPr>
  </w:style>
  <w:style w:type="paragraph" w:customStyle="1" w:styleId="rvps2">
    <w:name w:val="rvps2"/>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52">
    <w:name w:val="rvts52"/>
    <w:basedOn w:val="a0"/>
    <w:rsid w:val="001F316E"/>
  </w:style>
  <w:style w:type="character" w:customStyle="1" w:styleId="rvts44">
    <w:name w:val="rvts44"/>
    <w:basedOn w:val="a0"/>
    <w:rsid w:val="001F316E"/>
  </w:style>
  <w:style w:type="paragraph" w:customStyle="1" w:styleId="rvps15">
    <w:name w:val="rvps15"/>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8">
    <w:name w:val="rvps8"/>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2">
    <w:name w:val="rvts82"/>
    <w:basedOn w:val="a0"/>
    <w:rsid w:val="001F316E"/>
  </w:style>
  <w:style w:type="paragraph" w:styleId="a6">
    <w:name w:val="Normal (Web)"/>
    <w:basedOn w:val="a"/>
    <w:uiPriority w:val="99"/>
    <w:semiHidden/>
    <w:unhideWhenUsed/>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1F316E"/>
  </w:style>
  <w:style w:type="paragraph" w:customStyle="1" w:styleId="rvps12">
    <w:name w:val="rvps12"/>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1">
    <w:name w:val="rvps11"/>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0">
    <w:name w:val="rvts80"/>
    <w:basedOn w:val="a0"/>
    <w:rsid w:val="001F316E"/>
  </w:style>
  <w:style w:type="paragraph" w:styleId="a7">
    <w:name w:val="Balloon Text"/>
    <w:basedOn w:val="a"/>
    <w:link w:val="a8"/>
    <w:uiPriority w:val="99"/>
    <w:semiHidden/>
    <w:unhideWhenUsed/>
    <w:rsid w:val="001F316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F316E"/>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1F316E"/>
  </w:style>
  <w:style w:type="paragraph" w:customStyle="1" w:styleId="rvps4">
    <w:name w:val="rvps4"/>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1F316E"/>
  </w:style>
  <w:style w:type="character" w:customStyle="1" w:styleId="rvts23">
    <w:name w:val="rvts23"/>
    <w:basedOn w:val="a0"/>
    <w:rsid w:val="001F316E"/>
  </w:style>
  <w:style w:type="paragraph" w:customStyle="1" w:styleId="rvps7">
    <w:name w:val="rvps7"/>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1F316E"/>
  </w:style>
  <w:style w:type="paragraph" w:customStyle="1" w:styleId="rvps14">
    <w:name w:val="rvps14"/>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6">
    <w:name w:val="rvps6"/>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3">
    <w:name w:val="Emphasis"/>
    <w:basedOn w:val="a0"/>
    <w:uiPriority w:val="20"/>
    <w:qFormat/>
    <w:rsid w:val="001F316E"/>
    <w:rPr>
      <w:i/>
      <w:iCs/>
    </w:rPr>
  </w:style>
  <w:style w:type="paragraph" w:customStyle="1" w:styleId="rvps18">
    <w:name w:val="rvps18"/>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basedOn w:val="a0"/>
    <w:uiPriority w:val="99"/>
    <w:unhideWhenUsed/>
    <w:rsid w:val="001F316E"/>
    <w:rPr>
      <w:color w:val="0000FF"/>
      <w:u w:val="single"/>
    </w:rPr>
  </w:style>
  <w:style w:type="character" w:styleId="a5">
    <w:name w:val="FollowedHyperlink"/>
    <w:basedOn w:val="a0"/>
    <w:uiPriority w:val="99"/>
    <w:semiHidden/>
    <w:unhideWhenUsed/>
    <w:rsid w:val="001F316E"/>
    <w:rPr>
      <w:color w:val="800080"/>
      <w:u w:val="single"/>
    </w:rPr>
  </w:style>
  <w:style w:type="paragraph" w:customStyle="1" w:styleId="rvps2">
    <w:name w:val="rvps2"/>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52">
    <w:name w:val="rvts52"/>
    <w:basedOn w:val="a0"/>
    <w:rsid w:val="001F316E"/>
  </w:style>
  <w:style w:type="character" w:customStyle="1" w:styleId="rvts44">
    <w:name w:val="rvts44"/>
    <w:basedOn w:val="a0"/>
    <w:rsid w:val="001F316E"/>
  </w:style>
  <w:style w:type="paragraph" w:customStyle="1" w:styleId="rvps15">
    <w:name w:val="rvps15"/>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8">
    <w:name w:val="rvps8"/>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2">
    <w:name w:val="rvts82"/>
    <w:basedOn w:val="a0"/>
    <w:rsid w:val="001F316E"/>
  </w:style>
  <w:style w:type="paragraph" w:styleId="a6">
    <w:name w:val="Normal (Web)"/>
    <w:basedOn w:val="a"/>
    <w:uiPriority w:val="99"/>
    <w:semiHidden/>
    <w:unhideWhenUsed/>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1F316E"/>
  </w:style>
  <w:style w:type="paragraph" w:customStyle="1" w:styleId="rvps12">
    <w:name w:val="rvps12"/>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1">
    <w:name w:val="rvps11"/>
    <w:basedOn w:val="a"/>
    <w:rsid w:val="001F31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0">
    <w:name w:val="rvts80"/>
    <w:basedOn w:val="a0"/>
    <w:rsid w:val="001F316E"/>
  </w:style>
  <w:style w:type="paragraph" w:styleId="a7">
    <w:name w:val="Balloon Text"/>
    <w:basedOn w:val="a"/>
    <w:link w:val="a8"/>
    <w:uiPriority w:val="99"/>
    <w:semiHidden/>
    <w:unhideWhenUsed/>
    <w:rsid w:val="001F316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F316E"/>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172027">
      <w:bodyDiv w:val="1"/>
      <w:marLeft w:val="0"/>
      <w:marRight w:val="0"/>
      <w:marTop w:val="0"/>
      <w:marBottom w:val="0"/>
      <w:divBdr>
        <w:top w:val="none" w:sz="0" w:space="0" w:color="auto"/>
        <w:left w:val="none" w:sz="0" w:space="0" w:color="auto"/>
        <w:bottom w:val="none" w:sz="0" w:space="0" w:color="auto"/>
        <w:right w:val="none" w:sz="0" w:space="0" w:color="auto"/>
      </w:divBdr>
      <w:divsChild>
        <w:div w:id="2105882399">
          <w:marLeft w:val="0"/>
          <w:marRight w:val="0"/>
          <w:marTop w:val="0"/>
          <w:marBottom w:val="0"/>
          <w:divBdr>
            <w:top w:val="none" w:sz="0" w:space="0" w:color="auto"/>
            <w:left w:val="none" w:sz="0" w:space="0" w:color="auto"/>
            <w:bottom w:val="none" w:sz="0" w:space="0" w:color="auto"/>
            <w:right w:val="none" w:sz="0" w:space="0" w:color="auto"/>
          </w:divBdr>
          <w:divsChild>
            <w:div w:id="593124615">
              <w:marLeft w:val="-225"/>
              <w:marRight w:val="-225"/>
              <w:marTop w:val="0"/>
              <w:marBottom w:val="0"/>
              <w:divBdr>
                <w:top w:val="none" w:sz="0" w:space="0" w:color="auto"/>
                <w:left w:val="none" w:sz="0" w:space="0" w:color="auto"/>
                <w:bottom w:val="none" w:sz="0" w:space="0" w:color="auto"/>
                <w:right w:val="none" w:sz="0" w:space="0" w:color="auto"/>
              </w:divBdr>
              <w:divsChild>
                <w:div w:id="591088066">
                  <w:marLeft w:val="0"/>
                  <w:marRight w:val="0"/>
                  <w:marTop w:val="0"/>
                  <w:marBottom w:val="0"/>
                  <w:divBdr>
                    <w:top w:val="none" w:sz="0" w:space="0" w:color="auto"/>
                    <w:left w:val="none" w:sz="0" w:space="0" w:color="auto"/>
                    <w:bottom w:val="none" w:sz="0" w:space="0" w:color="auto"/>
                    <w:right w:val="none" w:sz="0" w:space="0" w:color="auto"/>
                  </w:divBdr>
                  <w:divsChild>
                    <w:div w:id="1594242029">
                      <w:marLeft w:val="0"/>
                      <w:marRight w:val="0"/>
                      <w:marTop w:val="0"/>
                      <w:marBottom w:val="0"/>
                      <w:divBdr>
                        <w:top w:val="none" w:sz="0" w:space="0" w:color="auto"/>
                        <w:left w:val="none" w:sz="0" w:space="0" w:color="auto"/>
                        <w:bottom w:val="none" w:sz="0" w:space="0" w:color="auto"/>
                        <w:right w:val="none" w:sz="0" w:space="0" w:color="auto"/>
                      </w:divBdr>
                      <w:divsChild>
                        <w:div w:id="376928300">
                          <w:marLeft w:val="0"/>
                          <w:marRight w:val="0"/>
                          <w:marTop w:val="0"/>
                          <w:marBottom w:val="0"/>
                          <w:divBdr>
                            <w:top w:val="none" w:sz="0" w:space="0" w:color="auto"/>
                            <w:left w:val="none" w:sz="0" w:space="0" w:color="auto"/>
                            <w:bottom w:val="none" w:sz="0" w:space="0" w:color="auto"/>
                            <w:right w:val="none" w:sz="0" w:space="0" w:color="auto"/>
                          </w:divBdr>
                          <w:divsChild>
                            <w:div w:id="1232734628">
                              <w:marLeft w:val="0"/>
                              <w:marRight w:val="0"/>
                              <w:marTop w:val="150"/>
                              <w:marBottom w:val="150"/>
                              <w:divBdr>
                                <w:top w:val="none" w:sz="0" w:space="0" w:color="auto"/>
                                <w:left w:val="none" w:sz="0" w:space="0" w:color="auto"/>
                                <w:bottom w:val="none" w:sz="0" w:space="0" w:color="auto"/>
                                <w:right w:val="none" w:sz="0" w:space="0" w:color="auto"/>
                              </w:divBdr>
                            </w:div>
                            <w:div w:id="1109936005">
                              <w:marLeft w:val="0"/>
                              <w:marRight w:val="0"/>
                              <w:marTop w:val="0"/>
                              <w:marBottom w:val="0"/>
                              <w:divBdr>
                                <w:top w:val="none" w:sz="0" w:space="0" w:color="auto"/>
                                <w:left w:val="none" w:sz="0" w:space="0" w:color="auto"/>
                                <w:bottom w:val="none" w:sz="0" w:space="0" w:color="auto"/>
                                <w:right w:val="none" w:sz="0" w:space="0" w:color="auto"/>
                              </w:divBdr>
                            </w:div>
                            <w:div w:id="962076653">
                              <w:marLeft w:val="0"/>
                              <w:marRight w:val="0"/>
                              <w:marTop w:val="0"/>
                              <w:marBottom w:val="150"/>
                              <w:divBdr>
                                <w:top w:val="none" w:sz="0" w:space="0" w:color="auto"/>
                                <w:left w:val="none" w:sz="0" w:space="0" w:color="auto"/>
                                <w:bottom w:val="none" w:sz="0" w:space="0" w:color="auto"/>
                                <w:right w:val="none" w:sz="0" w:space="0" w:color="auto"/>
                              </w:divBdr>
                            </w:div>
                            <w:div w:id="1081440426">
                              <w:marLeft w:val="0"/>
                              <w:marRight w:val="0"/>
                              <w:marTop w:val="0"/>
                              <w:marBottom w:val="150"/>
                              <w:divBdr>
                                <w:top w:val="none" w:sz="0" w:space="0" w:color="auto"/>
                                <w:left w:val="none" w:sz="0" w:space="0" w:color="auto"/>
                                <w:bottom w:val="none" w:sz="0" w:space="0" w:color="auto"/>
                                <w:right w:val="none" w:sz="0" w:space="0" w:color="auto"/>
                              </w:divBdr>
                            </w:div>
                            <w:div w:id="1994019441">
                              <w:marLeft w:val="0"/>
                              <w:marRight w:val="0"/>
                              <w:marTop w:val="0"/>
                              <w:marBottom w:val="0"/>
                              <w:divBdr>
                                <w:top w:val="none" w:sz="0" w:space="0" w:color="auto"/>
                                <w:left w:val="none" w:sz="0" w:space="0" w:color="auto"/>
                                <w:bottom w:val="none" w:sz="0" w:space="0" w:color="auto"/>
                                <w:right w:val="none" w:sz="0" w:space="0" w:color="auto"/>
                              </w:divBdr>
                            </w:div>
                            <w:div w:id="1316756961">
                              <w:marLeft w:val="0"/>
                              <w:marRight w:val="0"/>
                              <w:marTop w:val="0"/>
                              <w:marBottom w:val="0"/>
                              <w:divBdr>
                                <w:top w:val="none" w:sz="0" w:space="0" w:color="auto"/>
                                <w:left w:val="none" w:sz="0" w:space="0" w:color="auto"/>
                                <w:bottom w:val="none" w:sz="0" w:space="0" w:color="auto"/>
                                <w:right w:val="none" w:sz="0" w:space="0" w:color="auto"/>
                              </w:divBdr>
                            </w:div>
                            <w:div w:id="1555501985">
                              <w:marLeft w:val="0"/>
                              <w:marRight w:val="0"/>
                              <w:marTop w:val="0"/>
                              <w:marBottom w:val="0"/>
                              <w:divBdr>
                                <w:top w:val="none" w:sz="0" w:space="0" w:color="auto"/>
                                <w:left w:val="none" w:sz="0" w:space="0" w:color="auto"/>
                                <w:bottom w:val="none" w:sz="0" w:space="0" w:color="auto"/>
                                <w:right w:val="none" w:sz="0" w:space="0" w:color="auto"/>
                              </w:divBdr>
                            </w:div>
                            <w:div w:id="166284862">
                              <w:marLeft w:val="0"/>
                              <w:marRight w:val="0"/>
                              <w:marTop w:val="0"/>
                              <w:marBottom w:val="0"/>
                              <w:divBdr>
                                <w:top w:val="none" w:sz="0" w:space="0" w:color="auto"/>
                                <w:left w:val="none" w:sz="0" w:space="0" w:color="auto"/>
                                <w:bottom w:val="none" w:sz="0" w:space="0" w:color="auto"/>
                                <w:right w:val="none" w:sz="0" w:space="0" w:color="auto"/>
                              </w:divBdr>
                            </w:div>
                            <w:div w:id="905341637">
                              <w:marLeft w:val="0"/>
                              <w:marRight w:val="0"/>
                              <w:marTop w:val="0"/>
                              <w:marBottom w:val="0"/>
                              <w:divBdr>
                                <w:top w:val="none" w:sz="0" w:space="0" w:color="auto"/>
                                <w:left w:val="none" w:sz="0" w:space="0" w:color="auto"/>
                                <w:bottom w:val="none" w:sz="0" w:space="0" w:color="auto"/>
                                <w:right w:val="none" w:sz="0" w:space="0" w:color="auto"/>
                              </w:divBdr>
                            </w:div>
                            <w:div w:id="836729949">
                              <w:marLeft w:val="0"/>
                              <w:marRight w:val="0"/>
                              <w:marTop w:val="0"/>
                              <w:marBottom w:val="0"/>
                              <w:divBdr>
                                <w:top w:val="none" w:sz="0" w:space="0" w:color="auto"/>
                                <w:left w:val="none" w:sz="0" w:space="0" w:color="auto"/>
                                <w:bottom w:val="none" w:sz="0" w:space="0" w:color="auto"/>
                                <w:right w:val="none" w:sz="0" w:space="0" w:color="auto"/>
                              </w:divBdr>
                            </w:div>
                            <w:div w:id="539637261">
                              <w:marLeft w:val="0"/>
                              <w:marRight w:val="0"/>
                              <w:marTop w:val="0"/>
                              <w:marBottom w:val="0"/>
                              <w:divBdr>
                                <w:top w:val="none" w:sz="0" w:space="0" w:color="auto"/>
                                <w:left w:val="none" w:sz="0" w:space="0" w:color="auto"/>
                                <w:bottom w:val="none" w:sz="0" w:space="0" w:color="auto"/>
                                <w:right w:val="none" w:sz="0" w:space="0" w:color="auto"/>
                              </w:divBdr>
                            </w:div>
                            <w:div w:id="1000548488">
                              <w:marLeft w:val="0"/>
                              <w:marRight w:val="0"/>
                              <w:marTop w:val="0"/>
                              <w:marBottom w:val="0"/>
                              <w:divBdr>
                                <w:top w:val="none" w:sz="0" w:space="0" w:color="auto"/>
                                <w:left w:val="none" w:sz="0" w:space="0" w:color="auto"/>
                                <w:bottom w:val="none" w:sz="0" w:space="0" w:color="auto"/>
                                <w:right w:val="none" w:sz="0" w:space="0" w:color="auto"/>
                              </w:divBdr>
                            </w:div>
                            <w:div w:id="238515606">
                              <w:marLeft w:val="0"/>
                              <w:marRight w:val="0"/>
                              <w:marTop w:val="0"/>
                              <w:marBottom w:val="0"/>
                              <w:divBdr>
                                <w:top w:val="none" w:sz="0" w:space="0" w:color="auto"/>
                                <w:left w:val="none" w:sz="0" w:space="0" w:color="auto"/>
                                <w:bottom w:val="none" w:sz="0" w:space="0" w:color="auto"/>
                                <w:right w:val="none" w:sz="0" w:space="0" w:color="auto"/>
                              </w:divBdr>
                            </w:div>
                            <w:div w:id="800734705">
                              <w:marLeft w:val="0"/>
                              <w:marRight w:val="0"/>
                              <w:marTop w:val="0"/>
                              <w:marBottom w:val="0"/>
                              <w:divBdr>
                                <w:top w:val="none" w:sz="0" w:space="0" w:color="auto"/>
                                <w:left w:val="none" w:sz="0" w:space="0" w:color="auto"/>
                                <w:bottom w:val="none" w:sz="0" w:space="0" w:color="auto"/>
                                <w:right w:val="none" w:sz="0" w:space="0" w:color="auto"/>
                              </w:divBdr>
                            </w:div>
                            <w:div w:id="653221221">
                              <w:marLeft w:val="0"/>
                              <w:marRight w:val="0"/>
                              <w:marTop w:val="0"/>
                              <w:marBottom w:val="150"/>
                              <w:divBdr>
                                <w:top w:val="none" w:sz="0" w:space="0" w:color="auto"/>
                                <w:left w:val="none" w:sz="0" w:space="0" w:color="auto"/>
                                <w:bottom w:val="none" w:sz="0" w:space="0" w:color="auto"/>
                                <w:right w:val="none" w:sz="0" w:space="0" w:color="auto"/>
                              </w:divBdr>
                            </w:div>
                            <w:div w:id="444037698">
                              <w:marLeft w:val="0"/>
                              <w:marRight w:val="0"/>
                              <w:marTop w:val="0"/>
                              <w:marBottom w:val="0"/>
                              <w:divBdr>
                                <w:top w:val="none" w:sz="0" w:space="0" w:color="auto"/>
                                <w:left w:val="none" w:sz="0" w:space="0" w:color="auto"/>
                                <w:bottom w:val="none" w:sz="0" w:space="0" w:color="auto"/>
                                <w:right w:val="none" w:sz="0" w:space="0" w:color="auto"/>
                              </w:divBdr>
                            </w:div>
                            <w:div w:id="1670644407">
                              <w:marLeft w:val="0"/>
                              <w:marRight w:val="0"/>
                              <w:marTop w:val="0"/>
                              <w:marBottom w:val="0"/>
                              <w:divBdr>
                                <w:top w:val="none" w:sz="0" w:space="0" w:color="auto"/>
                                <w:left w:val="none" w:sz="0" w:space="0" w:color="auto"/>
                                <w:bottom w:val="none" w:sz="0" w:space="0" w:color="auto"/>
                                <w:right w:val="none" w:sz="0" w:space="0" w:color="auto"/>
                              </w:divBdr>
                            </w:div>
                            <w:div w:id="521282673">
                              <w:marLeft w:val="0"/>
                              <w:marRight w:val="0"/>
                              <w:marTop w:val="0"/>
                              <w:marBottom w:val="0"/>
                              <w:divBdr>
                                <w:top w:val="none" w:sz="0" w:space="0" w:color="auto"/>
                                <w:left w:val="none" w:sz="0" w:space="0" w:color="auto"/>
                                <w:bottom w:val="none" w:sz="0" w:space="0" w:color="auto"/>
                                <w:right w:val="none" w:sz="0" w:space="0" w:color="auto"/>
                              </w:divBdr>
                            </w:div>
                            <w:div w:id="392629164">
                              <w:marLeft w:val="0"/>
                              <w:marRight w:val="0"/>
                              <w:marTop w:val="0"/>
                              <w:marBottom w:val="0"/>
                              <w:divBdr>
                                <w:top w:val="none" w:sz="0" w:space="0" w:color="auto"/>
                                <w:left w:val="none" w:sz="0" w:space="0" w:color="auto"/>
                                <w:bottom w:val="none" w:sz="0" w:space="0" w:color="auto"/>
                                <w:right w:val="none" w:sz="0" w:space="0" w:color="auto"/>
                              </w:divBdr>
                            </w:div>
                            <w:div w:id="1850101187">
                              <w:marLeft w:val="0"/>
                              <w:marRight w:val="0"/>
                              <w:marTop w:val="0"/>
                              <w:marBottom w:val="150"/>
                              <w:divBdr>
                                <w:top w:val="none" w:sz="0" w:space="0" w:color="auto"/>
                                <w:left w:val="none" w:sz="0" w:space="0" w:color="auto"/>
                                <w:bottom w:val="none" w:sz="0" w:space="0" w:color="auto"/>
                                <w:right w:val="none" w:sz="0" w:space="0" w:color="auto"/>
                              </w:divBdr>
                            </w:div>
                            <w:div w:id="1909685631">
                              <w:marLeft w:val="0"/>
                              <w:marRight w:val="0"/>
                              <w:marTop w:val="0"/>
                              <w:marBottom w:val="150"/>
                              <w:divBdr>
                                <w:top w:val="none" w:sz="0" w:space="0" w:color="auto"/>
                                <w:left w:val="none" w:sz="0" w:space="0" w:color="auto"/>
                                <w:bottom w:val="none" w:sz="0" w:space="0" w:color="auto"/>
                                <w:right w:val="none" w:sz="0" w:space="0" w:color="auto"/>
                              </w:divBdr>
                            </w:div>
                            <w:div w:id="2085029978">
                              <w:marLeft w:val="0"/>
                              <w:marRight w:val="0"/>
                              <w:marTop w:val="0"/>
                              <w:marBottom w:val="150"/>
                              <w:divBdr>
                                <w:top w:val="none" w:sz="0" w:space="0" w:color="auto"/>
                                <w:left w:val="none" w:sz="0" w:space="0" w:color="auto"/>
                                <w:bottom w:val="none" w:sz="0" w:space="0" w:color="auto"/>
                                <w:right w:val="none" w:sz="0" w:space="0" w:color="auto"/>
                              </w:divBdr>
                            </w:div>
                            <w:div w:id="15945121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22-20" TargetMode="External"/><Relationship Id="rId13" Type="http://schemas.openxmlformats.org/officeDocument/2006/relationships/hyperlink" Target="https://zakon.rada.gov.ua/laws/show/z0995-23" TargetMode="External"/><Relationship Id="rId18" Type="http://schemas.openxmlformats.org/officeDocument/2006/relationships/hyperlink" Target="https://zakon.rada.gov.ua/laws/show/z0336-13" TargetMode="External"/><Relationship Id="rId3" Type="http://schemas.openxmlformats.org/officeDocument/2006/relationships/settings" Target="settings.xml"/><Relationship Id="rId21" Type="http://schemas.openxmlformats.org/officeDocument/2006/relationships/hyperlink" Target="https://zakon.rada.gov.ua/laws/show/z1936-23" TargetMode="External"/><Relationship Id="rId7" Type="http://schemas.openxmlformats.org/officeDocument/2006/relationships/hyperlink" Target="https://zakon.rada.gov.ua/laws/show/2722-20" TargetMode="External"/><Relationship Id="rId12" Type="http://schemas.openxmlformats.org/officeDocument/2006/relationships/hyperlink" Target="https://zakon.rada.gov.ua/laws/show/z0759-17" TargetMode="External"/><Relationship Id="rId17" Type="http://schemas.openxmlformats.org/officeDocument/2006/relationships/hyperlink" Target="https://zakon.rada.gov.ua/laws/show/z0336-13" TargetMode="External"/><Relationship Id="rId2" Type="http://schemas.microsoft.com/office/2007/relationships/stylesWithEffects" Target="stylesWithEffects.xml"/><Relationship Id="rId16" Type="http://schemas.openxmlformats.org/officeDocument/2006/relationships/hyperlink" Target="https://zakon.rada.gov.ua/laws/show/270-2009-%D0%BF" TargetMode="External"/><Relationship Id="rId20" Type="http://schemas.openxmlformats.org/officeDocument/2006/relationships/hyperlink" Target="https://zakon.rada.gov.ua/laws/show/z0995-23" TargetMode="External"/><Relationship Id="rId1" Type="http://schemas.openxmlformats.org/officeDocument/2006/relationships/styles" Target="styles.xml"/><Relationship Id="rId6" Type="http://schemas.openxmlformats.org/officeDocument/2006/relationships/hyperlink" Target="https://zakon.rada.gov.ua/laws/show/2722-20" TargetMode="External"/><Relationship Id="rId11" Type="http://schemas.openxmlformats.org/officeDocument/2006/relationships/hyperlink" Target="https://zakon.rada.gov.ua/laws/show/z0995-23" TargetMode="External"/><Relationship Id="rId24" Type="http://schemas.openxmlformats.org/officeDocument/2006/relationships/theme" Target="theme/theme1.xml"/><Relationship Id="rId5" Type="http://schemas.openxmlformats.org/officeDocument/2006/relationships/hyperlink" Target="https://zakon.rada.gov.ua/laws/show/z1936-23" TargetMode="External"/><Relationship Id="rId15" Type="http://schemas.openxmlformats.org/officeDocument/2006/relationships/hyperlink" Target="https://zakon.rada.gov.ua/laws/show/z0027-00" TargetMode="External"/><Relationship Id="rId23" Type="http://schemas.openxmlformats.org/officeDocument/2006/relationships/fontTable" Target="fontTable.xml"/><Relationship Id="rId10" Type="http://schemas.openxmlformats.org/officeDocument/2006/relationships/hyperlink" Target="https://zakon.rada.gov.ua/laws/show/1971-20" TargetMode="External"/><Relationship Id="rId19" Type="http://schemas.openxmlformats.org/officeDocument/2006/relationships/hyperlink" Target="https://zakon.rada.gov.ua/laws/show/z0995-23" TargetMode="External"/><Relationship Id="rId4" Type="http://schemas.openxmlformats.org/officeDocument/2006/relationships/webSettings" Target="webSettings.xml"/><Relationship Id="rId9" Type="http://schemas.openxmlformats.org/officeDocument/2006/relationships/hyperlink" Target="https://zakon.rada.gov.ua/laws/show/1971-20" TargetMode="External"/><Relationship Id="rId14" Type="http://schemas.openxmlformats.org/officeDocument/2006/relationships/hyperlink" Target="https://zakon.rada.gov.ua/laws/show/z1936-23" TargetMode="External"/><Relationship Id="rId22" Type="http://schemas.openxmlformats.org/officeDocument/2006/relationships/hyperlink" Target="https://zakon.rada.gov.ua/laws/show/z1936-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5025</Words>
  <Characters>28647</Characters>
  <Application>Microsoft Office Word</Application>
  <DocSecurity>0</DocSecurity>
  <Lines>238</Lines>
  <Paragraphs>67</Paragraphs>
  <ScaleCrop>false</ScaleCrop>
  <Company/>
  <LinksUpToDate>false</LinksUpToDate>
  <CharactersWithSpaces>33605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3</cp:revision>
  <dcterms:created xsi:type="dcterms:W3CDTF">2024-01-24T06:50:00Z</dcterms:created>
  <dcterms:modified xsi:type="dcterms:W3CDTF">2024-01-24T07:02:00Z</dcterms:modified>
</cp:coreProperties>
</file>