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20A" w:rsidRDefault="00B7320A" w:rsidP="00B7320A">
      <w:pPr>
        <w:tabs>
          <w:tab w:val="left" w:pos="0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6C25B5">
        <w:rPr>
          <w:rFonts w:ascii="Times New Roman" w:hAnsi="Times New Roman" w:cs="Times New Roman"/>
          <w:noProof/>
          <w:kern w:val="1"/>
          <w:sz w:val="26"/>
          <w:szCs w:val="26"/>
        </w:rPr>
        <w:drawing>
          <wp:inline distT="0" distB="0" distL="0" distR="0" wp14:anchorId="3DE2842E" wp14:editId="35F5AB6F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5E0" w:rsidRPr="006C25B5" w:rsidRDefault="00C335E0" w:rsidP="00B7320A">
      <w:pPr>
        <w:tabs>
          <w:tab w:val="left" w:pos="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B7320A" w:rsidRPr="006C25B5" w:rsidRDefault="00B7320A" w:rsidP="00B7320A">
      <w:pPr>
        <w:tabs>
          <w:tab w:val="left" w:pos="0"/>
          <w:tab w:val="left" w:pos="555"/>
          <w:tab w:val="center" w:pos="4820"/>
        </w:tabs>
        <w:jc w:val="center"/>
        <w:rPr>
          <w:rFonts w:ascii="Times New Roman" w:hAnsi="Times New Roman" w:cs="Times New Roman"/>
          <w:sz w:val="36"/>
          <w:szCs w:val="26"/>
        </w:rPr>
      </w:pPr>
      <w:r w:rsidRPr="006C25B5">
        <w:rPr>
          <w:rFonts w:ascii="Times New Roman" w:hAnsi="Times New Roman" w:cs="Times New Roman"/>
          <w:sz w:val="36"/>
          <w:szCs w:val="26"/>
        </w:rPr>
        <w:t>ВИЩА КВАЛІФІКАЦІЙНА КОМІСІЯ СУДДІВ УКРАЇНИ</w:t>
      </w:r>
    </w:p>
    <w:p w:rsidR="00B7320A" w:rsidRPr="006C25B5" w:rsidRDefault="00B7320A" w:rsidP="00B7320A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320A" w:rsidRPr="006C25B5" w:rsidRDefault="00B7320A" w:rsidP="00B7320A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C25B5">
        <w:rPr>
          <w:rFonts w:ascii="Times New Roman" w:hAnsi="Times New Roman" w:cs="Times New Roman"/>
          <w:sz w:val="26"/>
          <w:szCs w:val="26"/>
        </w:rPr>
        <w:t xml:space="preserve">04 липня 2017 року </w:t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  <w:t xml:space="preserve">    м. Київ</w:t>
      </w:r>
    </w:p>
    <w:p w:rsidR="00B7320A" w:rsidRPr="006C25B5" w:rsidRDefault="00B7320A" w:rsidP="00B7320A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320A" w:rsidRPr="006C25B5" w:rsidRDefault="00B7320A" w:rsidP="00B7320A">
      <w:pPr>
        <w:shd w:val="clear" w:color="auto" w:fill="FFFFFF"/>
        <w:tabs>
          <w:tab w:val="left" w:pos="0"/>
        </w:tabs>
        <w:ind w:firstLine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6C25B5">
        <w:rPr>
          <w:rFonts w:ascii="Times New Roman" w:hAnsi="Times New Roman" w:cs="Times New Roman"/>
          <w:bCs/>
          <w:sz w:val="26"/>
          <w:szCs w:val="26"/>
        </w:rPr>
        <w:t xml:space="preserve">Р І Ш Е Н </w:t>
      </w:r>
      <w:proofErr w:type="spellStart"/>
      <w:r w:rsidRPr="006C25B5">
        <w:rPr>
          <w:rFonts w:ascii="Times New Roman" w:hAnsi="Times New Roman" w:cs="Times New Roman"/>
          <w:bCs/>
          <w:sz w:val="26"/>
          <w:szCs w:val="26"/>
        </w:rPr>
        <w:t>Н</w:t>
      </w:r>
      <w:proofErr w:type="spellEnd"/>
      <w:r w:rsidRPr="006C25B5">
        <w:rPr>
          <w:rFonts w:ascii="Times New Roman" w:hAnsi="Times New Roman" w:cs="Times New Roman"/>
          <w:bCs/>
          <w:sz w:val="26"/>
          <w:szCs w:val="26"/>
        </w:rPr>
        <w:t xml:space="preserve"> Я   №  </w:t>
      </w:r>
      <w:r w:rsidRPr="006C25B5">
        <w:rPr>
          <w:rFonts w:ascii="Times New Roman" w:hAnsi="Times New Roman" w:cs="Times New Roman"/>
          <w:bCs/>
          <w:sz w:val="26"/>
          <w:szCs w:val="26"/>
          <w:u w:val="single"/>
        </w:rPr>
        <w:t>170/вс-17</w:t>
      </w:r>
    </w:p>
    <w:p w:rsidR="00B7320A" w:rsidRPr="006C25B5" w:rsidRDefault="00B7320A" w:rsidP="00B7320A">
      <w:pPr>
        <w:shd w:val="clear" w:color="auto" w:fill="FFFFFF"/>
        <w:tabs>
          <w:tab w:val="left" w:pos="0"/>
        </w:tabs>
        <w:ind w:firstLine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</w:p>
    <w:p w:rsidR="00B7320A" w:rsidRPr="006C25B5" w:rsidRDefault="00B7320A" w:rsidP="00B7320A">
      <w:pPr>
        <w:pStyle w:val="11"/>
        <w:shd w:val="clear" w:color="auto" w:fill="auto"/>
        <w:spacing w:before="0" w:after="0" w:line="240" w:lineRule="auto"/>
        <w:ind w:left="20" w:hanging="20"/>
        <w:jc w:val="left"/>
      </w:pPr>
      <w:r w:rsidRPr="006C25B5">
        <w:t xml:space="preserve">Вища </w:t>
      </w:r>
      <w:r w:rsidR="00C364D5" w:rsidRPr="006C25B5">
        <w:t xml:space="preserve">кваліфікаційна комісія суддів України у пленарному складі: </w:t>
      </w:r>
    </w:p>
    <w:p w:rsidR="00B7320A" w:rsidRPr="006C25B5" w:rsidRDefault="00B7320A" w:rsidP="00B7320A">
      <w:pPr>
        <w:pStyle w:val="11"/>
        <w:shd w:val="clear" w:color="auto" w:fill="auto"/>
        <w:spacing w:before="0" w:after="0" w:line="240" w:lineRule="auto"/>
        <w:ind w:left="20" w:hanging="20"/>
        <w:jc w:val="left"/>
      </w:pP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hanging="20"/>
        <w:jc w:val="left"/>
      </w:pPr>
      <w:r w:rsidRPr="006C25B5">
        <w:t>головуючого - Устименко В.Є.,</w:t>
      </w:r>
    </w:p>
    <w:p w:rsidR="00B7320A" w:rsidRPr="006C25B5" w:rsidRDefault="00B7320A" w:rsidP="00B7320A">
      <w:pPr>
        <w:pStyle w:val="11"/>
        <w:shd w:val="clear" w:color="auto" w:fill="auto"/>
        <w:spacing w:before="0" w:after="0" w:line="240" w:lineRule="auto"/>
        <w:ind w:left="20" w:hanging="20"/>
        <w:jc w:val="left"/>
      </w:pPr>
    </w:p>
    <w:p w:rsidR="00CA334D" w:rsidRPr="006C25B5" w:rsidRDefault="00C364D5" w:rsidP="00B7320A">
      <w:pPr>
        <w:pStyle w:val="11"/>
        <w:shd w:val="clear" w:color="auto" w:fill="auto"/>
        <w:spacing w:before="0" w:line="240" w:lineRule="auto"/>
        <w:ind w:left="20"/>
      </w:pPr>
      <w:r w:rsidRPr="006C25B5">
        <w:t xml:space="preserve">членів Комісії: </w:t>
      </w:r>
      <w:proofErr w:type="spellStart"/>
      <w:r w:rsidRPr="006C25B5">
        <w:t>Бутенка</w:t>
      </w:r>
      <w:proofErr w:type="spellEnd"/>
      <w:r w:rsidRPr="006C25B5">
        <w:t xml:space="preserve"> В.І., Василенка А.В., </w:t>
      </w:r>
      <w:proofErr w:type="spellStart"/>
      <w:r w:rsidRPr="006C25B5">
        <w:t>Весельської</w:t>
      </w:r>
      <w:proofErr w:type="spellEnd"/>
      <w:r w:rsidRPr="006C25B5">
        <w:t xml:space="preserve"> Т.Ф., </w:t>
      </w:r>
      <w:proofErr w:type="spellStart"/>
      <w:r w:rsidRPr="006C25B5">
        <w:t>Заріцької</w:t>
      </w:r>
      <w:proofErr w:type="spellEnd"/>
      <w:r w:rsidRPr="006C25B5">
        <w:t xml:space="preserve"> А.О., Козлова А.Г., Лукаша Т.В., </w:t>
      </w:r>
      <w:proofErr w:type="spellStart"/>
      <w:r w:rsidRPr="006C25B5">
        <w:t>Луцюка</w:t>
      </w:r>
      <w:proofErr w:type="spellEnd"/>
      <w:r w:rsidRPr="006C25B5">
        <w:t xml:space="preserve"> П.С., </w:t>
      </w:r>
      <w:proofErr w:type="spellStart"/>
      <w:r w:rsidRPr="006C25B5">
        <w:t>Макарчука</w:t>
      </w:r>
      <w:proofErr w:type="spellEnd"/>
      <w:r w:rsidRPr="006C25B5">
        <w:t xml:space="preserve"> М.А., </w:t>
      </w:r>
      <w:proofErr w:type="spellStart"/>
      <w:r w:rsidRPr="006C25B5">
        <w:t>Мішина</w:t>
      </w:r>
      <w:proofErr w:type="spellEnd"/>
      <w:r w:rsidRPr="006C25B5">
        <w:t xml:space="preserve"> М.І., </w:t>
      </w:r>
      <w:proofErr w:type="spellStart"/>
      <w:r w:rsidRPr="006C25B5">
        <w:t>Прилипка</w:t>
      </w:r>
      <w:proofErr w:type="spellEnd"/>
      <w:r w:rsidRPr="006C25B5">
        <w:t xml:space="preserve"> С.М., </w:t>
      </w:r>
      <w:proofErr w:type="spellStart"/>
      <w:r w:rsidRPr="006C25B5">
        <w:t>Тітова</w:t>
      </w:r>
      <w:proofErr w:type="spellEnd"/>
      <w:r w:rsidRPr="006C25B5">
        <w:t xml:space="preserve"> Ю.Г., Шилової Т.С., </w:t>
      </w:r>
      <w:proofErr w:type="spellStart"/>
      <w:r w:rsidRPr="006C25B5">
        <w:t>Щотки</w:t>
      </w:r>
      <w:proofErr w:type="spellEnd"/>
      <w:r w:rsidRPr="006C25B5">
        <w:t xml:space="preserve"> С.О.,</w:t>
      </w:r>
    </w:p>
    <w:p w:rsidR="00CA334D" w:rsidRPr="006C25B5" w:rsidRDefault="00C364D5" w:rsidP="00B7320A">
      <w:pPr>
        <w:pStyle w:val="11"/>
        <w:shd w:val="clear" w:color="auto" w:fill="auto"/>
        <w:spacing w:before="0" w:after="274" w:line="240" w:lineRule="auto"/>
        <w:ind w:left="20"/>
      </w:pPr>
      <w:r w:rsidRPr="006C25B5">
        <w:t xml:space="preserve">розглянувши питання про підтвердження здатності кандидата на посаду судді Касаційного цивільного суду у складі Верховного Суду </w:t>
      </w:r>
      <w:proofErr w:type="spellStart"/>
      <w:r w:rsidRPr="006C25B5">
        <w:t>Турченка</w:t>
      </w:r>
      <w:proofErr w:type="spellEnd"/>
      <w:r w:rsidRPr="006C25B5">
        <w:t xml:space="preserve"> Олексія Валерійовича здійснювати правосуддя у відповідному суді, стосовно якого оголошено перерву відповідно до абзацу другого частини першої статті 88 Закону України «Про судоустрій і статус суддів»,</w:t>
      </w:r>
    </w:p>
    <w:p w:rsidR="00CA334D" w:rsidRPr="006C25B5" w:rsidRDefault="00C364D5" w:rsidP="00B7320A">
      <w:pPr>
        <w:pStyle w:val="11"/>
        <w:shd w:val="clear" w:color="auto" w:fill="auto"/>
        <w:spacing w:before="0" w:after="262" w:line="240" w:lineRule="auto"/>
        <w:jc w:val="center"/>
      </w:pPr>
      <w:r w:rsidRPr="006C25B5">
        <w:t>встановила: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>Рішенням Комісії від 07 листопада 2016 року № 145/зп-16 оголошено конкурс на зайняття 120 вакантних посад суддів касаційних судів у складі Верховного Суду.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proofErr w:type="spellStart"/>
      <w:r w:rsidRPr="006C25B5">
        <w:t>Турченко</w:t>
      </w:r>
      <w:proofErr w:type="spellEnd"/>
      <w:r w:rsidRPr="006C25B5">
        <w:t xml:space="preserve"> О.В. 29 листопада 2016 року звернувся до Комісії із заявою про проведення стосовно нього кваліфікаційного оцінювання для участі у конкурсі на посаду судді Касаційного цивільного суду у складі Верховного Суду за спеціальною процедурою призначення.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 xml:space="preserve">Комісією 05 грудня 2016 року прийнято рішення № 19/вс-16, зокрема, про допуск </w:t>
      </w:r>
      <w:proofErr w:type="spellStart"/>
      <w:r w:rsidRPr="006C25B5">
        <w:t>Турченка</w:t>
      </w:r>
      <w:proofErr w:type="spellEnd"/>
      <w:r w:rsidRPr="006C25B5">
        <w:t xml:space="preserve"> О.В. до участі у конкурсі на посаду судді Касаційного цивільного суду у складі Верховного Суду. Рішенням Комісії від 11 січня 2017 року № 2/зп-17 призначено кваліфікаційне оцінювання 653 кандидатів, допущених до участі у конкурсі на зайняття 120 вакантних посад суддів касаційних судів у складі Верховного Суду, зокрема </w:t>
      </w:r>
      <w:proofErr w:type="spellStart"/>
      <w:r w:rsidRPr="006C25B5">
        <w:t>Турченка</w:t>
      </w:r>
      <w:proofErr w:type="spellEnd"/>
      <w:r w:rsidRPr="006C25B5">
        <w:t xml:space="preserve"> О.В.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 xml:space="preserve">У межах проведення конкурсу </w:t>
      </w:r>
      <w:proofErr w:type="spellStart"/>
      <w:r w:rsidRPr="006C25B5">
        <w:t>Турченко</w:t>
      </w:r>
      <w:proofErr w:type="spellEnd"/>
      <w:r w:rsidRPr="006C25B5">
        <w:t xml:space="preserve"> О.В. за результатами одного етапу кваліфікаційного оцінювання - складення іспиту, був допущений до іншого етапу кваліфікаційного оцінювання - дослідження досьє та проведення співбесіди.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>Положеннями статті 83 Закону України «Про судоустрій і статус суддів» (далі - Закон) закріплено, що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C335E0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 xml:space="preserve">Згідно з абзацом третім пункту 20 розділу III Положення про порядок та методологію кваліфікаційного оцінювання, показники відповідності критеріям </w:t>
      </w:r>
      <w:r w:rsidR="00C335E0">
        <w:br w:type="page"/>
      </w:r>
    </w:p>
    <w:p w:rsidR="00CA334D" w:rsidRPr="006C25B5" w:rsidRDefault="00C364D5" w:rsidP="00C335E0">
      <w:pPr>
        <w:pStyle w:val="11"/>
        <w:shd w:val="clear" w:color="auto" w:fill="auto"/>
        <w:spacing w:before="0" w:after="0" w:line="240" w:lineRule="auto"/>
        <w:ind w:left="20"/>
      </w:pPr>
      <w:r w:rsidRPr="006C25B5">
        <w:lastRenderedPageBreak/>
        <w:t>кваліфікаційного оцінювання та засоби їх встановлення, затвердженого рішенням Комісії від 03 листопада 2016 року № 143/зп-16 (далі -</w:t>
      </w:r>
      <w:r w:rsidR="003B452D" w:rsidRPr="006C25B5">
        <w:t xml:space="preserve"> Положення), під час співбесіди </w:t>
      </w:r>
      <w:r w:rsidRPr="006C25B5">
        <w:t>обов’язковому обговоренню із суддею (к</w:t>
      </w:r>
      <w:r w:rsidR="003B452D" w:rsidRPr="006C25B5">
        <w:t>андидатом) підлягають дані щодо </w:t>
      </w:r>
      <w:r w:rsidRPr="006C25B5">
        <w:t>його відповідності критеріям професійної етики та доброчесності.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>Відповідно до положень статті 87 Закону України «Про судоустрій і статус суддів»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рада доброчесності, яка надає, за наявност</w:t>
      </w:r>
      <w:r w:rsidR="006C25B5">
        <w:t>і відповідних підстав, висновок </w:t>
      </w:r>
      <w:r w:rsidRPr="006C25B5">
        <w:t>про невідповідність судді (кандидата на посаду судді) критеріям професійної етики та доброчесності.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>Громадською радою доброчесності (далі - ГРД) надано Комісії висновок про невідповідність кандидата на посаду судді Верховно</w:t>
      </w:r>
      <w:r w:rsidR="006C25B5">
        <w:t xml:space="preserve">го Суду </w:t>
      </w:r>
      <w:proofErr w:type="spellStart"/>
      <w:r w:rsidR="006C25B5">
        <w:t>Турченка</w:t>
      </w:r>
      <w:proofErr w:type="spellEnd"/>
      <w:r w:rsidR="006C25B5">
        <w:t xml:space="preserve"> О.В. критеріям </w:t>
      </w:r>
      <w:r w:rsidRPr="006C25B5">
        <w:t>доброчесності та професійної етики, затверджений 18 травня 2017 року (далі - висновок).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 xml:space="preserve">У висновку зазначено, що поведінка </w:t>
      </w:r>
      <w:proofErr w:type="spellStart"/>
      <w:r w:rsidRPr="006C25B5">
        <w:t>Турченка</w:t>
      </w:r>
      <w:proofErr w:type="spellEnd"/>
      <w:r w:rsidR="006C25B5">
        <w:t xml:space="preserve"> О.В. не відповідає призначенню </w:t>
      </w:r>
      <w:r w:rsidRPr="006C25B5">
        <w:t xml:space="preserve">судді і </w:t>
      </w:r>
      <w:proofErr w:type="spellStart"/>
      <w:r w:rsidRPr="006C25B5">
        <w:t>Бангалорським</w:t>
      </w:r>
      <w:proofErr w:type="spellEnd"/>
      <w:r w:rsidRPr="006C25B5">
        <w:t xml:space="preserve"> принципам пове</w:t>
      </w:r>
      <w:r w:rsidR="006C25B5">
        <w:t>дінки судді, адже суддя повинен </w:t>
      </w:r>
      <w:r w:rsidRPr="006C25B5">
        <w:t>здійснювати свою судову функцію незалежно від стороннього впливу, спонукання, тиску, загроз чи втручання, прямого чи опосередкованого, що здійснюється з будь-якої сторони та з будь-якою метою (п. 1.1).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 xml:space="preserve">У </w:t>
      </w:r>
      <w:proofErr w:type="spellStart"/>
      <w:r w:rsidRPr="006C25B5">
        <w:t>відеосюжеті</w:t>
      </w:r>
      <w:proofErr w:type="spellEnd"/>
      <w:r w:rsidRPr="006C25B5">
        <w:t xml:space="preserve"> щоденної програми новин каналу 1+1 «Телевізійна служба новин», присвяченому розгляду кандидатом справи про обрання запобіжного заходу для </w:t>
      </w:r>
      <w:proofErr w:type="spellStart"/>
      <w:r w:rsidRPr="006C25B5">
        <w:t>колаборационіста</w:t>
      </w:r>
      <w:proofErr w:type="spellEnd"/>
      <w:r w:rsidRPr="006C25B5">
        <w:t xml:space="preserve"> </w:t>
      </w:r>
      <w:r w:rsidR="006C25B5">
        <w:t>ОСОБА_1</w:t>
      </w:r>
      <w:r w:rsidRPr="006C25B5">
        <w:t xml:space="preserve">., голова </w:t>
      </w:r>
      <w:r w:rsidR="006C25B5">
        <w:t>Жовтневого районного суду міста </w:t>
      </w:r>
      <w:r w:rsidRPr="006C25B5">
        <w:t xml:space="preserve">Маріуполя Наталія </w:t>
      </w:r>
      <w:proofErr w:type="spellStart"/>
      <w:r w:rsidRPr="006C25B5">
        <w:t>Кір’якова</w:t>
      </w:r>
      <w:proofErr w:type="spellEnd"/>
      <w:r w:rsidRPr="006C25B5">
        <w:t xml:space="preserve">, </w:t>
      </w:r>
      <w:proofErr w:type="spellStart"/>
      <w:r w:rsidRPr="006C25B5">
        <w:t>описучи</w:t>
      </w:r>
      <w:proofErr w:type="spellEnd"/>
      <w:r w:rsidRPr="006C25B5">
        <w:t xml:space="preserve"> події 2014 року, вказала, що коли було незрозуміло чи залишиться місто українським, кандидат відмовлявся брати під варту осіб, підозрюваних у тероризмі.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>Відмова судді від виконання своїх професійних обов’язків у непередбачений законом спосіб (самовідвід), на думку ГРД, можлива лише через припинення суддею своїх повноважень шляхом звільнення.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 xml:space="preserve">Також у висновку наведено інформацію про постановлення слідчим суддею Жовтневого районного суду міста Маріуполя Донецької області </w:t>
      </w:r>
      <w:proofErr w:type="spellStart"/>
      <w:r w:rsidRPr="006C25B5">
        <w:t>Турченком</w:t>
      </w:r>
      <w:proofErr w:type="spellEnd"/>
      <w:r w:rsidRPr="006C25B5">
        <w:t xml:space="preserve"> О.В. ухвали від 21 грудня 2015 року у справі № 263/14675/15-к про відмову у задоволенні клопотання старшого слідчого з ОВС слідчого відділу УСБ України в Донецькій області про продовження строку тримання під вартою підозрюваного у вчиненні злочину, передбаченого частиною другою статті 28, частиною першою статті 258-3 КК України </w:t>
      </w:r>
      <w:r w:rsidR="006C6C93">
        <w:t>ОСОБА_1</w:t>
      </w:r>
      <w:r w:rsidRPr="006C25B5">
        <w:t>, який після звільнення втік.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>Ця справа викликала значний суспільний резонанс та на думку журналістів і громадських активістів, таке рішення судді є сумнівним.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>За цим фактом було зареєстровано кримінальне провадження, а на інформаційний веб-портал ГРД надійшли відповідні звернення.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>На думку заявників, кандидат, не знайшов підстав для продовження строків тримання під вартою Нестеренка В.Л. (інші, більш м’які запобіжні заходи не могли бути застосовані в силу частини 5 статті 176 КПК України), не обґрунтував це в своїй</w:t>
      </w:r>
      <w:r w:rsidR="00C335E0">
        <w:t> </w:t>
      </w:r>
      <w:r w:rsidRPr="006C25B5">
        <w:t>ухвалі зрозумілим для загалу способом, не мотивував відсутність ризиків вчинення підозрюваним дій, передбачених частиною 1 статті 177 КПК України.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 xml:space="preserve">Також є інформація, що задекларована кандидатом вартість автомобіля </w:t>
      </w:r>
      <w:r w:rsidRPr="006C25B5">
        <w:rPr>
          <w:lang w:val="en-US"/>
        </w:rPr>
        <w:t>Chevrolet</w:t>
      </w:r>
      <w:r w:rsidRPr="006C25B5">
        <w:rPr>
          <w:lang w:val="ru-RU"/>
        </w:rPr>
        <w:t xml:space="preserve"> </w:t>
      </w:r>
      <w:proofErr w:type="spellStart"/>
      <w:r w:rsidRPr="006C25B5">
        <w:t>Еріса</w:t>
      </w:r>
      <w:proofErr w:type="spellEnd"/>
      <w:r w:rsidRPr="006C25B5">
        <w:t xml:space="preserve"> 2008 року випуску, набутого ним у 2015 році за 149 000 грн, дуже наближена до граничної дозволеної в той час пунктом 1 Постанови Національного</w:t>
      </w:r>
    </w:p>
    <w:p w:rsidR="00C335E0" w:rsidRDefault="00C335E0" w:rsidP="00B7320A">
      <w:pPr>
        <w:pStyle w:val="11"/>
        <w:shd w:val="clear" w:color="auto" w:fill="auto"/>
        <w:spacing w:before="0" w:after="0" w:line="240" w:lineRule="auto"/>
        <w:ind w:left="20"/>
      </w:pPr>
      <w:r>
        <w:br w:type="page"/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/>
      </w:pPr>
      <w:r w:rsidRPr="006C25B5">
        <w:lastRenderedPageBreak/>
        <w:t>банку України № 210 від 06 червня 2013 року суми готівкових розрахунків (150 тис. грн).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 xml:space="preserve">Крім того, ГРД вказує про те, що кандидат не декларував у 2013-2014 роках право користування дружини квартирою (особистий сервітут) площею 56,9 </w:t>
      </w:r>
      <w:proofErr w:type="spellStart"/>
      <w:r w:rsidRPr="006C25B5">
        <w:t>кв.м</w:t>
      </w:r>
      <w:proofErr w:type="spellEnd"/>
      <w:r w:rsidRPr="006C25B5">
        <w:t>. у місті Маріуполі, яке потім зазначив в електронних деклараціях як таке, що виникло у 2013 році.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 xml:space="preserve">Комісією у складі колегії за результатами співбесіди 26 травня 2017 року прийнято рішення про оголошення перерви та винесення на розгляд Комісії у пленарному складі питання про підтвердження здатності </w:t>
      </w:r>
      <w:proofErr w:type="spellStart"/>
      <w:r w:rsidRPr="006C25B5">
        <w:t>Турченка</w:t>
      </w:r>
      <w:proofErr w:type="spellEnd"/>
      <w:r w:rsidRPr="006C25B5">
        <w:t xml:space="preserve"> О.В. здійснювати правосуддя у Касаційному цивільному суді у складі Верховного Суду.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>Стосовно вказаних у висновку обставин кандидат надав такі пояснення.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 xml:space="preserve">Посилання у висновку на повідомлення голови Жовтневого районного суду міста Маріуполя </w:t>
      </w:r>
      <w:proofErr w:type="spellStart"/>
      <w:r w:rsidRPr="006C25B5">
        <w:t>Кір’якової</w:t>
      </w:r>
      <w:proofErr w:type="spellEnd"/>
      <w:r w:rsidRPr="006C25B5">
        <w:t xml:space="preserve"> Н.П. про те, що він відмовлявся розглядати клопотання про обрання запобіжних заходів щодо осіб, підозрюваних у тероризмі, є</w:t>
      </w:r>
      <w:r w:rsidR="006C6C93">
        <w:t xml:space="preserve"> голослівними </w:t>
      </w:r>
      <w:r w:rsidRPr="006C25B5">
        <w:t>та викликані особистими неприязними стосунками.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proofErr w:type="spellStart"/>
      <w:r w:rsidRPr="006C25B5">
        <w:t>Турченко</w:t>
      </w:r>
      <w:proofErr w:type="spellEnd"/>
      <w:r w:rsidRPr="006C25B5">
        <w:t xml:space="preserve"> О.В. зазначив, що від розгляду вказаних клопотань він не відмовлявся, самовідводів не заявляв. Вони розглядались належним чином з моменту обрання кандидата слідчим суддею (квітень 2014 року) і до закінчення п’ятирічного строку повноважень судді. Вказане підтверджується даними Єдиного державного реєстру судових рішень, а також наданими ним копіями ухвал, постановленими за результатами розгляду клопотань органів досудового розслідування про обрання запобіжних заходів або надання дозволів на проведення слідчих (розшукових) дій щодо осіб, підозрюваних у вчиненні злочинів проти громадської безпеки.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>Кандидат вказав, що ним упродовж вересня 2014 року приймались рішення про повернення клопотань слідчих УСБ України в Донецькій області про надання дозволів на проведення слідчих (розшукових) дій з набранням чинності змін до КПК України. Вказане викликано неоднозначним тлумаченням положень частини другої статті 132 КПК України щодо визначення територіальної підсудності таких клопотань. При цьому він виходив з можливої перспективи використання отриманих у результаті таких заходів забезпечення кримінального провадження доказів під час розгляду кримінальних справ по суті, оскільки вони теоретично могли бути визнані судом недопустимими в порядку пункту 1 частини другої статті 87 КПК України.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>Після отримання 02 жовтня 2014 року відповідних роз’яснень Вищого спеціалізованого суду України з розгляду цивільних і кримінальних справ із цього питання (про підсудність таких клопотань саме Жовтневому районному суду міста Маріуполя) він продовжив їх розгляд по суті.</w:t>
      </w:r>
    </w:p>
    <w:p w:rsidR="00C335E0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>Стосовно постановлення ухвали від</w:t>
      </w:r>
      <w:r w:rsidR="006C6C93">
        <w:t xml:space="preserve"> 21 грудня 2015 року у справі № </w:t>
      </w:r>
      <w:r w:rsidRPr="006C25B5">
        <w:t xml:space="preserve">263/14675/15-к, якою було відмовлено у задоволенні клопотання старшого слідчого в ОВС слідчого відділу УСБ України в Донецькій області про продовження строку тримання під вартою підозрюваного </w:t>
      </w:r>
      <w:r w:rsidR="00956DBC">
        <w:t>ОСОБА_1</w:t>
      </w:r>
      <w:r w:rsidRPr="006C25B5">
        <w:t>, кандидат вказав таке. При постановленні цього рішення він керувався положеннями частини п’ятої статті 199</w:t>
      </w:r>
      <w:r w:rsidR="00C335E0">
        <w:t> </w:t>
      </w:r>
      <w:r w:rsidRPr="006C25B5">
        <w:t xml:space="preserve">КПК України, якою передбачено, що слідчий суддя зобов’язаний відмовити у продовженні строку тримання під вартою, якщо прокурор, слідчий не доведе, що обставини, зазначені у частині третій цієї статті, виправдовують подальше тримання підозрюваного під вартою. Наведені слідчим у клопотанні ризики, які б давали достатні підстави вважати, що підозрюваний може здійснити дії, передбачені частиною першою статті 177 КПК України, були необґрунтованими і не підтверджувались належними доказами. Крім того, підстави вважати, що </w:t>
      </w:r>
      <w:r w:rsidR="00705A5F">
        <w:t>ОСОБА_1</w:t>
      </w:r>
      <w:r w:rsidR="00C335E0">
        <w:t> </w:t>
      </w:r>
      <w:r w:rsidRPr="006C25B5">
        <w:t xml:space="preserve">буде переховуватись від органів досудового розслідування, були </w:t>
      </w:r>
      <w:r w:rsidR="00C335E0">
        <w:br w:type="page"/>
      </w:r>
    </w:p>
    <w:p w:rsidR="00CA334D" w:rsidRPr="006C25B5" w:rsidRDefault="00C364D5" w:rsidP="00C335E0">
      <w:pPr>
        <w:pStyle w:val="11"/>
        <w:shd w:val="clear" w:color="auto" w:fill="auto"/>
        <w:spacing w:before="0" w:after="0" w:line="240" w:lineRule="auto"/>
        <w:ind w:left="20"/>
      </w:pPr>
      <w:r w:rsidRPr="006C25B5">
        <w:lastRenderedPageBreak/>
        <w:t>відсутні,</w:t>
      </w:r>
      <w:r w:rsidR="00C335E0">
        <w:t> </w:t>
      </w:r>
      <w:r w:rsidRPr="006C25B5">
        <w:t>оскільки всі паспорти у підозрюваного вилучені під час обшуку та направлені на експертизу.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>Суд апеляційної інстанції, перевіряючи законність вказаного рішення, повністю погодився з ним та додатково навів деякі мотиви, чому клопотання слідчого</w:t>
      </w:r>
      <w:r w:rsidR="00C335E0">
        <w:t> </w:t>
      </w:r>
      <w:r w:rsidRPr="006C25B5">
        <w:t>не підлягало задоволенню.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 xml:space="preserve">Також </w:t>
      </w:r>
      <w:proofErr w:type="spellStart"/>
      <w:r w:rsidRPr="006C25B5">
        <w:t>Турченко</w:t>
      </w:r>
      <w:proofErr w:type="spellEnd"/>
      <w:r w:rsidRPr="006C25B5">
        <w:t xml:space="preserve"> О.В. додав, що чинним кримінально-процесуальним законодавством не передбачені будь-які заходи з боку суду щодо повідомлення керівництва слідчого у разі прояву його недбалості при розгляді клопотань в ході досудового розслідування.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 xml:space="preserve">Про зареєстроване кримінальне провадження з підстав постановлення ним рішення щодо </w:t>
      </w:r>
      <w:r w:rsidR="00705A5F">
        <w:t>ОСОБА_1</w:t>
      </w:r>
      <w:r w:rsidRPr="006C25B5">
        <w:t xml:space="preserve"> кандидат зазначив, що про підозру у вчиненні </w:t>
      </w:r>
      <w:proofErr w:type="spellStart"/>
      <w:r w:rsidRPr="006C25B5">
        <w:t>злочину</w:t>
      </w:r>
      <w:proofErr w:type="spellEnd"/>
      <w:r w:rsidR="00C335E0">
        <w:t> </w:t>
      </w:r>
      <w:r w:rsidRPr="006C25B5">
        <w:t>йому</w:t>
      </w:r>
      <w:r w:rsidR="00C335E0">
        <w:t> </w:t>
      </w:r>
      <w:r w:rsidRPr="006C25B5">
        <w:t>не повідомлялося, для участі у процесуальних діях під час досудового розслідування його також не викликали.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 xml:space="preserve">Стосовно зазначеної у декларації особи, уповноваженої на виконання функцій держави або місцевого самоврядування (далі - декларація), за 2015 рік вартості автомобіля </w:t>
      </w:r>
      <w:r w:rsidR="00705A5F" w:rsidRPr="006C25B5">
        <w:rPr>
          <w:lang w:val="en-US"/>
        </w:rPr>
        <w:t>Chevrolet</w:t>
      </w:r>
      <w:r w:rsidR="00705A5F" w:rsidRPr="00705A5F">
        <w:t xml:space="preserve"> </w:t>
      </w:r>
      <w:proofErr w:type="spellStart"/>
      <w:r w:rsidR="00705A5F" w:rsidRPr="006C25B5">
        <w:t>Еріса</w:t>
      </w:r>
      <w:proofErr w:type="spellEnd"/>
      <w:r w:rsidR="00705A5F" w:rsidRPr="006C25B5">
        <w:t xml:space="preserve"> </w:t>
      </w:r>
      <w:r w:rsidRPr="006C25B5">
        <w:t xml:space="preserve">2008 року випуску 149000 грн (еквівалент 6200 доларів </w:t>
      </w:r>
      <w:r w:rsidRPr="006C25B5">
        <w:rPr>
          <w:rStyle w:val="9pt0"/>
          <w:b w:val="0"/>
          <w:sz w:val="26"/>
          <w:szCs w:val="26"/>
        </w:rPr>
        <w:t>США)</w:t>
      </w:r>
      <w:r w:rsidRPr="006C25B5">
        <w:rPr>
          <w:rStyle w:val="9pt0"/>
          <w:sz w:val="26"/>
          <w:szCs w:val="26"/>
        </w:rPr>
        <w:t xml:space="preserve"> </w:t>
      </w:r>
      <w:proofErr w:type="spellStart"/>
      <w:r w:rsidRPr="006C25B5">
        <w:t>Турченко</w:t>
      </w:r>
      <w:proofErr w:type="spellEnd"/>
      <w:r w:rsidRPr="006C25B5">
        <w:t xml:space="preserve"> </w:t>
      </w:r>
      <w:r w:rsidRPr="006C25B5">
        <w:rPr>
          <w:rStyle w:val="9pt0"/>
          <w:b w:val="0"/>
          <w:sz w:val="26"/>
          <w:szCs w:val="26"/>
        </w:rPr>
        <w:t>О.В.</w:t>
      </w:r>
      <w:r w:rsidRPr="006C25B5">
        <w:rPr>
          <w:rStyle w:val="9pt0"/>
          <w:sz w:val="26"/>
          <w:szCs w:val="26"/>
        </w:rPr>
        <w:t xml:space="preserve"> </w:t>
      </w:r>
      <w:r w:rsidRPr="006C25B5">
        <w:t>пояснив, що вона повністю відповідає дійсній сумі розрахунку, що підтверджується відповідною довідкою-рахунком серії ААЕ № 947861 від 18</w:t>
      </w:r>
      <w:r w:rsidR="00C335E0">
        <w:t> </w:t>
      </w:r>
      <w:r w:rsidRPr="006C25B5">
        <w:t>листопада 2015 року, а також ринковій вартості такого автомобіля в аналогічному технічному стані.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 xml:space="preserve">Кандидат підтвердив, що при заповненні декларацій за 2013-2014 роки у розділі III ним дійсно не вказувалася квартира у місті Маріуполі площею 56.9 </w:t>
      </w:r>
      <w:proofErr w:type="spellStart"/>
      <w:r w:rsidRPr="006C25B5">
        <w:t>кв.м</w:t>
      </w:r>
      <w:proofErr w:type="spellEnd"/>
      <w:r w:rsidRPr="006C25B5">
        <w:t xml:space="preserve">, яка належить на праві власності тещі </w:t>
      </w:r>
      <w:proofErr w:type="spellStart"/>
      <w:r w:rsidRPr="006C25B5">
        <w:t>Сопутняк</w:t>
      </w:r>
      <w:proofErr w:type="spellEnd"/>
      <w:r w:rsidRPr="006C25B5">
        <w:t xml:space="preserve"> І.В. та в якій з 2013 року мешкає його сім’я. Це було зумовлено тим, що відповідно до роз’яснень, що містилися у методичних рекомендаціях щодо заповнення таких декларацій, необхідно було зазначати лише відомості про нерухоме майно, яке перебуває у власності, в оренді чи на іншому праві користування декларанта внаслідок купівлі (приватизації, успадкування, дарування, міни, розподілу майна підприємств і організацій між засновниками та учасниками). Тобто декларування користування будь-якою нерухомістю на той час потребувало існування певних документально оформлених правовідносин, а не просто усних домовленостей між сторонами.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>Але ця інформація кандидатом не приховувалась, оскільки в розділі 1 декларації він завжди вказував як адресу фактичного проживання саме дану квартиру.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>Відповідно до абзацу другого частини першої статті 88 Закону, якщо Громадська рада доброчесності у своєму висновку вс</w:t>
      </w:r>
      <w:r w:rsidR="00705A5F">
        <w:t>тановила, що суддя (кандидат на </w:t>
      </w:r>
      <w:r w:rsidRPr="006C25B5">
        <w:t>посаду судді) не відповідає критеріям професійної етики та доброчесності, то Комісія може ухвалити рішення про підтвердження зд</w:t>
      </w:r>
      <w:r w:rsidR="00705A5F">
        <w:t>атності такого судді (кандидата </w:t>
      </w:r>
      <w:r w:rsidRPr="006C25B5">
        <w:t>на посаду судді) здійснювати правосуддя у відповідному суді лише у разі,</w:t>
      </w:r>
      <w:r w:rsidR="00C335E0">
        <w:t> </w:t>
      </w:r>
      <w:r w:rsidRPr="006C25B5">
        <w:t>якщо таке рішення підтримане не менше ніж одинадцятьма її членами.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 xml:space="preserve">Дослідивши досьє кандидата, заслухавши доповідача, уповноваженого представника ГРД, надавши оцінку обставинам, викладеним у висновку ГРД та аргументам, наведеним кандидатом, Комісія провела голосування за результатами якого пропозиція про визнання </w:t>
      </w:r>
      <w:proofErr w:type="spellStart"/>
      <w:r w:rsidRPr="006C25B5">
        <w:t>Турченка</w:t>
      </w:r>
      <w:proofErr w:type="spellEnd"/>
      <w:r w:rsidRPr="006C25B5">
        <w:t xml:space="preserve"> О.В. таким, що підтвердив здатність здійснювати правосуддя у Касаційному цивільному суді у складі Верховного Суду була підтримана лише 6 (шістьма) членами Комісії.</w:t>
      </w:r>
    </w:p>
    <w:p w:rsidR="00470AA4" w:rsidRPr="006C25B5" w:rsidRDefault="00C364D5" w:rsidP="00B7320A">
      <w:pPr>
        <w:pStyle w:val="11"/>
        <w:shd w:val="clear" w:color="auto" w:fill="auto"/>
        <w:spacing w:before="0" w:after="0" w:line="240" w:lineRule="auto"/>
        <w:ind w:left="20" w:firstLine="700"/>
      </w:pPr>
      <w:r w:rsidRPr="006C25B5">
        <w:t xml:space="preserve">Слід зазначити, що кваліфікаційне оцінювання, зокрема </w:t>
      </w:r>
      <w:proofErr w:type="spellStart"/>
      <w:r w:rsidRPr="006C25B5">
        <w:t>Турченка</w:t>
      </w:r>
      <w:proofErr w:type="spellEnd"/>
      <w:r w:rsidRPr="006C25B5">
        <w:t xml:space="preserve"> О.В., здійснювалося в межах конкурсу на зайняття вакантних посад суддів касаційних судів у складі Верховного Суду, що обумовлювало перевірку кандидата на</w:t>
      </w:r>
      <w:r w:rsidR="00C335E0">
        <w:t xml:space="preserve"> </w:t>
      </w:r>
    </w:p>
    <w:p w:rsidR="00C335E0" w:rsidRDefault="00C335E0" w:rsidP="00470AA4">
      <w:pPr>
        <w:pStyle w:val="11"/>
        <w:shd w:val="clear" w:color="auto" w:fill="auto"/>
        <w:spacing w:before="0" w:after="0" w:line="240" w:lineRule="auto"/>
        <w:ind w:left="20"/>
      </w:pPr>
      <w:r>
        <w:br w:type="page"/>
      </w:r>
    </w:p>
    <w:p w:rsidR="00CA334D" w:rsidRPr="006C25B5" w:rsidRDefault="00C364D5" w:rsidP="00470AA4">
      <w:pPr>
        <w:pStyle w:val="11"/>
        <w:shd w:val="clear" w:color="auto" w:fill="auto"/>
        <w:spacing w:before="0" w:after="0" w:line="240" w:lineRule="auto"/>
        <w:ind w:left="20"/>
      </w:pPr>
      <w:bookmarkStart w:id="0" w:name="_GoBack"/>
      <w:bookmarkEnd w:id="0"/>
      <w:r w:rsidRPr="006C25B5">
        <w:lastRenderedPageBreak/>
        <w:t>відповідність найвищим стандартам та вимагало відсутності щонайменшого обґрунтованого сумніву у чеснотах майбутніх суддів Верховного Суду. Відтак висновки Комісії за результатами цього кваліфікаці</w:t>
      </w:r>
      <w:r w:rsidR="00705A5F">
        <w:t xml:space="preserve">йного оцінювання не можуть </w:t>
      </w:r>
      <w:proofErr w:type="spellStart"/>
      <w:r w:rsidR="00705A5F">
        <w:t>мати </w:t>
      </w:r>
      <w:r w:rsidRPr="006C25B5">
        <w:t>преюдиці</w:t>
      </w:r>
      <w:proofErr w:type="spellEnd"/>
      <w:r w:rsidRPr="006C25B5">
        <w:t>йного значення та негативно вплинути на п</w:t>
      </w:r>
      <w:r w:rsidR="00705A5F">
        <w:t>роходження кандидатом інших </w:t>
      </w:r>
      <w:r w:rsidRPr="006C25B5">
        <w:t>процедур, пов’язаних з кар’єрою судді.</w:t>
      </w:r>
    </w:p>
    <w:p w:rsidR="00CA334D" w:rsidRPr="006C25B5" w:rsidRDefault="00C364D5" w:rsidP="00B7320A">
      <w:pPr>
        <w:pStyle w:val="11"/>
        <w:shd w:val="clear" w:color="auto" w:fill="auto"/>
        <w:spacing w:before="0" w:after="270" w:line="240" w:lineRule="auto"/>
        <w:ind w:left="20" w:firstLine="700"/>
        <w:jc w:val="left"/>
      </w:pPr>
      <w:r w:rsidRPr="006C25B5">
        <w:t>Ураховуючи викладене, керуючись статтями 88, 93, 101 Закону, Положенням, Комісія</w:t>
      </w:r>
    </w:p>
    <w:p w:rsidR="00CA334D" w:rsidRPr="006C25B5" w:rsidRDefault="00C364D5" w:rsidP="00B7320A">
      <w:pPr>
        <w:pStyle w:val="11"/>
        <w:shd w:val="clear" w:color="auto" w:fill="auto"/>
        <w:spacing w:before="0" w:after="253" w:line="240" w:lineRule="auto"/>
        <w:jc w:val="center"/>
      </w:pPr>
      <w:r w:rsidRPr="006C25B5">
        <w:t>вирішила:</w:t>
      </w:r>
    </w:p>
    <w:p w:rsidR="00CA334D" w:rsidRPr="006C25B5" w:rsidRDefault="00C364D5" w:rsidP="00B7320A">
      <w:pPr>
        <w:pStyle w:val="11"/>
        <w:shd w:val="clear" w:color="auto" w:fill="auto"/>
        <w:spacing w:before="0" w:after="0" w:line="240" w:lineRule="auto"/>
        <w:ind w:left="20"/>
      </w:pPr>
      <w:r w:rsidRPr="006C25B5">
        <w:t xml:space="preserve">визнати </w:t>
      </w:r>
      <w:proofErr w:type="spellStart"/>
      <w:r w:rsidRPr="006C25B5">
        <w:t>Турченка</w:t>
      </w:r>
      <w:proofErr w:type="spellEnd"/>
      <w:r w:rsidRPr="006C25B5">
        <w:t xml:space="preserve"> Олексія Валерійовича таким, що не підтвердив здатності здійснювати правосуддя у Касаційному цивільному суді у складі Верховного Суду за критеріями професійної етики та доброчесності.</w:t>
      </w:r>
    </w:p>
    <w:p w:rsidR="00CA334D" w:rsidRPr="006C25B5" w:rsidRDefault="00CA334D" w:rsidP="00B7320A">
      <w:pPr>
        <w:rPr>
          <w:rFonts w:ascii="Times New Roman" w:hAnsi="Times New Roman" w:cs="Times New Roman"/>
          <w:sz w:val="26"/>
          <w:szCs w:val="26"/>
        </w:rPr>
      </w:pPr>
    </w:p>
    <w:p w:rsidR="00CA334D" w:rsidRPr="006C25B5" w:rsidRDefault="00CA334D" w:rsidP="00B7320A">
      <w:pPr>
        <w:rPr>
          <w:rFonts w:ascii="Times New Roman" w:hAnsi="Times New Roman" w:cs="Times New Roman"/>
          <w:sz w:val="26"/>
          <w:szCs w:val="26"/>
        </w:rPr>
      </w:pPr>
    </w:p>
    <w:p w:rsidR="00B7320A" w:rsidRPr="006C25B5" w:rsidRDefault="00B7320A" w:rsidP="00705A5F">
      <w:pPr>
        <w:pStyle w:val="21"/>
        <w:shd w:val="clear" w:color="auto" w:fill="auto"/>
        <w:tabs>
          <w:tab w:val="left" w:pos="0"/>
        </w:tabs>
        <w:spacing w:before="0" w:line="480" w:lineRule="auto"/>
        <w:rPr>
          <w:sz w:val="26"/>
          <w:szCs w:val="26"/>
        </w:rPr>
      </w:pPr>
      <w:r w:rsidRPr="006C25B5">
        <w:rPr>
          <w:sz w:val="26"/>
          <w:szCs w:val="26"/>
        </w:rPr>
        <w:t>Головуючий</w:t>
      </w:r>
      <w:r w:rsidRPr="006C25B5">
        <w:rPr>
          <w:sz w:val="26"/>
          <w:szCs w:val="26"/>
        </w:rPr>
        <w:tab/>
      </w:r>
      <w:r w:rsidRPr="006C25B5">
        <w:rPr>
          <w:sz w:val="26"/>
          <w:szCs w:val="26"/>
        </w:rPr>
        <w:tab/>
      </w:r>
      <w:r w:rsidRPr="006C25B5">
        <w:rPr>
          <w:sz w:val="26"/>
          <w:szCs w:val="26"/>
        </w:rPr>
        <w:tab/>
      </w:r>
      <w:r w:rsidRPr="006C25B5">
        <w:rPr>
          <w:sz w:val="26"/>
          <w:szCs w:val="26"/>
        </w:rPr>
        <w:tab/>
      </w:r>
      <w:r w:rsidRPr="006C25B5">
        <w:rPr>
          <w:sz w:val="26"/>
          <w:szCs w:val="26"/>
        </w:rPr>
        <w:tab/>
      </w:r>
      <w:r w:rsidRPr="006C25B5">
        <w:rPr>
          <w:sz w:val="26"/>
          <w:szCs w:val="26"/>
        </w:rPr>
        <w:tab/>
      </w:r>
      <w:r w:rsidRPr="006C25B5">
        <w:rPr>
          <w:sz w:val="26"/>
          <w:szCs w:val="26"/>
        </w:rPr>
        <w:tab/>
      </w:r>
      <w:r w:rsidRPr="006C25B5">
        <w:rPr>
          <w:sz w:val="26"/>
          <w:szCs w:val="26"/>
        </w:rPr>
        <w:tab/>
      </w:r>
      <w:r w:rsidRPr="006C25B5">
        <w:rPr>
          <w:sz w:val="26"/>
          <w:szCs w:val="26"/>
          <w:lang w:val="ru-RU"/>
        </w:rPr>
        <w:tab/>
      </w:r>
      <w:r w:rsidRPr="006C25B5">
        <w:rPr>
          <w:sz w:val="26"/>
          <w:szCs w:val="26"/>
        </w:rPr>
        <w:t>В.Є. Устименко</w:t>
      </w:r>
    </w:p>
    <w:p w:rsidR="00B7320A" w:rsidRPr="006C25B5" w:rsidRDefault="00B7320A" w:rsidP="00705A5F">
      <w:pPr>
        <w:pStyle w:val="aa"/>
        <w:tabs>
          <w:tab w:val="left" w:pos="0"/>
        </w:tabs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C25B5">
        <w:rPr>
          <w:rFonts w:ascii="Times New Roman" w:hAnsi="Times New Roman" w:cs="Times New Roman"/>
          <w:sz w:val="26"/>
          <w:szCs w:val="26"/>
        </w:rPr>
        <w:t xml:space="preserve">Члени Комісії: </w:t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6C25B5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B7320A" w:rsidRPr="006C25B5" w:rsidRDefault="00B7320A" w:rsidP="00705A5F">
      <w:pPr>
        <w:pStyle w:val="aa"/>
        <w:tabs>
          <w:tab w:val="left" w:pos="0"/>
        </w:tabs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  <w:t>А.В. Василенко</w:t>
      </w:r>
    </w:p>
    <w:p w:rsidR="00B7320A" w:rsidRDefault="00B7320A" w:rsidP="00705A5F">
      <w:pPr>
        <w:pStyle w:val="aa"/>
        <w:tabs>
          <w:tab w:val="left" w:pos="0"/>
        </w:tabs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  <w:t xml:space="preserve">Т.Ф. </w:t>
      </w:r>
      <w:proofErr w:type="spellStart"/>
      <w:r w:rsidRPr="006C25B5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705A5F" w:rsidRPr="006C25B5" w:rsidRDefault="00705A5F" w:rsidP="00705A5F">
      <w:pPr>
        <w:pStyle w:val="aa"/>
        <w:tabs>
          <w:tab w:val="left" w:pos="0"/>
        </w:tabs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А.О. Заріцька</w:t>
      </w:r>
    </w:p>
    <w:p w:rsidR="00B7320A" w:rsidRPr="006C25B5" w:rsidRDefault="00B7320A" w:rsidP="00705A5F">
      <w:pPr>
        <w:pStyle w:val="aa"/>
        <w:tabs>
          <w:tab w:val="left" w:pos="0"/>
        </w:tabs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  <w:t>А.Г. Козлов</w:t>
      </w:r>
    </w:p>
    <w:p w:rsidR="00B7320A" w:rsidRPr="006C25B5" w:rsidRDefault="00B7320A" w:rsidP="00705A5F">
      <w:pPr>
        <w:pStyle w:val="aa"/>
        <w:tabs>
          <w:tab w:val="left" w:pos="0"/>
        </w:tabs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B7320A" w:rsidRPr="006C25B5" w:rsidRDefault="00B7320A" w:rsidP="00705A5F">
      <w:pPr>
        <w:pStyle w:val="aa"/>
        <w:tabs>
          <w:tab w:val="left" w:pos="0"/>
        </w:tabs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6C25B5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B7320A" w:rsidRPr="006C25B5" w:rsidRDefault="00B7320A" w:rsidP="00705A5F">
      <w:pPr>
        <w:pStyle w:val="aa"/>
        <w:tabs>
          <w:tab w:val="left" w:pos="0"/>
        </w:tabs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 w:rsidRPr="006C25B5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B7320A" w:rsidRPr="006C25B5" w:rsidRDefault="00B7320A" w:rsidP="00705A5F">
      <w:pPr>
        <w:pStyle w:val="aa"/>
        <w:tabs>
          <w:tab w:val="left" w:pos="0"/>
        </w:tabs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  <w:t xml:space="preserve">М.І. </w:t>
      </w:r>
      <w:proofErr w:type="spellStart"/>
      <w:r w:rsidRPr="006C25B5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B7320A" w:rsidRPr="006C25B5" w:rsidRDefault="00B7320A" w:rsidP="00705A5F">
      <w:pPr>
        <w:pStyle w:val="aa"/>
        <w:tabs>
          <w:tab w:val="left" w:pos="0"/>
        </w:tabs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  <w:t xml:space="preserve">С.М. </w:t>
      </w:r>
      <w:proofErr w:type="spellStart"/>
      <w:r w:rsidRPr="006C25B5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B7320A" w:rsidRPr="006C25B5" w:rsidRDefault="00B7320A" w:rsidP="00705A5F">
      <w:pPr>
        <w:pStyle w:val="aa"/>
        <w:tabs>
          <w:tab w:val="left" w:pos="0"/>
        </w:tabs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  <w:t xml:space="preserve">Ю.Г. </w:t>
      </w:r>
      <w:proofErr w:type="spellStart"/>
      <w:r w:rsidRPr="006C25B5">
        <w:rPr>
          <w:rFonts w:ascii="Times New Roman" w:hAnsi="Times New Roman" w:cs="Times New Roman"/>
          <w:sz w:val="26"/>
          <w:szCs w:val="26"/>
        </w:rPr>
        <w:t>Тітов</w:t>
      </w:r>
      <w:proofErr w:type="spellEnd"/>
    </w:p>
    <w:p w:rsidR="00B7320A" w:rsidRPr="006C25B5" w:rsidRDefault="00B7320A" w:rsidP="00705A5F">
      <w:pPr>
        <w:pStyle w:val="aa"/>
        <w:tabs>
          <w:tab w:val="left" w:pos="0"/>
        </w:tabs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  <w:t>Т.С. Шилова</w:t>
      </w:r>
    </w:p>
    <w:p w:rsidR="00B7320A" w:rsidRPr="006C25B5" w:rsidRDefault="00B7320A" w:rsidP="00705A5F">
      <w:pPr>
        <w:pStyle w:val="aa"/>
        <w:tabs>
          <w:tab w:val="left" w:pos="0"/>
        </w:tabs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</w:r>
      <w:r w:rsidRPr="006C25B5">
        <w:rPr>
          <w:rFonts w:ascii="Times New Roman" w:hAnsi="Times New Roman" w:cs="Times New Roman"/>
          <w:sz w:val="26"/>
          <w:szCs w:val="26"/>
        </w:rPr>
        <w:tab/>
        <w:t xml:space="preserve">С.О. </w:t>
      </w:r>
      <w:proofErr w:type="spellStart"/>
      <w:r w:rsidRPr="006C25B5">
        <w:rPr>
          <w:rFonts w:ascii="Times New Roman" w:hAnsi="Times New Roman" w:cs="Times New Roman"/>
          <w:sz w:val="26"/>
          <w:szCs w:val="26"/>
        </w:rPr>
        <w:t>Щотка</w:t>
      </w:r>
      <w:proofErr w:type="spellEnd"/>
    </w:p>
    <w:p w:rsidR="00CA334D" w:rsidRPr="006C25B5" w:rsidRDefault="00CA334D" w:rsidP="00B7320A">
      <w:pPr>
        <w:rPr>
          <w:rFonts w:ascii="Times New Roman" w:hAnsi="Times New Roman" w:cs="Times New Roman"/>
          <w:sz w:val="26"/>
          <w:szCs w:val="26"/>
        </w:rPr>
      </w:pPr>
    </w:p>
    <w:sectPr w:rsidR="00CA334D" w:rsidRPr="006C25B5" w:rsidSect="00C335E0">
      <w:headerReference w:type="default" r:id="rId8"/>
      <w:type w:val="continuous"/>
      <w:pgSz w:w="11909" w:h="16838"/>
      <w:pgMar w:top="1134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5E0" w:rsidRDefault="00C335E0">
      <w:r>
        <w:separator/>
      </w:r>
    </w:p>
  </w:endnote>
  <w:endnote w:type="continuationSeparator" w:id="0">
    <w:p w:rsidR="00C335E0" w:rsidRDefault="00C33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5E0" w:rsidRDefault="00C335E0"/>
  </w:footnote>
  <w:footnote w:type="continuationSeparator" w:id="0">
    <w:p w:rsidR="00C335E0" w:rsidRDefault="00C335E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110049203"/>
      <w:docPartObj>
        <w:docPartGallery w:val="Page Numbers (Top of Page)"/>
        <w:docPartUnique/>
      </w:docPartObj>
    </w:sdtPr>
    <w:sdtContent>
      <w:p w:rsidR="00C335E0" w:rsidRDefault="00C335E0">
        <w:pPr>
          <w:pStyle w:val="ab"/>
          <w:jc w:val="center"/>
          <w:rPr>
            <w:rFonts w:ascii="Times New Roman" w:hAnsi="Times New Roman" w:cs="Times New Roman"/>
          </w:rPr>
        </w:pPr>
      </w:p>
      <w:p w:rsidR="00C335E0" w:rsidRDefault="00C335E0">
        <w:pPr>
          <w:pStyle w:val="ab"/>
          <w:jc w:val="center"/>
          <w:rPr>
            <w:rFonts w:ascii="Times New Roman" w:hAnsi="Times New Roman" w:cs="Times New Roman"/>
          </w:rPr>
        </w:pPr>
      </w:p>
      <w:p w:rsidR="00C335E0" w:rsidRPr="006C6C93" w:rsidRDefault="00C335E0">
        <w:pPr>
          <w:pStyle w:val="ab"/>
          <w:jc w:val="center"/>
          <w:rPr>
            <w:rFonts w:ascii="Times New Roman" w:hAnsi="Times New Roman" w:cs="Times New Roman"/>
          </w:rPr>
        </w:pPr>
        <w:r w:rsidRPr="006C6C93">
          <w:rPr>
            <w:rFonts w:ascii="Times New Roman" w:hAnsi="Times New Roman" w:cs="Times New Roman"/>
          </w:rPr>
          <w:fldChar w:fldCharType="begin"/>
        </w:r>
        <w:r w:rsidRPr="006C6C93">
          <w:rPr>
            <w:rFonts w:ascii="Times New Roman" w:hAnsi="Times New Roman" w:cs="Times New Roman"/>
          </w:rPr>
          <w:instrText>PAGE   \* MERGEFORMAT</w:instrText>
        </w:r>
        <w:r w:rsidRPr="006C6C93">
          <w:rPr>
            <w:rFonts w:ascii="Times New Roman" w:hAnsi="Times New Roman" w:cs="Times New Roman"/>
          </w:rPr>
          <w:fldChar w:fldCharType="separate"/>
        </w:r>
        <w:r w:rsidR="004460E2" w:rsidRPr="004460E2">
          <w:rPr>
            <w:rFonts w:ascii="Times New Roman" w:hAnsi="Times New Roman" w:cs="Times New Roman"/>
            <w:noProof/>
            <w:lang w:val="ru-RU"/>
          </w:rPr>
          <w:t>5</w:t>
        </w:r>
        <w:r w:rsidRPr="006C6C93">
          <w:rPr>
            <w:rFonts w:ascii="Times New Roman" w:hAnsi="Times New Roman" w:cs="Times New Roman"/>
          </w:rPr>
          <w:fldChar w:fldCharType="end"/>
        </w:r>
      </w:p>
    </w:sdtContent>
  </w:sdt>
  <w:p w:rsidR="00C335E0" w:rsidRDefault="00C335E0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A334D"/>
    <w:rsid w:val="003B452D"/>
    <w:rsid w:val="004460E2"/>
    <w:rsid w:val="00470AA4"/>
    <w:rsid w:val="006C25B5"/>
    <w:rsid w:val="006C6C93"/>
    <w:rsid w:val="00705A5F"/>
    <w:rsid w:val="00956DBC"/>
    <w:rsid w:val="00B7320A"/>
    <w:rsid w:val="00C335E0"/>
    <w:rsid w:val="00C364D5"/>
    <w:rsid w:val="00CA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135pt1pt">
    <w:name w:val="Основной текст + 13;5 pt;Полужирный;Курсив;Интервал 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7"/>
      <w:szCs w:val="27"/>
      <w:u w:val="single"/>
      <w:lang w:val="uk-UA"/>
    </w:rPr>
  </w:style>
  <w:style w:type="character" w:customStyle="1" w:styleId="135pt1pt0">
    <w:name w:val="Основной текст + 13;5 pt;Полужирный;Курсив;Интервал 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9pt">
    <w:name w:val="Основной текст + 9 pt;Полужирный;Малые прописные"/>
    <w:basedOn w:val="a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9pt0">
    <w:name w:val="Основной текст + 9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B732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320A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B7320A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color w:val="auto"/>
      <w:sz w:val="23"/>
      <w:szCs w:val="23"/>
    </w:rPr>
  </w:style>
  <w:style w:type="paragraph" w:styleId="aa">
    <w:name w:val="List Paragraph"/>
    <w:basedOn w:val="a"/>
    <w:uiPriority w:val="34"/>
    <w:qFormat/>
    <w:rsid w:val="00B7320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B7320A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7320A"/>
    <w:rPr>
      <w:color w:val="000000"/>
    </w:rPr>
  </w:style>
  <w:style w:type="paragraph" w:styleId="ad">
    <w:name w:val="footer"/>
    <w:basedOn w:val="a"/>
    <w:link w:val="ae"/>
    <w:uiPriority w:val="99"/>
    <w:unhideWhenUsed/>
    <w:rsid w:val="00B7320A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7320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8654</Words>
  <Characters>4933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2021-02-24T13:00:00Z</dcterms:created>
  <dcterms:modified xsi:type="dcterms:W3CDTF">2021-03-18T13:52:00Z</dcterms:modified>
</cp:coreProperties>
</file>