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B5C88" w:rsidRDefault="007B5C88" w:rsidP="007B5C8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 червня 2017</w:t>
      </w:r>
      <w:r w:rsidR="00E44E6F" w:rsidRPr="007B5C88">
        <w:rPr>
          <w:rFonts w:ascii="Times New Roman" w:eastAsia="Times New Roman" w:hAnsi="Times New Roman"/>
          <w:sz w:val="28"/>
          <w:szCs w:val="28"/>
          <w:lang w:eastAsia="ru-RU"/>
        </w:rPr>
        <w:t xml:space="preserve"> року</w:t>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E44E6F" w:rsidRPr="007B5C88">
        <w:rPr>
          <w:rFonts w:ascii="Times New Roman" w:eastAsia="Times New Roman" w:hAnsi="Times New Roman"/>
          <w:sz w:val="28"/>
          <w:szCs w:val="28"/>
          <w:lang w:eastAsia="ru-RU"/>
        </w:rPr>
        <w:tab/>
      </w:r>
      <w:r w:rsidR="006510A2" w:rsidRPr="007B5C88">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7B5C88" w:rsidRDefault="007B5C88" w:rsidP="006510A2">
      <w:pPr>
        <w:spacing w:after="0" w:line="240" w:lineRule="auto"/>
        <w:ind w:firstLine="709"/>
        <w:jc w:val="center"/>
        <w:rPr>
          <w:rFonts w:ascii="Times New Roman" w:eastAsia="Times New Roman" w:hAnsi="Times New Roman"/>
          <w:bCs/>
          <w:sz w:val="28"/>
          <w:szCs w:val="28"/>
          <w:lang w:eastAsia="ru-RU"/>
        </w:rPr>
      </w:pPr>
    </w:p>
    <w:p w:rsidR="00312B07" w:rsidRPr="007B5C88" w:rsidRDefault="007B3BC8" w:rsidP="007B5C8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B5C88">
        <w:rPr>
          <w:rFonts w:ascii="Times New Roman" w:eastAsia="Times New Roman" w:hAnsi="Times New Roman"/>
          <w:bCs/>
          <w:sz w:val="26"/>
          <w:szCs w:val="26"/>
          <w:u w:val="single"/>
          <w:lang w:eastAsia="ru-RU"/>
        </w:rPr>
        <w:t>142/вс-17</w:t>
      </w:r>
    </w:p>
    <w:p w:rsidR="007B5C88" w:rsidRDefault="007B5C88" w:rsidP="007B5C88">
      <w:pPr>
        <w:pStyle w:val="21"/>
        <w:shd w:val="clear" w:color="auto" w:fill="auto"/>
        <w:spacing w:after="0" w:line="706" w:lineRule="exact"/>
        <w:ind w:left="20" w:right="300"/>
        <w:rPr>
          <w:color w:val="000000"/>
          <w:sz w:val="28"/>
          <w:szCs w:val="28"/>
        </w:rPr>
      </w:pPr>
      <w:r w:rsidRPr="007B5C88">
        <w:rPr>
          <w:color w:val="000000"/>
          <w:sz w:val="28"/>
          <w:szCs w:val="28"/>
        </w:rPr>
        <w:t xml:space="preserve">Вища кваліфікаційна комісія суддів України у пленарному складі: головуючого </w:t>
      </w:r>
      <w:r>
        <w:rPr>
          <w:color w:val="000000"/>
          <w:sz w:val="28"/>
          <w:szCs w:val="28"/>
        </w:rPr>
        <w:t>–</w:t>
      </w:r>
      <w:r w:rsidRPr="007B5C88">
        <w:rPr>
          <w:color w:val="000000"/>
          <w:sz w:val="28"/>
          <w:szCs w:val="28"/>
        </w:rPr>
        <w:t xml:space="preserve"> </w:t>
      </w:r>
      <w:proofErr w:type="spellStart"/>
      <w:r w:rsidRPr="007B5C88">
        <w:rPr>
          <w:color w:val="000000"/>
          <w:sz w:val="28"/>
          <w:szCs w:val="28"/>
        </w:rPr>
        <w:t>Козьякова</w:t>
      </w:r>
      <w:proofErr w:type="spellEnd"/>
      <w:r w:rsidRPr="007B5C88">
        <w:rPr>
          <w:color w:val="000000"/>
          <w:sz w:val="28"/>
          <w:szCs w:val="28"/>
        </w:rPr>
        <w:t xml:space="preserve"> С.Ю.,</w:t>
      </w:r>
    </w:p>
    <w:p w:rsidR="007B5C88" w:rsidRPr="007B5C88" w:rsidRDefault="007B5C88" w:rsidP="007B5C88">
      <w:pPr>
        <w:pStyle w:val="21"/>
        <w:shd w:val="clear" w:color="auto" w:fill="auto"/>
        <w:spacing w:after="0" w:line="276" w:lineRule="auto"/>
        <w:ind w:left="20" w:right="300"/>
        <w:jc w:val="both"/>
        <w:rPr>
          <w:sz w:val="28"/>
          <w:szCs w:val="28"/>
        </w:rPr>
      </w:pPr>
    </w:p>
    <w:p w:rsidR="007B5C88" w:rsidRPr="007B5C88" w:rsidRDefault="007B5C88" w:rsidP="007B5C88">
      <w:pPr>
        <w:pStyle w:val="21"/>
        <w:shd w:val="clear" w:color="auto" w:fill="auto"/>
        <w:spacing w:after="304" w:line="355" w:lineRule="exact"/>
        <w:ind w:left="20" w:right="20"/>
        <w:jc w:val="both"/>
        <w:rPr>
          <w:sz w:val="28"/>
          <w:szCs w:val="28"/>
        </w:rPr>
      </w:pPr>
      <w:r w:rsidRPr="007B5C88">
        <w:rPr>
          <w:color w:val="000000"/>
          <w:sz w:val="28"/>
          <w:szCs w:val="28"/>
        </w:rPr>
        <w:t xml:space="preserve">членів Комісії: </w:t>
      </w:r>
      <w:proofErr w:type="spellStart"/>
      <w:r w:rsidRPr="007B5C88">
        <w:rPr>
          <w:color w:val="000000"/>
          <w:sz w:val="28"/>
          <w:szCs w:val="28"/>
        </w:rPr>
        <w:t>Бутенка</w:t>
      </w:r>
      <w:proofErr w:type="spellEnd"/>
      <w:r w:rsidRPr="007B5C88">
        <w:rPr>
          <w:color w:val="000000"/>
          <w:sz w:val="28"/>
          <w:szCs w:val="28"/>
        </w:rPr>
        <w:t xml:space="preserve"> В.І., Василенка А.В., </w:t>
      </w:r>
      <w:proofErr w:type="spellStart"/>
      <w:r w:rsidRPr="007B5C88">
        <w:rPr>
          <w:color w:val="000000"/>
          <w:sz w:val="28"/>
          <w:szCs w:val="28"/>
        </w:rPr>
        <w:t>Весельської</w:t>
      </w:r>
      <w:proofErr w:type="spellEnd"/>
      <w:r w:rsidRPr="007B5C88">
        <w:rPr>
          <w:color w:val="000000"/>
          <w:sz w:val="28"/>
          <w:szCs w:val="28"/>
        </w:rPr>
        <w:t xml:space="preserve"> Т.Ф., </w:t>
      </w:r>
      <w:proofErr w:type="spellStart"/>
      <w:r w:rsidRPr="007B5C88">
        <w:rPr>
          <w:color w:val="000000"/>
          <w:sz w:val="28"/>
          <w:szCs w:val="28"/>
        </w:rPr>
        <w:t>Заріцької</w:t>
      </w:r>
      <w:proofErr w:type="spellEnd"/>
      <w:r w:rsidRPr="007B5C88">
        <w:rPr>
          <w:color w:val="000000"/>
          <w:sz w:val="28"/>
          <w:szCs w:val="28"/>
        </w:rPr>
        <w:t xml:space="preserve"> А.О., Козлова А.Г., Лукаша Т.В., </w:t>
      </w:r>
      <w:proofErr w:type="spellStart"/>
      <w:r w:rsidRPr="007B5C88">
        <w:rPr>
          <w:color w:val="000000"/>
          <w:sz w:val="28"/>
          <w:szCs w:val="28"/>
        </w:rPr>
        <w:t>Луцюка</w:t>
      </w:r>
      <w:proofErr w:type="spellEnd"/>
      <w:r w:rsidRPr="007B5C88">
        <w:rPr>
          <w:color w:val="000000"/>
          <w:sz w:val="28"/>
          <w:szCs w:val="28"/>
        </w:rPr>
        <w:t xml:space="preserve"> П.С., </w:t>
      </w:r>
      <w:proofErr w:type="spellStart"/>
      <w:r w:rsidRPr="007B5C88">
        <w:rPr>
          <w:color w:val="000000"/>
          <w:sz w:val="28"/>
          <w:szCs w:val="28"/>
        </w:rPr>
        <w:t>Макарчука</w:t>
      </w:r>
      <w:proofErr w:type="spellEnd"/>
      <w:r w:rsidRPr="007B5C88">
        <w:rPr>
          <w:color w:val="000000"/>
          <w:sz w:val="28"/>
          <w:szCs w:val="28"/>
        </w:rPr>
        <w:t xml:space="preserve"> М.А., </w:t>
      </w:r>
      <w:proofErr w:type="spellStart"/>
      <w:r w:rsidRPr="007B5C88">
        <w:rPr>
          <w:color w:val="000000"/>
          <w:sz w:val="28"/>
          <w:szCs w:val="28"/>
        </w:rPr>
        <w:t>Мішина</w:t>
      </w:r>
      <w:proofErr w:type="spellEnd"/>
      <w:r w:rsidRPr="007B5C88">
        <w:rPr>
          <w:color w:val="000000"/>
          <w:sz w:val="28"/>
          <w:szCs w:val="28"/>
        </w:rPr>
        <w:t xml:space="preserve"> М.І., </w:t>
      </w:r>
      <w:proofErr w:type="spellStart"/>
      <w:r w:rsidRPr="007B5C88">
        <w:rPr>
          <w:color w:val="000000"/>
          <w:sz w:val="28"/>
          <w:szCs w:val="28"/>
        </w:rPr>
        <w:t>Прилипка</w:t>
      </w:r>
      <w:proofErr w:type="spellEnd"/>
      <w:r w:rsidRPr="007B5C88">
        <w:rPr>
          <w:color w:val="000000"/>
          <w:sz w:val="28"/>
          <w:szCs w:val="28"/>
        </w:rPr>
        <w:t xml:space="preserve"> С.М., </w:t>
      </w:r>
      <w:proofErr w:type="spellStart"/>
      <w:r w:rsidRPr="007B5C88">
        <w:rPr>
          <w:color w:val="000000"/>
          <w:sz w:val="28"/>
          <w:szCs w:val="28"/>
        </w:rPr>
        <w:t>Тітова</w:t>
      </w:r>
      <w:proofErr w:type="spellEnd"/>
      <w:r w:rsidRPr="007B5C88">
        <w:rPr>
          <w:color w:val="000000"/>
          <w:sz w:val="28"/>
          <w:szCs w:val="28"/>
        </w:rPr>
        <w:t xml:space="preserve"> Ю.Г., Устименко В.Є., Шилової Т.С., </w:t>
      </w:r>
      <w:proofErr w:type="spellStart"/>
      <w:r w:rsidRPr="007B5C88">
        <w:rPr>
          <w:color w:val="000000"/>
          <w:sz w:val="28"/>
          <w:szCs w:val="28"/>
        </w:rPr>
        <w:t>Щотки</w:t>
      </w:r>
      <w:proofErr w:type="spellEnd"/>
      <w:r w:rsidRPr="007B5C88">
        <w:rPr>
          <w:color w:val="000000"/>
          <w:sz w:val="28"/>
          <w:szCs w:val="28"/>
        </w:rPr>
        <w:t xml:space="preserve"> С.О.,</w:t>
      </w:r>
    </w:p>
    <w:p w:rsidR="007B5C88" w:rsidRPr="007B5C88" w:rsidRDefault="007B5C88" w:rsidP="007B5C88">
      <w:pPr>
        <w:pStyle w:val="21"/>
        <w:shd w:val="clear" w:color="auto" w:fill="auto"/>
        <w:spacing w:after="0" w:line="350" w:lineRule="exact"/>
        <w:ind w:left="20" w:right="20"/>
        <w:jc w:val="both"/>
        <w:rPr>
          <w:sz w:val="28"/>
          <w:szCs w:val="28"/>
        </w:rPr>
      </w:pPr>
      <w:r w:rsidRPr="007B5C88">
        <w:rPr>
          <w:color w:val="000000"/>
          <w:sz w:val="28"/>
          <w:szCs w:val="28"/>
        </w:rPr>
        <w:t>розглянувши питання про підтвердження здатності кандидата на посаду судді Касаційного господарського суду у складі Верховного Суду Рогач Лариси Іванівни здійснювати правосуддя у відповідному суді, стосовно якої оголошено перерву відповідно до абзацу 2 частини першої статті 88 Закону України «Про судоустрій і статус суддів»,</w:t>
      </w:r>
    </w:p>
    <w:p w:rsidR="007B5C88" w:rsidRPr="007B5C88" w:rsidRDefault="007B5C88" w:rsidP="007B5C88">
      <w:pPr>
        <w:pStyle w:val="21"/>
        <w:shd w:val="clear" w:color="auto" w:fill="auto"/>
        <w:spacing w:after="290" w:line="280" w:lineRule="exact"/>
        <w:ind w:right="20"/>
        <w:jc w:val="center"/>
        <w:rPr>
          <w:sz w:val="28"/>
          <w:szCs w:val="28"/>
        </w:rPr>
      </w:pPr>
      <w:r w:rsidRPr="007B5C88">
        <w:rPr>
          <w:color w:val="000000"/>
          <w:sz w:val="28"/>
          <w:szCs w:val="28"/>
        </w:rPr>
        <w:t>встановила:</w:t>
      </w:r>
    </w:p>
    <w:p w:rsidR="007B5C88" w:rsidRPr="007B5C88" w:rsidRDefault="007B5C88" w:rsidP="007B5C88">
      <w:pPr>
        <w:pStyle w:val="21"/>
        <w:shd w:val="clear" w:color="auto" w:fill="auto"/>
        <w:spacing w:after="0" w:line="350" w:lineRule="exact"/>
        <w:ind w:left="20" w:right="20" w:firstLine="700"/>
        <w:jc w:val="both"/>
        <w:rPr>
          <w:sz w:val="28"/>
          <w:szCs w:val="28"/>
        </w:rPr>
      </w:pPr>
      <w:r w:rsidRPr="007B5C88">
        <w:rPr>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7B5C88" w:rsidRPr="007B5C88" w:rsidRDefault="007B5C88" w:rsidP="007B5C88">
      <w:pPr>
        <w:pStyle w:val="21"/>
        <w:shd w:val="clear" w:color="auto" w:fill="auto"/>
        <w:spacing w:after="0" w:line="350" w:lineRule="exact"/>
        <w:ind w:left="20" w:right="20" w:firstLine="700"/>
        <w:jc w:val="both"/>
        <w:rPr>
          <w:sz w:val="28"/>
          <w:szCs w:val="28"/>
        </w:rPr>
      </w:pPr>
      <w:r w:rsidRPr="007B5C88">
        <w:rPr>
          <w:color w:val="000000"/>
          <w:sz w:val="28"/>
          <w:szCs w:val="28"/>
        </w:rPr>
        <w:t>Рогач Л.І. звернулася до Комісії із заявою про проведення стосовно неї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7B5C88" w:rsidRPr="007B5C88" w:rsidRDefault="007B5C88" w:rsidP="007B5C88">
      <w:pPr>
        <w:pStyle w:val="21"/>
        <w:shd w:val="clear" w:color="auto" w:fill="auto"/>
        <w:spacing w:after="0" w:line="350" w:lineRule="exact"/>
        <w:ind w:left="20" w:right="20" w:firstLine="700"/>
        <w:jc w:val="both"/>
        <w:rPr>
          <w:sz w:val="28"/>
          <w:szCs w:val="28"/>
        </w:rPr>
      </w:pPr>
      <w:r w:rsidRPr="007B5C88">
        <w:rPr>
          <w:color w:val="000000"/>
          <w:sz w:val="28"/>
          <w:szCs w:val="28"/>
        </w:rPr>
        <w:t>Комісією 13 грудня 2016 року прийнято рішення №93/вс-16, зокрема, про допуск Рогач Л.І. до участі у конкурсі на посаду судді Касаційного господарського суду у складі Верховного Суду.</w:t>
      </w:r>
    </w:p>
    <w:p w:rsidR="007B5C88" w:rsidRPr="007B5C88" w:rsidRDefault="007B5C88" w:rsidP="007B5C88">
      <w:pPr>
        <w:pStyle w:val="21"/>
        <w:shd w:val="clear" w:color="auto" w:fill="auto"/>
        <w:spacing w:after="0" w:line="350" w:lineRule="exact"/>
        <w:ind w:left="20" w:right="20" w:firstLine="700"/>
        <w:jc w:val="both"/>
        <w:rPr>
          <w:sz w:val="28"/>
          <w:szCs w:val="28"/>
        </w:rPr>
      </w:pPr>
      <w:r w:rsidRPr="007B5C88">
        <w:rPr>
          <w:color w:val="000000"/>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w:t>
      </w:r>
      <w:r w:rsidR="00AE78C2">
        <w:rPr>
          <w:color w:val="000000"/>
          <w:sz w:val="28"/>
          <w:szCs w:val="28"/>
        </w:rPr>
        <w:t xml:space="preserve"> </w:t>
      </w:r>
      <w:r w:rsidRPr="007B5C88">
        <w:rPr>
          <w:color w:val="000000"/>
          <w:sz w:val="28"/>
          <w:szCs w:val="28"/>
        </w:rPr>
        <w:t>Суду,</w:t>
      </w:r>
      <w:r w:rsidR="00AE78C2">
        <w:rPr>
          <w:color w:val="000000"/>
          <w:sz w:val="28"/>
          <w:szCs w:val="28"/>
        </w:rPr>
        <w:t> </w:t>
      </w:r>
      <w:r w:rsidRPr="007B5C88">
        <w:rPr>
          <w:color w:val="000000"/>
          <w:sz w:val="28"/>
          <w:szCs w:val="28"/>
        </w:rPr>
        <w:t>зокрема Рогач Л.І.</w:t>
      </w:r>
    </w:p>
    <w:p w:rsidR="00AE78C2" w:rsidRDefault="007B5C88" w:rsidP="007B5C88">
      <w:pPr>
        <w:pStyle w:val="21"/>
        <w:shd w:val="clear" w:color="auto" w:fill="auto"/>
        <w:spacing w:after="0" w:line="350" w:lineRule="exact"/>
        <w:ind w:left="20" w:right="20" w:firstLine="700"/>
        <w:jc w:val="both"/>
        <w:rPr>
          <w:sz w:val="28"/>
          <w:szCs w:val="28"/>
        </w:rPr>
      </w:pPr>
      <w:r w:rsidRPr="007B5C88">
        <w:rPr>
          <w:color w:val="000000"/>
          <w:sz w:val="28"/>
          <w:szCs w:val="28"/>
        </w:rPr>
        <w:t>Комісією 10 лютого 2017 року прийнято рішення №47/вс-17, зокрема, про допуск Рогач Л.І. до проходження кваліфікаційного оцінювання для участі у</w:t>
      </w:r>
      <w:r>
        <w:rPr>
          <w:sz w:val="28"/>
          <w:szCs w:val="28"/>
        </w:rPr>
        <w:br/>
      </w:r>
      <w:r w:rsidR="00AE78C2">
        <w:rPr>
          <w:sz w:val="28"/>
          <w:szCs w:val="28"/>
        </w:rPr>
        <w:lastRenderedPageBreak/>
        <w:br w:type="page"/>
      </w:r>
    </w:p>
    <w:p w:rsidR="007B5C88" w:rsidRPr="007B5C88" w:rsidRDefault="007B5C88" w:rsidP="007B5C88">
      <w:pPr>
        <w:pStyle w:val="21"/>
        <w:shd w:val="clear" w:color="auto" w:fill="auto"/>
        <w:spacing w:after="0" w:line="350" w:lineRule="exact"/>
        <w:ind w:left="20" w:right="20" w:hanging="20"/>
        <w:jc w:val="both"/>
        <w:rPr>
          <w:sz w:val="28"/>
          <w:szCs w:val="28"/>
        </w:rPr>
      </w:pPr>
      <w:r w:rsidRPr="007B5C88">
        <w:rPr>
          <w:color w:val="000000"/>
          <w:sz w:val="28"/>
          <w:szCs w:val="28"/>
        </w:rPr>
        <w:lastRenderedPageBreak/>
        <w:t>конкурсі на посаду судді Касаційного господарського суду у складі Верховного Суду.</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 xml:space="preserve">Положеннями статті 83 Закону України «Про судоустрій і статус суддів» (далі </w:t>
      </w:r>
      <w:r>
        <w:rPr>
          <w:color w:val="000000"/>
          <w:sz w:val="28"/>
          <w:szCs w:val="28"/>
        </w:rPr>
        <w:t>–</w:t>
      </w:r>
      <w:r w:rsidRPr="007B5C88">
        <w:rPr>
          <w:color w:val="000000"/>
          <w:sz w:val="28"/>
          <w:szCs w:val="28"/>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Рогач Л.І. 16 лютого 2017 року склала анонімне письмове тестування, за результатами якого набрала 89,25 бала, і згідно з рішенням Комісії від</w:t>
      </w:r>
      <w:r w:rsidR="00AE78C2">
        <w:rPr>
          <w:color w:val="000000"/>
          <w:sz w:val="28"/>
          <w:szCs w:val="28"/>
        </w:rPr>
        <w:t xml:space="preserve"> </w:t>
      </w:r>
      <w:r w:rsidRPr="007B5C88">
        <w:rPr>
          <w:color w:val="000000"/>
          <w:sz w:val="28"/>
          <w:szCs w:val="28"/>
        </w:rPr>
        <w:t>17</w:t>
      </w:r>
      <w:r w:rsidR="00AE78C2">
        <w:rPr>
          <w:color w:val="000000"/>
          <w:sz w:val="28"/>
          <w:szCs w:val="28"/>
        </w:rPr>
        <w:t> </w:t>
      </w:r>
      <w:r w:rsidRPr="007B5C88">
        <w:rPr>
          <w:color w:val="000000"/>
          <w:sz w:val="28"/>
          <w:szCs w:val="28"/>
        </w:rPr>
        <w:t>лютого</w:t>
      </w:r>
      <w:r w:rsidR="00AE78C2">
        <w:rPr>
          <w:color w:val="000000"/>
          <w:sz w:val="28"/>
          <w:szCs w:val="28"/>
        </w:rPr>
        <w:t> </w:t>
      </w:r>
      <w:r w:rsidRPr="007B5C88">
        <w:rPr>
          <w:color w:val="000000"/>
          <w:sz w:val="28"/>
          <w:szCs w:val="28"/>
        </w:rPr>
        <w:t>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За результатами виконаного 21 лютого 2017 року практичного завдання Рогач Л.І. набрала 83,5 бала та згідно з рішенням Комісії від 29 березня</w:t>
      </w:r>
      <w:r w:rsidR="00AE78C2">
        <w:rPr>
          <w:color w:val="000000"/>
          <w:sz w:val="28"/>
          <w:szCs w:val="28"/>
        </w:rPr>
        <w:t xml:space="preserve"> </w:t>
      </w:r>
      <w:r w:rsidRPr="007B5C88">
        <w:rPr>
          <w:color w:val="000000"/>
          <w:sz w:val="28"/>
          <w:szCs w:val="28"/>
        </w:rPr>
        <w:t>2017</w:t>
      </w:r>
      <w:r w:rsidR="00AE78C2">
        <w:rPr>
          <w:color w:val="000000"/>
          <w:sz w:val="28"/>
          <w:szCs w:val="28"/>
        </w:rPr>
        <w:t> </w:t>
      </w:r>
      <w:r w:rsidRPr="007B5C88">
        <w:rPr>
          <w:color w:val="000000"/>
          <w:sz w:val="28"/>
          <w:szCs w:val="28"/>
        </w:rPr>
        <w:t>року № 22/зп-17 визнана такою, що допущена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 xml:space="preserve">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Pr>
          <w:color w:val="000000"/>
          <w:sz w:val="28"/>
          <w:szCs w:val="28"/>
        </w:rPr>
        <w:t>–</w:t>
      </w:r>
      <w:r w:rsidRPr="007B5C88">
        <w:rPr>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w:t>
      </w:r>
      <w:r w:rsidR="00AE78C2">
        <w:rPr>
          <w:color w:val="000000"/>
          <w:sz w:val="28"/>
          <w:szCs w:val="28"/>
        </w:rPr>
        <w:t xml:space="preserve"> </w:t>
      </w:r>
      <w:r w:rsidRPr="007B5C88">
        <w:rPr>
          <w:color w:val="000000"/>
          <w:sz w:val="28"/>
          <w:szCs w:val="28"/>
        </w:rPr>
        <w:t>доброчесності,</w:t>
      </w:r>
      <w:r w:rsidR="00AE78C2">
        <w:rPr>
          <w:color w:val="000000"/>
          <w:sz w:val="28"/>
          <w:szCs w:val="28"/>
        </w:rPr>
        <w:t> </w:t>
      </w:r>
      <w:r w:rsidRPr="007B5C88">
        <w:rPr>
          <w:color w:val="000000"/>
          <w:sz w:val="28"/>
          <w:szCs w:val="28"/>
        </w:rPr>
        <w:t>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Громадською радою доброчесності надано висновок про невідповідність кандидата на посаду судді Верховного Суду Рогач Л.І. критеріям доброчесності та професійної етики, затверджений 08 травня 2017 року.</w:t>
      </w:r>
    </w:p>
    <w:p w:rsidR="00D35CFE" w:rsidRDefault="007B5C88" w:rsidP="007B5C88">
      <w:pPr>
        <w:pStyle w:val="21"/>
        <w:shd w:val="clear" w:color="auto" w:fill="auto"/>
        <w:spacing w:after="0" w:line="350" w:lineRule="exact"/>
        <w:ind w:left="20" w:right="20" w:firstLine="720"/>
        <w:jc w:val="both"/>
        <w:rPr>
          <w:color w:val="000000"/>
          <w:sz w:val="28"/>
          <w:szCs w:val="28"/>
        </w:rPr>
      </w:pPr>
      <w:r w:rsidRPr="007B5C88">
        <w:rPr>
          <w:color w:val="000000"/>
          <w:sz w:val="28"/>
          <w:szCs w:val="28"/>
        </w:rPr>
        <w:t>Відповідно до висновку Громадської ради доброчесності Департаментом спеціальних розслідувань Генеральної прокуратури України здійснюється досудове розслідування у кримінальному провадженні №</w:t>
      </w:r>
      <w:r w:rsidR="00D35CFE">
        <w:rPr>
          <w:color w:val="000000"/>
          <w:sz w:val="28"/>
          <w:szCs w:val="28"/>
        </w:rPr>
        <w:t xml:space="preserve"> ІНФОРМАЦІЯ_1</w:t>
      </w:r>
      <w:r w:rsidRPr="007B5C88">
        <w:rPr>
          <w:color w:val="000000"/>
          <w:sz w:val="28"/>
          <w:szCs w:val="28"/>
        </w:rPr>
        <w:t xml:space="preserve"> за підозрою колишнього голови ВГС України </w:t>
      </w:r>
      <w:r w:rsidR="00D35CFE">
        <w:rPr>
          <w:color w:val="000000"/>
          <w:sz w:val="28"/>
          <w:szCs w:val="28"/>
        </w:rPr>
        <w:t>ОСОБА_1</w:t>
      </w:r>
      <w:r w:rsidRPr="007B5C88">
        <w:rPr>
          <w:color w:val="000000"/>
          <w:sz w:val="28"/>
          <w:szCs w:val="28"/>
        </w:rPr>
        <w:t xml:space="preserve">, його колишнього заступника </w:t>
      </w:r>
      <w:r w:rsidR="00D35CFE">
        <w:rPr>
          <w:color w:val="000000"/>
          <w:sz w:val="28"/>
          <w:szCs w:val="28"/>
        </w:rPr>
        <w:t>ОСОБА_2</w:t>
      </w:r>
      <w:r w:rsidRPr="007B5C88">
        <w:rPr>
          <w:color w:val="000000"/>
          <w:sz w:val="28"/>
          <w:szCs w:val="28"/>
        </w:rPr>
        <w:t xml:space="preserve"> (нині суддя вказаного суду) та колишнього головного</w:t>
      </w:r>
      <w:r w:rsidR="00D35CFE">
        <w:rPr>
          <w:color w:val="000000"/>
          <w:sz w:val="28"/>
          <w:szCs w:val="28"/>
        </w:rPr>
        <w:br/>
      </w:r>
    </w:p>
    <w:p w:rsidR="00D35CFE" w:rsidRDefault="00D35CFE">
      <w:pPr>
        <w:rPr>
          <w:rFonts w:ascii="Times New Roman" w:eastAsia="Times New Roman" w:hAnsi="Times New Roman"/>
          <w:color w:val="000000"/>
          <w:sz w:val="28"/>
          <w:szCs w:val="28"/>
        </w:rPr>
      </w:pPr>
      <w:r>
        <w:rPr>
          <w:color w:val="000000"/>
          <w:sz w:val="28"/>
          <w:szCs w:val="28"/>
        </w:rPr>
        <w:br w:type="page"/>
      </w:r>
    </w:p>
    <w:p w:rsidR="007B5C88" w:rsidRPr="007B5C88" w:rsidRDefault="007B5C88" w:rsidP="00D35CFE">
      <w:pPr>
        <w:pStyle w:val="21"/>
        <w:shd w:val="clear" w:color="auto" w:fill="auto"/>
        <w:spacing w:after="0" w:line="350" w:lineRule="exact"/>
        <w:ind w:left="20" w:right="20"/>
        <w:jc w:val="both"/>
        <w:rPr>
          <w:sz w:val="28"/>
          <w:szCs w:val="28"/>
        </w:rPr>
      </w:pPr>
      <w:r w:rsidRPr="007B5C88">
        <w:rPr>
          <w:color w:val="000000"/>
          <w:sz w:val="28"/>
          <w:szCs w:val="28"/>
        </w:rPr>
        <w:lastRenderedPageBreak/>
        <w:t xml:space="preserve">спеціаліста канцелярії управління документального забезпечення суду </w:t>
      </w:r>
      <w:r w:rsidR="00D35CFE">
        <w:rPr>
          <w:color w:val="000000"/>
          <w:sz w:val="28"/>
          <w:szCs w:val="28"/>
        </w:rPr>
        <w:t>ОСОБА_3</w:t>
      </w:r>
      <w:r w:rsidRPr="007B5C88">
        <w:rPr>
          <w:color w:val="000000"/>
          <w:sz w:val="28"/>
          <w:szCs w:val="28"/>
        </w:rPr>
        <w:t xml:space="preserve"> у вчиненні злочинів проти правосуддя </w:t>
      </w:r>
      <w:r>
        <w:rPr>
          <w:color w:val="000000"/>
          <w:sz w:val="28"/>
          <w:szCs w:val="28"/>
        </w:rPr>
        <w:t>–</w:t>
      </w:r>
      <w:r w:rsidRPr="007B5C88">
        <w:rPr>
          <w:color w:val="000000"/>
          <w:sz w:val="28"/>
          <w:szCs w:val="28"/>
        </w:rPr>
        <w:t xml:space="preserve"> втручання в діяльність судових органів та незаконне втручання в роботу автоматизованої системи </w:t>
      </w:r>
      <w:r w:rsidRPr="00AE78C2">
        <w:rPr>
          <w:color w:val="000000"/>
          <w:sz w:val="28"/>
          <w:szCs w:val="28"/>
        </w:rPr>
        <w:t>документообігу</w:t>
      </w:r>
      <w:r w:rsidRPr="00AE78C2">
        <w:rPr>
          <w:color w:val="000000"/>
          <w:sz w:val="16"/>
          <w:szCs w:val="16"/>
        </w:rPr>
        <w:t xml:space="preserve"> </w:t>
      </w:r>
      <w:r w:rsidRPr="00AE78C2">
        <w:rPr>
          <w:color w:val="000000"/>
          <w:sz w:val="28"/>
          <w:szCs w:val="28"/>
        </w:rPr>
        <w:t>суду,</w:t>
      </w:r>
      <w:r w:rsidRPr="00AE78C2">
        <w:rPr>
          <w:color w:val="000000"/>
          <w:sz w:val="12"/>
          <w:szCs w:val="12"/>
        </w:rPr>
        <w:t xml:space="preserve"> </w:t>
      </w:r>
      <w:r w:rsidRPr="00AE78C2">
        <w:rPr>
          <w:color w:val="000000"/>
          <w:sz w:val="28"/>
          <w:szCs w:val="28"/>
        </w:rPr>
        <w:t>тобто</w:t>
      </w:r>
      <w:r w:rsidRPr="00AE78C2">
        <w:rPr>
          <w:color w:val="000000"/>
          <w:sz w:val="12"/>
          <w:szCs w:val="12"/>
        </w:rPr>
        <w:t xml:space="preserve"> </w:t>
      </w:r>
      <w:r w:rsidRPr="00AE78C2">
        <w:rPr>
          <w:color w:val="000000"/>
          <w:sz w:val="28"/>
          <w:szCs w:val="28"/>
        </w:rPr>
        <w:t>у</w:t>
      </w:r>
      <w:r w:rsidRPr="00AE78C2">
        <w:rPr>
          <w:color w:val="000000"/>
          <w:sz w:val="12"/>
          <w:szCs w:val="12"/>
        </w:rPr>
        <w:t xml:space="preserve"> </w:t>
      </w:r>
      <w:r w:rsidRPr="00AE78C2">
        <w:rPr>
          <w:color w:val="000000"/>
          <w:sz w:val="28"/>
          <w:szCs w:val="28"/>
        </w:rPr>
        <w:t>вчиненні</w:t>
      </w:r>
      <w:r w:rsidRPr="00AE78C2">
        <w:rPr>
          <w:color w:val="000000"/>
          <w:sz w:val="12"/>
          <w:szCs w:val="12"/>
        </w:rPr>
        <w:t xml:space="preserve"> </w:t>
      </w:r>
      <w:r w:rsidRPr="00AE78C2">
        <w:rPr>
          <w:color w:val="000000"/>
          <w:sz w:val="28"/>
          <w:szCs w:val="28"/>
        </w:rPr>
        <w:t>злочинів, передбачених частиною другою</w:t>
      </w:r>
      <w:r w:rsidRPr="007B5C88">
        <w:rPr>
          <w:color w:val="000000"/>
          <w:sz w:val="28"/>
          <w:szCs w:val="28"/>
        </w:rPr>
        <w:t xml:space="preserve"> статті 376, частиною другою статті 376-1 Кримінального кодексу України.</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 xml:space="preserve">Кандидат не був віднесений слідством до групи суддів Вищого </w:t>
      </w:r>
      <w:r w:rsidRPr="000F47DA">
        <w:rPr>
          <w:color w:val="000000"/>
        </w:rPr>
        <w:t>господарського суду України, на яких здійснювався розподіл справ з</w:t>
      </w:r>
      <w:r w:rsidRPr="007B5C88">
        <w:rPr>
          <w:color w:val="000000"/>
          <w:sz w:val="28"/>
          <w:szCs w:val="28"/>
        </w:rPr>
        <w:t xml:space="preserve"> порушенням порядку, встановленого законом. Проте масовий характер порушення дає можливість припустити, що кандидату було відомо про існуючу практику.</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 xml:space="preserve">Крім того, у висновку вказано, що до Громадської ради доброчесності </w:t>
      </w:r>
      <w:r w:rsidRPr="000F47DA">
        <w:rPr>
          <w:color w:val="000000"/>
        </w:rPr>
        <w:t>надійшла скарга від ГО «Харківський антикорупційний центр», у якій</w:t>
      </w:r>
      <w:r w:rsidRPr="007B5C88">
        <w:rPr>
          <w:color w:val="000000"/>
          <w:sz w:val="28"/>
          <w:szCs w:val="28"/>
        </w:rPr>
        <w:t xml:space="preserve"> наводиться інформація</w:t>
      </w:r>
      <w:r w:rsidRPr="00AE78C2">
        <w:rPr>
          <w:color w:val="000000"/>
          <w:sz w:val="12"/>
          <w:szCs w:val="12"/>
        </w:rPr>
        <w:t xml:space="preserve"> </w:t>
      </w:r>
      <w:r w:rsidRPr="007B5C88">
        <w:rPr>
          <w:color w:val="000000"/>
          <w:sz w:val="28"/>
          <w:szCs w:val="28"/>
        </w:rPr>
        <w:t>щодо</w:t>
      </w:r>
      <w:r w:rsidRPr="00AE78C2">
        <w:rPr>
          <w:color w:val="000000"/>
          <w:sz w:val="12"/>
          <w:szCs w:val="12"/>
        </w:rPr>
        <w:t xml:space="preserve"> </w:t>
      </w:r>
      <w:r w:rsidRPr="007B5C88">
        <w:rPr>
          <w:color w:val="000000"/>
          <w:sz w:val="28"/>
          <w:szCs w:val="28"/>
        </w:rPr>
        <w:t>численних</w:t>
      </w:r>
      <w:r w:rsidRPr="00AE78C2">
        <w:rPr>
          <w:color w:val="000000"/>
          <w:sz w:val="12"/>
          <w:szCs w:val="12"/>
        </w:rPr>
        <w:t xml:space="preserve"> </w:t>
      </w:r>
      <w:r w:rsidRPr="007B5C88">
        <w:rPr>
          <w:color w:val="000000"/>
          <w:sz w:val="28"/>
          <w:szCs w:val="28"/>
        </w:rPr>
        <w:t>сумнівних резонансних рішень, прийнятих за участі кандидата.</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Стосовно вказаних у висновку Громадської ради доброчесності доводів кандидат</w:t>
      </w:r>
      <w:r w:rsidRPr="00AE78C2">
        <w:rPr>
          <w:color w:val="000000"/>
          <w:sz w:val="12"/>
          <w:szCs w:val="12"/>
        </w:rPr>
        <w:t xml:space="preserve"> </w:t>
      </w:r>
      <w:r w:rsidRPr="007B5C88">
        <w:rPr>
          <w:color w:val="000000"/>
          <w:sz w:val="28"/>
          <w:szCs w:val="28"/>
        </w:rPr>
        <w:t>на посаду судді Касаційного господарського суду у складі Верховного Суду Рогач Л.І. надала усні та письмові пояснення, а також докази, які було оцінено Комісією під час співбесіди. На пленарному засіданні Комісії кандидат підтвердила свої пояснення, які вона давала на співбесіді. Зазначила, що вона</w:t>
      </w:r>
      <w:r w:rsidR="00AE78C2">
        <w:rPr>
          <w:color w:val="000000"/>
          <w:sz w:val="28"/>
          <w:szCs w:val="28"/>
        </w:rPr>
        <w:t xml:space="preserve"> </w:t>
      </w:r>
      <w:r w:rsidRPr="007B5C88">
        <w:rPr>
          <w:color w:val="000000"/>
          <w:sz w:val="28"/>
          <w:szCs w:val="28"/>
        </w:rPr>
        <w:t>не віднесена слідством до групи суддів ВГС України, на яких здійснювався розподіл справ, про наявність відповідного кримінального провадження дізналася із засобів масової інформації та мережі Інтернет. Розподіл касаційних скарг здійснювався виключно відповідно до вимог статті 2-1 ГПК України. Підстав для сумнівів у порушенні визначеного порядку розподілу справ не виникало.</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Стосовно</w:t>
      </w:r>
      <w:r w:rsidRPr="00AE78C2">
        <w:rPr>
          <w:color w:val="000000"/>
          <w:sz w:val="12"/>
          <w:szCs w:val="12"/>
        </w:rPr>
        <w:t xml:space="preserve"> </w:t>
      </w:r>
      <w:r w:rsidRPr="007B5C88">
        <w:rPr>
          <w:color w:val="000000"/>
          <w:sz w:val="28"/>
          <w:szCs w:val="28"/>
        </w:rPr>
        <w:t>судових</w:t>
      </w:r>
      <w:r w:rsidRPr="00AE78C2">
        <w:rPr>
          <w:color w:val="000000"/>
          <w:sz w:val="12"/>
          <w:szCs w:val="12"/>
        </w:rPr>
        <w:t xml:space="preserve"> </w:t>
      </w:r>
      <w:r w:rsidRPr="007B5C88">
        <w:rPr>
          <w:color w:val="000000"/>
          <w:sz w:val="28"/>
          <w:szCs w:val="28"/>
        </w:rPr>
        <w:t>рішень,</w:t>
      </w:r>
      <w:r w:rsidRPr="00AE78C2">
        <w:rPr>
          <w:color w:val="000000"/>
          <w:sz w:val="12"/>
          <w:szCs w:val="12"/>
        </w:rPr>
        <w:t xml:space="preserve"> </w:t>
      </w:r>
      <w:r w:rsidRPr="007B5C88">
        <w:rPr>
          <w:color w:val="000000"/>
          <w:sz w:val="28"/>
          <w:szCs w:val="28"/>
        </w:rPr>
        <w:t>прийнятих за її участі, зазначила, що звернення, які надійшли від юридичних осіб до Громадської ради доброчесності не містять доводів про порушення при прийнятті цих рішень принципу незалежності суддів, а фактично зводяться до незгоди із судовими рішеннями.</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Враховуючи наведене, обставини, викладені у висновку Громадської ради доброчесності, не свідчать про невідповідність кандидата критеріям доброчесності та професійної етики.</w:t>
      </w:r>
    </w:p>
    <w:p w:rsidR="007B5C88" w:rsidRPr="007B5C88"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w:t>
      </w:r>
      <w:r w:rsidR="00AE78C2">
        <w:rPr>
          <w:color w:val="000000"/>
          <w:sz w:val="28"/>
          <w:szCs w:val="28"/>
        </w:rPr>
        <w:t xml:space="preserve"> </w:t>
      </w:r>
      <w:r w:rsidRPr="007B5C88">
        <w:rPr>
          <w:color w:val="000000"/>
          <w:sz w:val="28"/>
          <w:szCs w:val="28"/>
        </w:rPr>
        <w:t>на посаду судді) здійснювати правосуддя у відповідному суді лише у разі, якщо таке рішення підтримане не менше ніж одинадцятьма її членами.</w:t>
      </w:r>
    </w:p>
    <w:p w:rsidR="000F47DA" w:rsidRDefault="007B5C88" w:rsidP="007B5C88">
      <w:pPr>
        <w:pStyle w:val="21"/>
        <w:shd w:val="clear" w:color="auto" w:fill="auto"/>
        <w:spacing w:after="0" w:line="350" w:lineRule="exact"/>
        <w:ind w:left="20" w:right="20" w:firstLine="720"/>
        <w:jc w:val="both"/>
        <w:rPr>
          <w:sz w:val="28"/>
          <w:szCs w:val="28"/>
        </w:rPr>
      </w:pPr>
      <w:r w:rsidRPr="007B5C88">
        <w:rPr>
          <w:color w:val="000000"/>
          <w:sz w:val="28"/>
          <w:szCs w:val="28"/>
        </w:rPr>
        <w:t>Дослідивши досьє кандидата, заслухавши доповідача, уповноваженого представника Громадської ради доброчесності та кандидата Рогач Л.І., Комісія дійшла висновку про підтвердження нею здатності здійснювати правосуддя у Касаційному господарському суді у складі Верховного Суду за критерієм</w:t>
      </w:r>
      <w:r w:rsidR="000F47DA">
        <w:rPr>
          <w:sz w:val="28"/>
          <w:szCs w:val="28"/>
        </w:rPr>
        <w:br/>
      </w:r>
    </w:p>
    <w:p w:rsidR="000F47DA" w:rsidRDefault="000F47DA">
      <w:pPr>
        <w:rPr>
          <w:rFonts w:ascii="Times New Roman" w:eastAsia="Times New Roman" w:hAnsi="Times New Roman"/>
          <w:sz w:val="28"/>
          <w:szCs w:val="28"/>
        </w:rPr>
      </w:pPr>
      <w:r>
        <w:rPr>
          <w:sz w:val="28"/>
          <w:szCs w:val="28"/>
        </w:rPr>
        <w:br w:type="page"/>
      </w:r>
    </w:p>
    <w:p w:rsidR="007B5C88" w:rsidRPr="007B5C88" w:rsidRDefault="007B5C88" w:rsidP="000F47DA">
      <w:pPr>
        <w:pStyle w:val="21"/>
        <w:shd w:val="clear" w:color="auto" w:fill="auto"/>
        <w:spacing w:after="0" w:line="350" w:lineRule="exact"/>
        <w:ind w:left="20" w:right="20"/>
        <w:jc w:val="both"/>
        <w:rPr>
          <w:sz w:val="28"/>
          <w:szCs w:val="28"/>
        </w:rPr>
      </w:pPr>
      <w:r w:rsidRPr="007B5C88">
        <w:rPr>
          <w:color w:val="000000"/>
          <w:sz w:val="28"/>
          <w:szCs w:val="28"/>
        </w:rPr>
        <w:lastRenderedPageBreak/>
        <w:t>професійної етики та доброчесності. Із п’ятнадцяти членів Комісії таке рішення підтримало чотиринадцять.</w:t>
      </w:r>
    </w:p>
    <w:p w:rsidR="007B5C88" w:rsidRPr="007B5C88" w:rsidRDefault="007B5C88" w:rsidP="007B5C88">
      <w:pPr>
        <w:pStyle w:val="21"/>
        <w:shd w:val="clear" w:color="auto" w:fill="auto"/>
        <w:spacing w:after="0" w:line="350" w:lineRule="exact"/>
        <w:ind w:right="20" w:firstLine="720"/>
        <w:jc w:val="both"/>
        <w:rPr>
          <w:sz w:val="28"/>
          <w:szCs w:val="28"/>
        </w:rPr>
      </w:pPr>
      <w:r w:rsidRPr="007B5C88">
        <w:rPr>
          <w:color w:val="000000"/>
          <w:sz w:val="28"/>
          <w:szCs w:val="28"/>
        </w:rPr>
        <w:t>Ураховуючи викладене, керуючись статтями 88, 93, 101 Закону, Положенням, Комісія</w:t>
      </w:r>
    </w:p>
    <w:p w:rsidR="007B5C88" w:rsidRPr="007B5C88" w:rsidRDefault="007B5C88" w:rsidP="000F47DA">
      <w:pPr>
        <w:pStyle w:val="21"/>
        <w:shd w:val="clear" w:color="auto" w:fill="auto"/>
        <w:spacing w:after="236" w:line="350" w:lineRule="exact"/>
        <w:jc w:val="center"/>
        <w:rPr>
          <w:sz w:val="28"/>
          <w:szCs w:val="28"/>
        </w:rPr>
      </w:pPr>
      <w:r w:rsidRPr="007B5C88">
        <w:rPr>
          <w:color w:val="000000"/>
          <w:sz w:val="28"/>
          <w:szCs w:val="28"/>
        </w:rPr>
        <w:t>вирішила:</w:t>
      </w:r>
    </w:p>
    <w:p w:rsidR="007B5C88" w:rsidRPr="007B5C88" w:rsidRDefault="007B5C88" w:rsidP="007B5C88">
      <w:pPr>
        <w:pStyle w:val="21"/>
        <w:shd w:val="clear" w:color="auto" w:fill="auto"/>
        <w:spacing w:after="0" w:line="355" w:lineRule="exact"/>
        <w:ind w:right="20"/>
        <w:jc w:val="both"/>
        <w:rPr>
          <w:sz w:val="28"/>
          <w:szCs w:val="28"/>
        </w:rPr>
      </w:pPr>
      <w:r w:rsidRPr="007B5C88">
        <w:rPr>
          <w:color w:val="000000"/>
          <w:sz w:val="28"/>
          <w:szCs w:val="28"/>
        </w:rPr>
        <w:t>визнати Рогач Ларису Іванівну такою, що за критеріями професійної етики та доброчесності підтвердила здатність здійснювати правосуддя у Касаційному господарському суді у складі Верховного Суду.</w:t>
      </w:r>
    </w:p>
    <w:p w:rsidR="007B5C88" w:rsidRPr="007B5C88" w:rsidRDefault="007B5C88" w:rsidP="007B5C88">
      <w:pPr>
        <w:pStyle w:val="21"/>
        <w:shd w:val="clear" w:color="auto" w:fill="auto"/>
        <w:spacing w:after="316" w:line="355" w:lineRule="exact"/>
        <w:ind w:right="20" w:firstLine="720"/>
        <w:jc w:val="both"/>
        <w:rPr>
          <w:sz w:val="28"/>
          <w:szCs w:val="28"/>
        </w:rPr>
      </w:pPr>
      <w:r w:rsidRPr="007B5C88">
        <w:rPr>
          <w:color w:val="000000"/>
          <w:sz w:val="28"/>
          <w:szCs w:val="28"/>
        </w:rPr>
        <w:t>Комісії у складі колегії завершити проведення кваліфікаційного оцінювання стосовно кандидата на посаду судді Касаційного господарськог</w:t>
      </w:r>
      <w:r w:rsidR="000314DF">
        <w:rPr>
          <w:color w:val="000000"/>
          <w:sz w:val="28"/>
          <w:szCs w:val="28"/>
        </w:rPr>
        <w:t xml:space="preserve">о суду у складі Верховного Суду </w:t>
      </w:r>
      <w:bookmarkStart w:id="0" w:name="_GoBack"/>
      <w:bookmarkEnd w:id="0"/>
      <w:r w:rsidRPr="007B5C88">
        <w:rPr>
          <w:color w:val="000000"/>
          <w:sz w:val="28"/>
          <w:szCs w:val="28"/>
        </w:rPr>
        <w:t>Рогач Лариси Іванівни.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0F47DA" w:rsidRPr="00AE78C2" w:rsidRDefault="00AE78C2" w:rsidP="000F47DA">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0F47DA" w:rsidRPr="00AE78C2">
        <w:rPr>
          <w:rFonts w:ascii="Times New Roman" w:eastAsia="Times New Roman" w:hAnsi="Times New Roman"/>
          <w:sz w:val="28"/>
          <w:szCs w:val="28"/>
          <w:lang w:eastAsia="uk-UA"/>
        </w:rPr>
        <w:t xml:space="preserve">С.Ю. </w:t>
      </w:r>
      <w:proofErr w:type="spellStart"/>
      <w:r w:rsidR="000F47DA" w:rsidRPr="00AE78C2">
        <w:rPr>
          <w:rFonts w:ascii="Times New Roman" w:eastAsia="Times New Roman" w:hAnsi="Times New Roman"/>
          <w:sz w:val="28"/>
          <w:szCs w:val="28"/>
          <w:lang w:eastAsia="uk-UA"/>
        </w:rPr>
        <w:t>Козьяков</w:t>
      </w:r>
      <w:proofErr w:type="spellEnd"/>
    </w:p>
    <w:p w:rsidR="000F47DA" w:rsidRPr="00AE78C2" w:rsidRDefault="000F47DA" w:rsidP="000F47DA">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AE78C2" w:rsidP="000F47DA">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0F47DA" w:rsidRPr="00AE78C2">
        <w:rPr>
          <w:rFonts w:ascii="Times New Roman" w:eastAsia="Times New Roman" w:hAnsi="Times New Roman"/>
          <w:sz w:val="28"/>
          <w:szCs w:val="28"/>
          <w:lang w:eastAsia="uk-UA"/>
        </w:rPr>
        <w:t xml:space="preserve">В.І. </w:t>
      </w:r>
      <w:proofErr w:type="spellStart"/>
      <w:r w:rsidR="000F47DA" w:rsidRPr="00AE78C2">
        <w:rPr>
          <w:rFonts w:ascii="Times New Roman" w:eastAsia="Times New Roman" w:hAnsi="Times New Roman"/>
          <w:sz w:val="28"/>
          <w:szCs w:val="28"/>
          <w:lang w:eastAsia="uk-UA"/>
        </w:rPr>
        <w:t>Бутенко</w:t>
      </w:r>
      <w:proofErr w:type="spellEnd"/>
    </w:p>
    <w:p w:rsidR="000F47DA" w:rsidRPr="00AE78C2" w:rsidRDefault="000F47DA" w:rsidP="000F47DA">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7080"/>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А.В. Василенко</w:t>
      </w:r>
    </w:p>
    <w:p w:rsidR="000F47DA" w:rsidRPr="00AE78C2" w:rsidRDefault="000F47DA" w:rsidP="000F47DA">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7080"/>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Т.Ф. </w:t>
      </w:r>
      <w:proofErr w:type="spellStart"/>
      <w:r w:rsidRPr="00AE78C2">
        <w:rPr>
          <w:rFonts w:ascii="Times New Roman" w:eastAsia="Times New Roman" w:hAnsi="Times New Roman"/>
          <w:sz w:val="28"/>
          <w:szCs w:val="28"/>
          <w:lang w:eastAsia="uk-UA"/>
        </w:rPr>
        <w:t>Весельська</w:t>
      </w:r>
      <w:proofErr w:type="spellEnd"/>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А.О. </w:t>
      </w:r>
      <w:proofErr w:type="spellStart"/>
      <w:r w:rsidRPr="00AE78C2">
        <w:rPr>
          <w:rFonts w:ascii="Times New Roman" w:eastAsia="Times New Roman" w:hAnsi="Times New Roman"/>
          <w:sz w:val="28"/>
          <w:szCs w:val="28"/>
          <w:lang w:eastAsia="uk-UA"/>
        </w:rPr>
        <w:t>Заріцька</w:t>
      </w:r>
      <w:proofErr w:type="spellEnd"/>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А.Г. Козлов</w:t>
      </w:r>
    </w:p>
    <w:p w:rsidR="000F47DA" w:rsidRPr="00AE78C2" w:rsidRDefault="000F47DA" w:rsidP="000F47DA">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Т.В. Лукаш</w:t>
      </w:r>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П.С. Луцюк</w:t>
      </w:r>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7080"/>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М.А. Макарчук</w:t>
      </w:r>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М.І. </w:t>
      </w:r>
      <w:proofErr w:type="spellStart"/>
      <w:r w:rsidRPr="00AE78C2">
        <w:rPr>
          <w:rFonts w:ascii="Times New Roman" w:eastAsia="Times New Roman" w:hAnsi="Times New Roman"/>
          <w:sz w:val="28"/>
          <w:szCs w:val="28"/>
          <w:lang w:eastAsia="uk-UA"/>
        </w:rPr>
        <w:t>Мішин</w:t>
      </w:r>
      <w:proofErr w:type="spellEnd"/>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7080"/>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С.М. </w:t>
      </w:r>
      <w:proofErr w:type="spellStart"/>
      <w:r w:rsidRPr="00AE78C2">
        <w:rPr>
          <w:rFonts w:ascii="Times New Roman" w:eastAsia="Times New Roman" w:hAnsi="Times New Roman"/>
          <w:sz w:val="28"/>
          <w:szCs w:val="28"/>
          <w:lang w:eastAsia="uk-UA"/>
        </w:rPr>
        <w:t>Прилипко</w:t>
      </w:r>
      <w:proofErr w:type="spellEnd"/>
    </w:p>
    <w:p w:rsidR="000F47DA" w:rsidRPr="00AE78C2" w:rsidRDefault="000F47DA" w:rsidP="000F47DA">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Ю.Г. </w:t>
      </w:r>
      <w:proofErr w:type="spellStart"/>
      <w:r w:rsidRPr="00AE78C2">
        <w:rPr>
          <w:rFonts w:ascii="Times New Roman" w:eastAsia="Times New Roman" w:hAnsi="Times New Roman"/>
          <w:sz w:val="28"/>
          <w:szCs w:val="28"/>
          <w:lang w:eastAsia="uk-UA"/>
        </w:rPr>
        <w:t>Тітов</w:t>
      </w:r>
      <w:proofErr w:type="spellEnd"/>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Default="000F47DA" w:rsidP="00AE78C2">
      <w:pPr>
        <w:widowControl w:val="0"/>
        <w:spacing w:before="20" w:afterLines="20" w:after="48" w:line="230" w:lineRule="exact"/>
        <w:ind w:left="7080"/>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В.Є. Устименко</w:t>
      </w:r>
    </w:p>
    <w:p w:rsidR="00AE78C2" w:rsidRDefault="00AE78C2" w:rsidP="00AE78C2">
      <w:pPr>
        <w:widowControl w:val="0"/>
        <w:spacing w:before="20" w:afterLines="20" w:after="48" w:line="230" w:lineRule="exact"/>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Т.С. Шилова</w:t>
      </w:r>
    </w:p>
    <w:p w:rsidR="000F47DA" w:rsidRPr="00AE78C2" w:rsidRDefault="000F47DA" w:rsidP="000F47DA">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0F47DA" w:rsidRPr="00AE78C2" w:rsidRDefault="000F47DA" w:rsidP="00AE78C2">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AE78C2">
        <w:rPr>
          <w:rFonts w:ascii="Times New Roman" w:eastAsia="Times New Roman" w:hAnsi="Times New Roman"/>
          <w:sz w:val="28"/>
          <w:szCs w:val="28"/>
          <w:lang w:eastAsia="uk-UA"/>
        </w:rPr>
        <w:t xml:space="preserve">С.О. </w:t>
      </w:r>
      <w:proofErr w:type="spellStart"/>
      <w:r w:rsidRPr="00AE78C2">
        <w:rPr>
          <w:rFonts w:ascii="Times New Roman" w:eastAsia="Times New Roman" w:hAnsi="Times New Roman"/>
          <w:sz w:val="28"/>
          <w:szCs w:val="28"/>
          <w:lang w:eastAsia="uk-UA"/>
        </w:rPr>
        <w:t>Щотка</w:t>
      </w:r>
      <w:proofErr w:type="spellEnd"/>
    </w:p>
    <w:sectPr w:rsidR="000F47DA" w:rsidRPr="00AE78C2" w:rsidSect="00AE78C2">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C2" w:rsidRDefault="00AE78C2" w:rsidP="002F156E">
      <w:pPr>
        <w:spacing w:after="0" w:line="240" w:lineRule="auto"/>
      </w:pPr>
      <w:r>
        <w:separator/>
      </w:r>
    </w:p>
  </w:endnote>
  <w:endnote w:type="continuationSeparator" w:id="0">
    <w:p w:rsidR="00AE78C2" w:rsidRDefault="00AE78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C2" w:rsidRDefault="00AE78C2" w:rsidP="002F156E">
      <w:pPr>
        <w:spacing w:after="0" w:line="240" w:lineRule="auto"/>
      </w:pPr>
      <w:r>
        <w:separator/>
      </w:r>
    </w:p>
  </w:footnote>
  <w:footnote w:type="continuationSeparator" w:id="0">
    <w:p w:rsidR="00AE78C2" w:rsidRDefault="00AE78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C2" w:rsidRDefault="00AE78C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14DF"/>
    <w:rsid w:val="00037A70"/>
    <w:rsid w:val="00044477"/>
    <w:rsid w:val="00062ACF"/>
    <w:rsid w:val="000A4D92"/>
    <w:rsid w:val="000B0876"/>
    <w:rsid w:val="000B7EDA"/>
    <w:rsid w:val="000E5A7A"/>
    <w:rsid w:val="000E62AF"/>
    <w:rsid w:val="000F47DA"/>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B5C8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E78C2"/>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35CFE"/>
    <w:rsid w:val="00D46064"/>
    <w:rsid w:val="00D51314"/>
    <w:rsid w:val="00D52C3D"/>
    <w:rsid w:val="00D6397A"/>
    <w:rsid w:val="00D85DBF"/>
    <w:rsid w:val="00D875B3"/>
    <w:rsid w:val="00DA278F"/>
    <w:rsid w:val="00DA2836"/>
    <w:rsid w:val="00DC0A1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B5C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C8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B5C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C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2385625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5</Pages>
  <Words>5098</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313</cp:revision>
  <dcterms:created xsi:type="dcterms:W3CDTF">2020-08-21T08:05:00Z</dcterms:created>
  <dcterms:modified xsi:type="dcterms:W3CDTF">2021-03-17T12:30:00Z</dcterms:modified>
</cp:coreProperties>
</file>