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CB7" w:rsidRPr="00877C9C" w:rsidRDefault="00FA2CB7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877C9C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C51E1" w:rsidRPr="00877C9C" w:rsidRDefault="008C51E1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877C9C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877C9C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18E9E07C" wp14:editId="5F55A24D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877C9C" w:rsidRDefault="000B4D5B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Default="00BC606A" w:rsidP="00BC606A">
      <w:pPr>
        <w:spacing w:after="0" w:line="240" w:lineRule="auto"/>
        <w:ind w:right="141" w:firstLine="284"/>
        <w:rPr>
          <w:rFonts w:ascii="Times New Roman" w:eastAsia="Times New Roman" w:hAnsi="Times New Roman"/>
          <w:bCs/>
          <w:sz w:val="34"/>
          <w:szCs w:val="34"/>
        </w:rPr>
      </w:pPr>
      <w:r>
        <w:rPr>
          <w:rFonts w:ascii="Times New Roman" w:eastAsia="Times New Roman" w:hAnsi="Times New Roman"/>
          <w:bCs/>
          <w:sz w:val="34"/>
          <w:szCs w:val="34"/>
        </w:rPr>
        <w:t xml:space="preserve"> </w:t>
      </w:r>
      <w:r w:rsidR="000B4D5B" w:rsidRPr="00877C9C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A61349" w:rsidRPr="00877C9C" w:rsidRDefault="00A61349" w:rsidP="00BC606A">
      <w:pPr>
        <w:spacing w:after="0" w:line="240" w:lineRule="auto"/>
        <w:ind w:right="141" w:firstLine="567"/>
        <w:rPr>
          <w:rFonts w:ascii="Times New Roman" w:eastAsia="Times New Roman" w:hAnsi="Times New Roman"/>
          <w:bCs/>
          <w:sz w:val="34"/>
          <w:szCs w:val="34"/>
        </w:rPr>
      </w:pPr>
    </w:p>
    <w:p w:rsidR="00521C17" w:rsidRPr="00521C17" w:rsidRDefault="00521C17" w:rsidP="00BC606A">
      <w:pPr>
        <w:spacing w:after="0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>12 червня 2019 року</w:t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     </w:t>
      </w:r>
      <w:r w:rsidR="00FC1917"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Pr="00521C17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521C17" w:rsidRPr="00521C17" w:rsidRDefault="00521C17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lang w:eastAsia="ru-RU"/>
        </w:rPr>
      </w:pPr>
    </w:p>
    <w:p w:rsidR="00521C17" w:rsidRDefault="00521C17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r w:rsidRPr="00521C1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Р І Ш Е Н </w:t>
      </w:r>
      <w:proofErr w:type="spellStart"/>
      <w:r w:rsidRPr="00521C17">
        <w:rPr>
          <w:rFonts w:ascii="Times New Roman" w:eastAsia="Times New Roman" w:hAnsi="Times New Roman"/>
          <w:bCs/>
          <w:sz w:val="25"/>
          <w:szCs w:val="25"/>
          <w:lang w:eastAsia="ru-RU"/>
        </w:rPr>
        <w:t>Н</w:t>
      </w:r>
      <w:proofErr w:type="spellEnd"/>
      <w:r w:rsidRPr="00521C17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Я № </w:t>
      </w:r>
      <w:r w:rsidRPr="00521C1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46</w:t>
      </w:r>
      <w:r w:rsidR="00282843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2</w:t>
      </w:r>
      <w:r w:rsidRPr="00521C17"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  <w:t>/ко-19</w:t>
      </w:r>
    </w:p>
    <w:p w:rsidR="000F715B" w:rsidRPr="00521C17" w:rsidRDefault="000F715B" w:rsidP="00BC606A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5"/>
          <w:szCs w:val="25"/>
          <w:u w:val="single"/>
          <w:lang w:eastAsia="ru-RU"/>
        </w:rPr>
      </w:pPr>
      <w:bookmarkStart w:id="0" w:name="_GoBack"/>
      <w:bookmarkEnd w:id="0"/>
    </w:p>
    <w:p w:rsidR="00796CEF" w:rsidRPr="00521C17" w:rsidRDefault="00521C17" w:rsidP="00796CEF">
      <w:pPr>
        <w:widowControl w:val="0"/>
        <w:spacing w:after="0" w:line="480" w:lineRule="auto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21C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Вища кваліфікаційна комісія суддів України у пленарному складі: </w:t>
      </w:r>
    </w:p>
    <w:p w:rsidR="00521C17" w:rsidRPr="00796CEF" w:rsidRDefault="00521C17" w:rsidP="00796CEF">
      <w:pPr>
        <w:widowControl w:val="0"/>
        <w:spacing w:after="0" w:line="480" w:lineRule="auto"/>
        <w:ind w:right="2840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521C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головуючого - Устименко В.Є.,</w:t>
      </w:r>
    </w:p>
    <w:p w:rsidR="00521C17" w:rsidRPr="00521C17" w:rsidRDefault="00521C17" w:rsidP="00BC606A">
      <w:pPr>
        <w:widowControl w:val="0"/>
        <w:spacing w:after="206" w:line="302" w:lineRule="exact"/>
        <w:ind w:right="20"/>
        <w:jc w:val="both"/>
        <w:rPr>
          <w:rFonts w:ascii="Times New Roman" w:eastAsia="Times New Roman" w:hAnsi="Times New Roman"/>
          <w:sz w:val="25"/>
          <w:szCs w:val="25"/>
        </w:rPr>
      </w:pPr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членів Комісії: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Бутенка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В.І., Гладія С.В.,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Заріцької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А.О., Лукаша Т.В.,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Луцюка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П.С.,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Макарчука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М.А.,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Мішина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М.І.,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Прилипка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С.М., </w:t>
      </w:r>
      <w:proofErr w:type="spellStart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>Тітова</w:t>
      </w:r>
      <w:proofErr w:type="spellEnd"/>
      <w:r w:rsidRPr="00521C17">
        <w:rPr>
          <w:rFonts w:ascii="Times New Roman" w:eastAsia="Times New Roman" w:hAnsi="Times New Roman"/>
          <w:color w:val="000000"/>
          <w:sz w:val="25"/>
          <w:szCs w:val="25"/>
        </w:rPr>
        <w:t xml:space="preserve"> Ю.Г., Шилової Т.С.,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розглянувши питання про підтримку рішення Комісії у складі колегії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   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 6 травня 2019 року № 173/ко-19, ухваленого у межах процедури кваліфікаційного оцінювання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Андрія Васильовича на відповідність займаній посаді, відповідно до абзацу третього підпункту 4.10.8 пункту 4.10 розділу IV Регламенту Вищої кваліфікаційної комісії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суддів України,</w:t>
      </w:r>
    </w:p>
    <w:p w:rsidR="00282843" w:rsidRPr="00282843" w:rsidRDefault="00282843" w:rsidP="00282843">
      <w:pPr>
        <w:widowControl w:val="0"/>
        <w:spacing w:after="204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встановила: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Комісії від 7 червня 2018 року № 133/зп-18 призначено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кваліфікаційне оцінювання суддів місцевих та апеляційних судів на відповідність займаній посаді, зокрема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6 травня 2019 року до Комісії від Громадської ради доброчесності надійшов документ із назвою «висновок про невідповідність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Васильовича критеріям доброчесності та професійної етики».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Зазначений документ складено без дотримання вимог Регламенту Комісії, затвердженого рішенням від 13 жовтня 2016 року № 81/зп-16 (далі - Регламент), а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саме: не дотримано вимоги підпунктів 4.10.1, 4.10.3 пункту 4.10 розділу IV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Регламенту, оскільки у ньому не зазначено процедуру, у межах якої цей висновок надано; відсутні додатки, які містять матеріали, що підтверджують викладену інформацію щодо судді; висновок не підписаний усіма членами Громадської ради доброчесності, які брали участь в ухваленні рішення про його надання Комісії.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Окрім цього, такий документ надійшов до Комісії у день засідання з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проведення співбесіди із суддею, у той час як згідно з вимогами підпункту 4.10.1 Регламенту висновок Громадської ради доброчесності має бути наданий до Комісії не пізніше ніж за 10 днів до визначеної Комісією дати засідання з проведення співбесіди стосовно судді.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6 травня 2019 року проведено співбесіду із суддею та, за результатами кваліфікаційного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оцінювання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цілому,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рішенням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складі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колегії </w:t>
      </w:r>
      <w:r w:rsidR="00FC1917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суддю</w:t>
      </w:r>
    </w:p>
    <w:p w:rsidR="00521C17" w:rsidRDefault="00521C17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282843" w:rsidRDefault="00282843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55045F" w:rsidRDefault="0055045F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282843" w:rsidRDefault="00282843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282843" w:rsidRPr="00282843" w:rsidRDefault="00282843" w:rsidP="00282843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визнано таким, що відповідає займаній посаді.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 час дослідження досьє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у межах кваліфікаційного оцінювання Комісією у складі колегії було встановлено та обговорено питання щодо показників за критеріями компетентності, професійної етики та доброчесності, а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т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акож питання майнового стану. Так, серед іншого, обговорювалися питання щодо мотивів прийняття та обґрунтування постанови Кіровоградського окружного адміністративного суду від 25 листопада 2013 року, ухваленої під головуванням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А.В., в адміністративній справі № 811/3773/13-а за позовом виконавчого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комітету Кіровоградської міської ради до Кіровоградської міської партійної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організації Всеукраїнське об’єднання «Батьківщина» про обмеження щодо реалізації права на мирні зібрання.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Тобто досліджено й інформацію, що містилася у документі під назвою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«висновок про невідповідність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Васильовича критеріям доброчесності та професійної етики».</w:t>
      </w:r>
    </w:p>
    <w:p w:rsidR="00282843" w:rsidRPr="00282843" w:rsidRDefault="00282843" w:rsidP="00282843">
      <w:pPr>
        <w:widowControl w:val="0"/>
        <w:tabs>
          <w:tab w:val="left" w:pos="7734"/>
        </w:tabs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Суддею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Сагуном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було надано усні та письмові пояснення, підтверджуючі документи, які були досліджені під час співбесіди, зокрема, ухвалу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Дніпропетровського апеляційного адміністративного суду від 26 грудня 2013 року, </w:t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якою апеляційну скаргу Кіровоградської міської партійної організації Всеукраїнське об’єднання «Батьківщина» залишено без задоволення, а постанову Кіровоградського окружного адміністративного суду від 25 листопада 2013 року - без змін; постанову слідчого в ОВС СВ Прокуратури Кіровоградської області від 11 квітня 2014 року про закриття кримінального провадження №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ab/>
      </w:r>
      <w:r w:rsidR="00684BCE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від 13 березня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2014 року, у зв’язку з відсутністю складу кримінального правопорушення, передбаченого статтею 375 КК України; рішення Комісії від 18 серпня 2014 року, прийняте за результатом розгляду матеріалів перевірки за зверненням слідчого прокуратури Кіровоградської області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Медведенка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А.Л., яким відмовлено у відкритті дисциплінарного провадження стосовно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А.В.; рішення Вищої ради </w:t>
      </w:r>
      <w:r w:rsidR="00B54B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юстиції від 27 вересня 2016 року за № 2946/0/15-16, якій матеріали для розгляду передала Тимчасова спеціальна комісія з перевірки суддів загальною юрисдикції, про відмову у відкритті дисциплінарної справи стосовно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за </w:t>
      </w:r>
      <w:r w:rsidR="00B54B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результатами розгляду матеріалів перевірки за заявою Заступника прокурора Кіровоградської області.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 думку колегії, пояснення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та зазначені документи у сукупності свідчать про необґрунтованість відомостей щодо невідповідності його критеріям доброчесності та професійної етики, наведених у вказаному документі Громадської ради доброчесності.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Таким чином, колегією Комісії 6 травня 2019 року прийнято рішення, </w:t>
      </w:r>
      <w:r w:rsidR="00B54B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яким визначено, що суддя Кіровоградського окружного адміністративного суду </w:t>
      </w:r>
      <w:r w:rsidR="00B54B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отримав 772,5 бала, та, відповідно, визнаний таким, що відповідає </w:t>
      </w:r>
      <w:r w:rsidR="00B54BF8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займаній посаді.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Відповідно до пункту 4.10.8 Регламенту, у разі ухвалення рішення про підтвердження здатності судді здійснювати правосуддя у відповідному суді за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наявності висновку Комісія у складі колегії ухвалює протокольне рішення про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винесення на розгляд Комісії у пленарному складі питання щодо підтримки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зазначеного рішення відповідно до вимог абзацу другого частини першої статті 88 Закону України «Про судоустрій і статус суддів».</w:t>
      </w:r>
    </w:p>
    <w:p w:rsidR="00282843" w:rsidRPr="00282843" w:rsidRDefault="00282843" w:rsidP="00282843">
      <w:pPr>
        <w:widowControl w:val="0"/>
        <w:spacing w:after="0" w:line="298" w:lineRule="exact"/>
        <w:ind w:left="20" w:right="4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Рішення про підтвердження здатності судді здійснювати правосуддя у відповідному суді набирає чинності з дня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ухвалення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цього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рішення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у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разі,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якщо </w:t>
      </w:r>
      <w:r w:rsidR="0054206B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воно</w:t>
      </w:r>
    </w:p>
    <w:p w:rsidR="00282843" w:rsidRDefault="00282843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282843" w:rsidRDefault="00282843" w:rsidP="00BC606A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282843" w:rsidRPr="00282843" w:rsidRDefault="00282843" w:rsidP="00282843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буде підтримане не менше ніж одинадцятьма членами Комісії згідно з абзацом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другим частини першої статті 88 зазначеного Закону.</w:t>
      </w:r>
    </w:p>
    <w:p w:rsidR="00282843" w:rsidRPr="00282843" w:rsidRDefault="00282843" w:rsidP="00282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Комісія у пленарному складі, заслухавши доповідача, дослідивши рішення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Комісії у складі колегії від 6 травня 2019 року № 173/ко-19, встановила, що у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повному обсязі досліджено матеріали досьє судді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А.В., у тому числі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обставини, викладені у висновку, відповідні письмові та усні пояснення судді,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внаслідок чого ухвалено обґрунтоване рішення за результатами кваліфікаційного оцінювання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на відповідність займаній посаді.</w:t>
      </w:r>
    </w:p>
    <w:p w:rsidR="00282843" w:rsidRPr="00282843" w:rsidRDefault="00282843" w:rsidP="00282843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Виходячи з наведеного, Комісія у пленарному складі одноголосно дійшла висновку про підтримку рішення Комісії у складі колегії від 6 травня 2019 року </w:t>
      </w:r>
      <w:r w:rsidR="00122A59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                   </w:t>
      </w: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№ 173/ко-19 про підтвердження здатності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А.В. здійснювати правосуддя.</w:t>
      </w:r>
    </w:p>
    <w:p w:rsidR="00282843" w:rsidRPr="00282843" w:rsidRDefault="00282843" w:rsidP="00282843">
      <w:pPr>
        <w:widowControl w:val="0"/>
        <w:spacing w:after="278" w:line="298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Ураховуючи викладене, керуючись статтями 88, 93, 101 Закону України «Про судоустрій і статус суддів», Регламентом, Комісія</w:t>
      </w:r>
    </w:p>
    <w:p w:rsidR="00282843" w:rsidRPr="00282843" w:rsidRDefault="00282843" w:rsidP="00282843">
      <w:pPr>
        <w:widowControl w:val="0"/>
        <w:spacing w:after="259" w:line="250" w:lineRule="exact"/>
        <w:jc w:val="center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вирішила:</w:t>
      </w:r>
    </w:p>
    <w:p w:rsidR="00282843" w:rsidRPr="00122A59" w:rsidRDefault="00282843" w:rsidP="00122A59">
      <w:pPr>
        <w:widowControl w:val="0"/>
        <w:spacing w:after="278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5"/>
          <w:szCs w:val="25"/>
          <w:lang w:eastAsia="uk-UA"/>
        </w:rPr>
      </w:pPr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підтримати рішення Комісії у складі колегії від 6 травня 2019 року № 173/ко-19 про підтвердження здатності судді Кіровоградського окружного адміністративного суду </w:t>
      </w:r>
      <w:proofErr w:type="spellStart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>Сагуна</w:t>
      </w:r>
      <w:proofErr w:type="spellEnd"/>
      <w:r w:rsidRPr="00282843">
        <w:rPr>
          <w:rFonts w:ascii="Times New Roman" w:eastAsia="Times New Roman" w:hAnsi="Times New Roman"/>
          <w:color w:val="000000"/>
          <w:sz w:val="25"/>
          <w:szCs w:val="25"/>
          <w:lang w:eastAsia="uk-UA"/>
        </w:rPr>
        <w:t xml:space="preserve"> Андрія Васильовича здійснювати правосуддя.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061"/>
        <w:gridCol w:w="3509"/>
      </w:tblGrid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proofErr w:type="spellStart"/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В.Є. Устименко</w:t>
            </w:r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Члени </w:t>
            </w:r>
            <w:proofErr w:type="spellStart"/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Комі</w:t>
            </w:r>
            <w:proofErr w:type="gramStart"/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с</w:t>
            </w:r>
            <w:proofErr w:type="gramEnd"/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ії</w:t>
            </w:r>
            <w:proofErr w:type="spellEnd"/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  <w:r w:rsidRPr="00521C17"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В.І. Бутенко</w:t>
            </w:r>
          </w:p>
          <w:p w:rsidR="00355170" w:rsidRPr="00521C17" w:rsidRDefault="00355170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  <w:t>Гладій</w:t>
            </w:r>
            <w:proofErr w:type="spellEnd"/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А.О. </w:t>
            </w:r>
            <w:proofErr w:type="spellStart"/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Заріцька</w:t>
            </w:r>
            <w:proofErr w:type="spellEnd"/>
          </w:p>
          <w:p w:rsidR="00355170" w:rsidRDefault="00355170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Т.В. Лукаш</w:t>
            </w:r>
          </w:p>
          <w:p w:rsidR="00355170" w:rsidRDefault="00355170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П.С.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Луцюк</w:t>
            </w:r>
            <w:proofErr w:type="spellEnd"/>
          </w:p>
          <w:p w:rsidR="00355170" w:rsidRPr="00521C17" w:rsidRDefault="00355170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М.А. </w:t>
            </w:r>
            <w:proofErr w:type="spellStart"/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Макарчук</w:t>
            </w:r>
            <w:proofErr w:type="spellEnd"/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355170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М.І. </w:t>
            </w:r>
            <w:proofErr w:type="spellStart"/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Мішин</w:t>
            </w:r>
            <w:proofErr w:type="spellEnd"/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521C17" w:rsidRDefault="00355170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С.М. Прилипко</w:t>
            </w:r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 xml:space="preserve">Ю.Г. </w:t>
            </w:r>
            <w:proofErr w:type="spellStart"/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Тітов</w:t>
            </w:r>
            <w:proofErr w:type="spellEnd"/>
          </w:p>
        </w:tc>
      </w:tr>
      <w:tr w:rsidR="00521C17" w:rsidRPr="00521C17" w:rsidTr="0062271C">
        <w:tc>
          <w:tcPr>
            <w:tcW w:w="3284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</w:p>
        </w:tc>
        <w:tc>
          <w:tcPr>
            <w:tcW w:w="3061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jc w:val="center"/>
              <w:rPr>
                <w:rFonts w:ascii="Times New Roman" w:eastAsia="Times New Roman" w:hAnsi="Times New Roman"/>
                <w:sz w:val="25"/>
                <w:szCs w:val="25"/>
                <w:lang w:val="ru-RU" w:eastAsia="ar-SA"/>
              </w:rPr>
            </w:pPr>
          </w:p>
        </w:tc>
        <w:tc>
          <w:tcPr>
            <w:tcW w:w="3509" w:type="dxa"/>
            <w:shd w:val="clear" w:color="auto" w:fill="auto"/>
          </w:tcPr>
          <w:p w:rsidR="00521C17" w:rsidRPr="00521C17" w:rsidRDefault="00521C17" w:rsidP="00122A59">
            <w:pPr>
              <w:widowControl w:val="0"/>
              <w:suppressAutoHyphens/>
              <w:autoSpaceDE w:val="0"/>
              <w:spacing w:after="0" w:line="480" w:lineRule="auto"/>
              <w:ind w:firstLine="1593"/>
              <w:jc w:val="both"/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</w:pPr>
            <w:r w:rsidRPr="00521C17">
              <w:rPr>
                <w:rFonts w:ascii="Times New Roman" w:eastAsia="Times New Roman" w:hAnsi="Times New Roman"/>
                <w:bCs/>
                <w:sz w:val="25"/>
                <w:szCs w:val="25"/>
                <w:lang w:eastAsia="ar-SA"/>
              </w:rPr>
              <w:t>Т.С. Шилова</w:t>
            </w:r>
          </w:p>
        </w:tc>
      </w:tr>
    </w:tbl>
    <w:p w:rsidR="00521C17" w:rsidRPr="00521C17" w:rsidRDefault="00521C17" w:rsidP="00BC606A">
      <w:pPr>
        <w:widowControl w:val="0"/>
        <w:spacing w:after="280" w:line="270" w:lineRule="exact"/>
        <w:rPr>
          <w:rFonts w:ascii="Times New Roman" w:eastAsia="Times New Roman" w:hAnsi="Times New Roman"/>
          <w:color w:val="000000"/>
          <w:sz w:val="25"/>
          <w:szCs w:val="25"/>
        </w:rPr>
      </w:pPr>
    </w:p>
    <w:p w:rsidR="000B4D5B" w:rsidRPr="00877C9C" w:rsidRDefault="000B4D5B" w:rsidP="00BC606A">
      <w:pPr>
        <w:spacing w:after="0" w:line="240" w:lineRule="auto"/>
        <w:ind w:right="141" w:firstLine="567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0B4D5B" w:rsidRPr="00877C9C" w:rsidSect="00DE1DDC">
      <w:headerReference w:type="default" r:id="rId10"/>
      <w:pgSz w:w="11906" w:h="16838"/>
      <w:pgMar w:top="284" w:right="850" w:bottom="568" w:left="1417" w:header="56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4B6" w:rsidRDefault="007244B6" w:rsidP="000B4D5B">
      <w:pPr>
        <w:spacing w:after="0" w:line="240" w:lineRule="auto"/>
      </w:pPr>
      <w:r>
        <w:separator/>
      </w:r>
    </w:p>
  </w:endnote>
  <w:endnote w:type="continuationSeparator" w:id="0">
    <w:p w:rsidR="007244B6" w:rsidRDefault="007244B6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4B6" w:rsidRDefault="007244B6" w:rsidP="000B4D5B">
      <w:pPr>
        <w:spacing w:after="0" w:line="240" w:lineRule="auto"/>
      </w:pPr>
      <w:r>
        <w:separator/>
      </w:r>
    </w:p>
  </w:footnote>
  <w:footnote w:type="continuationSeparator" w:id="0">
    <w:p w:rsidR="007244B6" w:rsidRDefault="007244B6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024266"/>
      <w:docPartObj>
        <w:docPartGallery w:val="Page Numbers (Top of Page)"/>
        <w:docPartUnique/>
      </w:docPartObj>
    </w:sdtPr>
    <w:sdtEndPr/>
    <w:sdtContent>
      <w:p w:rsidR="000B4D5B" w:rsidRDefault="00DE1DDC" w:rsidP="00DE1D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15B" w:rsidRPr="000F715B">
          <w:rPr>
            <w:noProof/>
            <w:lang w:val="ru-RU"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825796"/>
    <w:multiLevelType w:val="hybridMultilevel"/>
    <w:tmpl w:val="B128EAD2"/>
    <w:lvl w:ilvl="0" w:tplc="ACBAFCF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62624F"/>
    <w:multiLevelType w:val="multilevel"/>
    <w:tmpl w:val="7EF2A228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3B10"/>
    <w:rsid w:val="00091FC3"/>
    <w:rsid w:val="000A2560"/>
    <w:rsid w:val="000B4D5B"/>
    <w:rsid w:val="000C1512"/>
    <w:rsid w:val="000D4FE9"/>
    <w:rsid w:val="000F715B"/>
    <w:rsid w:val="00122A59"/>
    <w:rsid w:val="00165FD4"/>
    <w:rsid w:val="001769F2"/>
    <w:rsid w:val="00185FCB"/>
    <w:rsid w:val="00194CFC"/>
    <w:rsid w:val="001B7CE9"/>
    <w:rsid w:val="001C650D"/>
    <w:rsid w:val="00282843"/>
    <w:rsid w:val="002B50C1"/>
    <w:rsid w:val="002E04DA"/>
    <w:rsid w:val="002E6100"/>
    <w:rsid w:val="00323D78"/>
    <w:rsid w:val="003510B7"/>
    <w:rsid w:val="00355170"/>
    <w:rsid w:val="003853E6"/>
    <w:rsid w:val="003D42D4"/>
    <w:rsid w:val="003D614F"/>
    <w:rsid w:val="003E0960"/>
    <w:rsid w:val="004124BE"/>
    <w:rsid w:val="004C31B9"/>
    <w:rsid w:val="00521C17"/>
    <w:rsid w:val="0054206B"/>
    <w:rsid w:val="0055045F"/>
    <w:rsid w:val="00647890"/>
    <w:rsid w:val="00670638"/>
    <w:rsid w:val="0068100D"/>
    <w:rsid w:val="00684BCE"/>
    <w:rsid w:val="00693DD6"/>
    <w:rsid w:val="0069795A"/>
    <w:rsid w:val="006D1DEB"/>
    <w:rsid w:val="007244B6"/>
    <w:rsid w:val="00753152"/>
    <w:rsid w:val="00780AB3"/>
    <w:rsid w:val="00796CEF"/>
    <w:rsid w:val="007B14E8"/>
    <w:rsid w:val="007B609C"/>
    <w:rsid w:val="007C3279"/>
    <w:rsid w:val="00810409"/>
    <w:rsid w:val="0083367A"/>
    <w:rsid w:val="00842E0B"/>
    <w:rsid w:val="008531FD"/>
    <w:rsid w:val="00877C9C"/>
    <w:rsid w:val="008A1D66"/>
    <w:rsid w:val="008C51E1"/>
    <w:rsid w:val="008D5947"/>
    <w:rsid w:val="009168E5"/>
    <w:rsid w:val="0092159C"/>
    <w:rsid w:val="00944846"/>
    <w:rsid w:val="009B1FA4"/>
    <w:rsid w:val="009D201E"/>
    <w:rsid w:val="009D418A"/>
    <w:rsid w:val="009F475D"/>
    <w:rsid w:val="00A10668"/>
    <w:rsid w:val="00A61349"/>
    <w:rsid w:val="00A71429"/>
    <w:rsid w:val="00AC33F8"/>
    <w:rsid w:val="00AC34D4"/>
    <w:rsid w:val="00B068EE"/>
    <w:rsid w:val="00B41B99"/>
    <w:rsid w:val="00B54BF8"/>
    <w:rsid w:val="00B54E68"/>
    <w:rsid w:val="00BC457C"/>
    <w:rsid w:val="00BC606A"/>
    <w:rsid w:val="00BD0FFD"/>
    <w:rsid w:val="00C22553"/>
    <w:rsid w:val="00CB3258"/>
    <w:rsid w:val="00D02049"/>
    <w:rsid w:val="00D87B08"/>
    <w:rsid w:val="00DB1CC0"/>
    <w:rsid w:val="00DD32C0"/>
    <w:rsid w:val="00DE1DDC"/>
    <w:rsid w:val="00DF31BC"/>
    <w:rsid w:val="00E315D4"/>
    <w:rsid w:val="00E42EC7"/>
    <w:rsid w:val="00E54927"/>
    <w:rsid w:val="00E77253"/>
    <w:rsid w:val="00E82D93"/>
    <w:rsid w:val="00EA1463"/>
    <w:rsid w:val="00EA4858"/>
    <w:rsid w:val="00EC049E"/>
    <w:rsid w:val="00EE1E63"/>
    <w:rsid w:val="00FA2CB7"/>
    <w:rsid w:val="00FA4D9E"/>
    <w:rsid w:val="00FC1917"/>
    <w:rsid w:val="00FD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3C117-1284-4A72-8EF7-49706F5D1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4896</Words>
  <Characters>2792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63</cp:revision>
  <dcterms:created xsi:type="dcterms:W3CDTF">2020-08-20T05:13:00Z</dcterms:created>
  <dcterms:modified xsi:type="dcterms:W3CDTF">2020-10-07T05:31:00Z</dcterms:modified>
</cp:coreProperties>
</file>