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153F7B" w:rsidRDefault="00FA2CB7" w:rsidP="00153F7B">
      <w:pPr>
        <w:tabs>
          <w:tab w:val="left" w:pos="-284"/>
        </w:tabs>
        <w:spacing w:after="0" w:line="240" w:lineRule="auto"/>
        <w:ind w:left="284" w:right="-142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8C51E1" w:rsidRPr="00153F7B" w:rsidRDefault="008C51E1" w:rsidP="00153F7B">
      <w:pPr>
        <w:tabs>
          <w:tab w:val="left" w:pos="-284"/>
        </w:tabs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Default="000B4D5B" w:rsidP="00705723">
      <w:pPr>
        <w:tabs>
          <w:tab w:val="left" w:pos="-284"/>
        </w:tabs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  <w:r w:rsidRPr="00153F7B">
        <w:rPr>
          <w:rFonts w:ascii="Times New Roman" w:eastAsia="Times New Roman" w:hAnsi="Times New Roman"/>
          <w:noProof/>
          <w:sz w:val="25"/>
          <w:szCs w:val="25"/>
          <w:lang w:eastAsia="uk-UA"/>
        </w:rPr>
        <w:drawing>
          <wp:inline distT="0" distB="0" distL="0" distR="0" wp14:anchorId="72BF5160" wp14:editId="30A1C6D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723" w:rsidRPr="00153F7B" w:rsidRDefault="00705723" w:rsidP="00705723">
      <w:pPr>
        <w:tabs>
          <w:tab w:val="left" w:pos="-284"/>
        </w:tabs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5"/>
          <w:szCs w:val="25"/>
          <w:lang w:eastAsia="ru-RU"/>
        </w:rPr>
      </w:pPr>
    </w:p>
    <w:p w:rsidR="000B4D5B" w:rsidRPr="00153F7B" w:rsidRDefault="00AC39A7" w:rsidP="00153F7B">
      <w:pPr>
        <w:tabs>
          <w:tab w:val="left" w:pos="-284"/>
        </w:tabs>
        <w:spacing w:after="0" w:line="240" w:lineRule="auto"/>
        <w:ind w:left="284" w:right="-142"/>
        <w:rPr>
          <w:rFonts w:ascii="Times New Roman" w:eastAsia="Times New Roman" w:hAnsi="Times New Roman"/>
          <w:bCs/>
          <w:sz w:val="35"/>
          <w:szCs w:val="35"/>
        </w:rPr>
      </w:pPr>
      <w:r w:rsidRPr="00153F7B">
        <w:rPr>
          <w:rFonts w:ascii="Times New Roman" w:eastAsia="Times New Roman" w:hAnsi="Times New Roman"/>
          <w:bCs/>
          <w:sz w:val="35"/>
          <w:szCs w:val="35"/>
        </w:rPr>
        <w:t xml:space="preserve">   </w:t>
      </w:r>
      <w:r w:rsidR="000B4D5B" w:rsidRPr="00153F7B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0B4D5B" w:rsidRPr="00153F7B" w:rsidRDefault="000B4D5B" w:rsidP="00153F7B">
      <w:pPr>
        <w:tabs>
          <w:tab w:val="left" w:pos="-284"/>
        </w:tabs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35"/>
          <w:szCs w:val="35"/>
          <w:lang w:eastAsia="ru-RU"/>
        </w:rPr>
      </w:pPr>
    </w:p>
    <w:p w:rsidR="000B4D5B" w:rsidRPr="00153F7B" w:rsidRDefault="00EA74C6" w:rsidP="00153F7B">
      <w:pPr>
        <w:tabs>
          <w:tab w:val="left" w:pos="-284"/>
        </w:tabs>
        <w:spacing w:after="0" w:line="240" w:lineRule="auto"/>
        <w:ind w:left="284" w:right="-142"/>
        <w:rPr>
          <w:rFonts w:ascii="Times New Roman" w:eastAsia="Times New Roman" w:hAnsi="Times New Roman"/>
          <w:sz w:val="25"/>
          <w:szCs w:val="25"/>
          <w:lang w:eastAsia="ru-RU"/>
        </w:rPr>
      </w:pPr>
      <w:r w:rsidRPr="00153F7B">
        <w:rPr>
          <w:rFonts w:ascii="Times New Roman" w:eastAsia="Times New Roman" w:hAnsi="Times New Roman"/>
          <w:sz w:val="25"/>
          <w:szCs w:val="25"/>
          <w:lang w:eastAsia="ru-RU"/>
        </w:rPr>
        <w:t>0</w:t>
      </w:r>
      <w:r w:rsidR="00B75810" w:rsidRPr="00153F7B">
        <w:rPr>
          <w:rFonts w:ascii="Times New Roman" w:eastAsia="Times New Roman" w:hAnsi="Times New Roman"/>
          <w:sz w:val="25"/>
          <w:szCs w:val="25"/>
          <w:lang w:eastAsia="ru-RU"/>
        </w:rPr>
        <w:t>5</w:t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153F7B">
        <w:rPr>
          <w:rFonts w:ascii="Times New Roman" w:eastAsia="Times New Roman" w:hAnsi="Times New Roman"/>
          <w:sz w:val="25"/>
          <w:szCs w:val="25"/>
          <w:lang w:eastAsia="ru-RU"/>
        </w:rPr>
        <w:t>черв</w:t>
      </w:r>
      <w:r w:rsidR="00647890" w:rsidRPr="00153F7B">
        <w:rPr>
          <w:rFonts w:ascii="Times New Roman" w:eastAsia="Times New Roman" w:hAnsi="Times New Roman"/>
          <w:sz w:val="25"/>
          <w:szCs w:val="25"/>
          <w:lang w:eastAsia="ru-RU"/>
        </w:rPr>
        <w:t>ня</w:t>
      </w:r>
      <w:r w:rsidR="009B1FA4" w:rsidRPr="00153F7B">
        <w:rPr>
          <w:rFonts w:ascii="Times New Roman" w:eastAsia="Times New Roman" w:hAnsi="Times New Roman"/>
          <w:sz w:val="25"/>
          <w:szCs w:val="25"/>
          <w:lang w:eastAsia="ru-RU"/>
        </w:rPr>
        <w:t xml:space="preserve"> 2019 року</w:t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810409" w:rsidRPr="00153F7B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810409" w:rsidRPr="00153F7B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</w:t>
      </w:r>
      <w:r w:rsidR="00F2561D">
        <w:rPr>
          <w:rFonts w:ascii="Times New Roman" w:eastAsia="Times New Roman" w:hAnsi="Times New Roman"/>
          <w:sz w:val="25"/>
          <w:szCs w:val="25"/>
          <w:lang w:eastAsia="ru-RU"/>
        </w:rPr>
        <w:t xml:space="preserve">              </w:t>
      </w:r>
      <w:r w:rsidR="000B4D5B" w:rsidRPr="00153F7B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AC39A7" w:rsidRPr="00153F7B" w:rsidRDefault="00AC39A7" w:rsidP="00153F7B">
      <w:pPr>
        <w:tabs>
          <w:tab w:val="left" w:pos="-284"/>
        </w:tabs>
        <w:spacing w:after="0" w:line="240" w:lineRule="auto"/>
        <w:ind w:left="284" w:right="-142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0B4D5B" w:rsidRPr="00153F7B" w:rsidRDefault="000B4D5B" w:rsidP="00153F7B">
      <w:pPr>
        <w:tabs>
          <w:tab w:val="left" w:pos="-284"/>
        </w:tabs>
        <w:spacing w:after="0" w:line="480" w:lineRule="auto"/>
        <w:ind w:left="284" w:right="-142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153F7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153F7B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153F7B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="00B75810" w:rsidRPr="00153F7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380</w:t>
      </w:r>
      <w:r w:rsidRPr="00153F7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</w:t>
      </w:r>
      <w:r w:rsidR="00877C9C" w:rsidRPr="00153F7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ко</w:t>
      </w:r>
      <w:r w:rsidRPr="00153F7B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-19</w:t>
      </w:r>
    </w:p>
    <w:p w:rsidR="00877C9C" w:rsidRPr="00153F7B" w:rsidRDefault="00877C9C" w:rsidP="003A4BEF">
      <w:pPr>
        <w:widowControl w:val="0"/>
        <w:tabs>
          <w:tab w:val="left" w:pos="-284"/>
        </w:tabs>
        <w:spacing w:after="0" w:line="600" w:lineRule="auto"/>
        <w:ind w:left="284" w:right="-142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Вища кваліфікаційна комісія суддів України у складі колегії:</w:t>
      </w:r>
    </w:p>
    <w:p w:rsidR="00B75810" w:rsidRPr="00153F7B" w:rsidRDefault="00B75810" w:rsidP="00153F7B">
      <w:pPr>
        <w:widowControl w:val="0"/>
        <w:spacing w:after="52" w:line="260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головуючого -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Заріцької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А.О.,</w:t>
      </w:r>
    </w:p>
    <w:p w:rsidR="00B75810" w:rsidRPr="00153F7B" w:rsidRDefault="00B75810" w:rsidP="00153F7B">
      <w:pPr>
        <w:widowControl w:val="0"/>
        <w:spacing w:after="346" w:line="260" w:lineRule="exact"/>
        <w:ind w:left="284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членів Комісії: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Луцюка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П.С.,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Макарчука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М.А.,</w:t>
      </w:r>
    </w:p>
    <w:p w:rsidR="00B75810" w:rsidRPr="00153F7B" w:rsidRDefault="00B75810" w:rsidP="00153F7B">
      <w:pPr>
        <w:widowControl w:val="0"/>
        <w:spacing w:after="380" w:line="360" w:lineRule="exact"/>
        <w:ind w:left="284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 результатами проведення первинного кваліфікаційного оцінювання суд</w:t>
      </w:r>
      <w:r w:rsidR="00F256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 </w:t>
      </w:r>
      <w:r w:rsidR="00F256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Світлани Олександрівни</w:t>
      </w:r>
    </w:p>
    <w:p w:rsidR="00B75810" w:rsidRPr="00153F7B" w:rsidRDefault="00B75810" w:rsidP="00153F7B">
      <w:pPr>
        <w:widowControl w:val="0"/>
        <w:spacing w:after="341" w:line="26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положень пункту 6 розділу II «Прикінцеві та перехідні </w:t>
      </w:r>
      <w:r w:rsidR="00F2561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положення» Закону України «Про забезпечення права на справедливий суд» (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далі-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Закон) Вища кваліфікаційна комісія суддів України забезпечує проведення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первинного кваліфікаційного оцінювання суддів з метою прийняття рішень щодо можливості здійснення ними правосуддя у відповідних судах.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виконання зазначених вимог Закону 22 березня 2016 року Комісією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прийнято рішення № 17/зп-16 про проведення протягом квітня - червня 2016 року первинного кваліфікаційного оцінювання суддів апеляційних судів, затверджено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графік його проведення та перелік завдань для проведення анонімного письмового тестування суддів.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Суддя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04 травня 2016 року взяла участь у складенні іспиту, а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12 травня 2016 року - у співбесіді.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Національне антикорупційне бюро України повідомило Комісію про низку обставин, які можуть вказувати на наявність корупційних ризиків, зокрема йдеться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об’єкти нерухомості, вартість яких не відображено в деклараціях, а також про об’єкти, які були відображені в деклараціях судді не за всі роки, хоча володіння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ними не припинялося. На момент проведення співбесіди суддею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Алдановою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надано відповідні пояснення щодо джерел походження вказаного майна та причин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їх недекларування в певні роки, однак суддя не змогла надати підтвердження цієї інформації.</w:t>
      </w:r>
    </w:p>
    <w:p w:rsidR="00B75810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Крім того, Національне антикорупційне бюро України повідомило Комісію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про обставину немайнового характеру, яка викликала підозру в наявності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корупційних </w:t>
      </w:r>
      <w:r w:rsidR="00EE1A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ризиків,</w:t>
      </w:r>
      <w:r w:rsidR="00EE1AB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зокрема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факти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спільних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перетинів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кордону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</w:t>
      </w:r>
      <w:r w:rsidR="0070572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метою</w:t>
      </w:r>
    </w:p>
    <w:p w:rsidR="00705723" w:rsidRPr="00153F7B" w:rsidRDefault="00705723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</w:p>
    <w:p w:rsidR="00705723" w:rsidRPr="00153F7B" w:rsidRDefault="00B75810" w:rsidP="00565D8F">
      <w:pPr>
        <w:widowControl w:val="0"/>
        <w:spacing w:after="0" w:line="260" w:lineRule="exact"/>
        <w:ind w:left="284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lastRenderedPageBreak/>
        <w:t>виїзду і в'їзду з колишнім чоловіком судді.</w:t>
      </w:r>
    </w:p>
    <w:p w:rsidR="00B75810" w:rsidRPr="00153F7B" w:rsidRDefault="00B75810" w:rsidP="00153F7B">
      <w:pPr>
        <w:widowControl w:val="0"/>
        <w:spacing w:after="0" w:line="384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підпункту 3.17.6 пункту 3 Порядку та методології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судді, затвердженого рішенням Вищої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кваліфікаційної комісії суддів України від 21 жовтня 2015 року 67/зп-15 та погодженого рішенням Ради суддів України від 11 грудня 2015 року № 14, за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наявності обґрунтованої необхідності під час співбесіди може бути оголошено </w:t>
      </w:r>
      <w:r w:rsidR="0026256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перерву.</w:t>
      </w:r>
    </w:p>
    <w:p w:rsidR="00B75810" w:rsidRPr="00153F7B" w:rsidRDefault="00B75810" w:rsidP="00153F7B">
      <w:pPr>
        <w:widowControl w:val="0"/>
        <w:spacing w:after="0" w:line="360" w:lineRule="exact"/>
        <w:ind w:left="284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12 травня 2016 року № 215/ко-16 у складі колегії було оголошено перерву в розгляді питання про визначення результатів первинного кваліфікаційного оцінювання судді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у зв’язку з необхідністю проведення додаткової перевірки даних суддівського досьє.</w:t>
      </w:r>
    </w:p>
    <w:p w:rsidR="00B75810" w:rsidRPr="00153F7B" w:rsidRDefault="00B75810" w:rsidP="00153F7B">
      <w:pPr>
        <w:widowControl w:val="0"/>
        <w:spacing w:after="0" w:line="379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12 жовтня 2017 року затвердила графік проведення співбесід для завершення процедури первинного кваліфікаційного оцінювання відповідно до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пункту 21 розділу XII «Прикінцеві та перехідні положення» Закону України «Про судоустрій і статус суддів», відповідно до якого 09 листопада 2017 року проведено співбесіду для визначення результатів первинного кваліфікаційного оцінювання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</w:t>
      </w:r>
    </w:p>
    <w:p w:rsidR="00B75810" w:rsidRPr="00153F7B" w:rsidRDefault="00B75810" w:rsidP="00153F7B">
      <w:pPr>
        <w:widowControl w:val="0"/>
        <w:spacing w:after="0" w:line="379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07 листопада 2017 року до Комісії звернулося Всеукраїнське громадське об’єднання «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Автомайдан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» з інформацією щодо невідповідності доходів судді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її витратам, а також щодо зазначення нею недостовірної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інформації в деклараціях за попередні роки, просило врахувати ці обставини під </w:t>
      </w:r>
      <w:r w:rsid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час проведення співбесіди.</w:t>
      </w:r>
    </w:p>
    <w:p w:rsidR="00B75810" w:rsidRPr="00153F7B" w:rsidRDefault="00B75810" w:rsidP="00153F7B">
      <w:pPr>
        <w:widowControl w:val="0"/>
        <w:spacing w:after="0" w:line="379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</w:t>
      </w:r>
      <w:r w:rsidRPr="00565D8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ддя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09 листопада 2017 року надала Комісії письмові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пояснення стосовно обставин, зазначених у листі Всеукраїнського громадського об’єднання «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Автомайдан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», однак не змогла повністю пояснити всі обставини, на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які звернуло увагу громадське об’єднання.</w:t>
      </w:r>
    </w:p>
    <w:p w:rsidR="00B75810" w:rsidRPr="00153F7B" w:rsidRDefault="00B75810" w:rsidP="00153F7B">
      <w:pPr>
        <w:widowControl w:val="0"/>
        <w:spacing w:after="0" w:line="379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підпункту 3.17.6 пункту 3 Порядку та методології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кваліфікаційного оцінювання судді, затвердженого рішенням Вищої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кваліфікаційної комісії суддів України від 21 жовтня 2015 року 67/зп-15 та погодженого рішенням Ради суддів України від 11 грудня 2015 року № 14, за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наявності обґрунтованої необхідності під час співбесіди може бути оголошено </w:t>
      </w:r>
      <w:r w:rsidR="0082679A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перерву.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7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09 листопада 2017 року № 18/ко-17 у складі колегії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було оголошено перерву в розгляді питання про визначення результатів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первинного кваліфікаційного оцінювання судді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у зв’язку з необхідністю проведення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додаткової перевірки даних суддівського досьє.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6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 метою завершення процедури первинного кваліфікаційного оцінювання відповідно </w:t>
      </w:r>
      <w:r w:rsidR="008C1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до</w:t>
      </w:r>
      <w:r w:rsidR="008C1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пункту </w:t>
      </w:r>
      <w:r w:rsidR="008C18F0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bookmarkStart w:id="0" w:name="_GoBack"/>
      <w:bookmarkEnd w:id="0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21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розділу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XII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«Прикінцеві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перехідні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положення» </w:t>
      </w:r>
      <w:r w:rsidR="00ED587D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Закону</w:t>
      </w:r>
    </w:p>
    <w:p w:rsidR="008B7B61" w:rsidRPr="00153F7B" w:rsidRDefault="008B7B61" w:rsidP="00153F7B">
      <w:pPr>
        <w:pStyle w:val="ab"/>
        <w:tabs>
          <w:tab w:val="left" w:pos="-284"/>
        </w:tabs>
        <w:spacing w:line="720" w:lineRule="auto"/>
        <w:ind w:left="284" w:right="-142"/>
        <w:rPr>
          <w:rFonts w:ascii="Times New Roman" w:hAnsi="Times New Roman"/>
          <w:sz w:val="25"/>
          <w:szCs w:val="25"/>
          <w:lang w:eastAsia="uk-UA"/>
        </w:rPr>
      </w:pPr>
    </w:p>
    <w:p w:rsidR="00B75810" w:rsidRPr="00153F7B" w:rsidRDefault="00B75810" w:rsidP="00153F7B">
      <w:pPr>
        <w:widowControl w:val="0"/>
        <w:spacing w:after="0" w:line="355" w:lineRule="exact"/>
        <w:ind w:left="284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України «Про судоустрій і статус суддів» Комісія призначила проведення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співбесіди для визначення результатів первинного кваліфікаційного оцінювання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судді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на 05 червня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2019 року.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 результатами опрацювання отриманих Комісією матеріалів, з урахуванням пояснень судді та наданих нею підтверджувальних документів, заслухавши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доповідь члена Комісії на підставі вмотивованого висновку, Комісія дійшла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висновку, що суддя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підтвердила здатність здійснювати правосуддя у відповідному суді з огляду на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таке.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Згідно з висновком від 05 червня 2019 року суддя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Алданова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визнана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такою, що позитивно оцінена та кваліфікована за такими критеріями: професійна компетентність, особиста компетентність, соціальна компетентність, здатність підвищувати свій фаховий рівень, здатність здійснювати правосуддя у суді відповідного рівня та спеціалізації, відповідність судді етичним критеріям, відповідність судді антикорупційним критеріям.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Зазначене свідчить про те, що професійний рівень судді Київського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Алданової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С.О. підтверджує її можливість здійснювати правосуддя у відповідному суді.</w:t>
      </w:r>
    </w:p>
    <w:p w:rsidR="00B75810" w:rsidRPr="00153F7B" w:rsidRDefault="00B75810" w:rsidP="00153F7B">
      <w:pPr>
        <w:widowControl w:val="0"/>
        <w:spacing w:after="0" w:line="355" w:lineRule="exact"/>
        <w:ind w:left="284" w:right="40" w:firstLine="58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Керуючись пунктами 6 та 7 розділу II «Прикінцеві та перехідні положення» Закону, статтями 83-86 Закону України «Про судоустрій і статус суддів»,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Порядком та методологією кваліфікаційного оцінювання судді, затвердженим рішенням Вищої кваліфікаційної комісії суддів України від 21 жовтня 2015 року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67/зп-15 та погодженим рішенням Ради суддів України від 11 грудня 2015 року </w:t>
      </w:r>
      <w:r w:rsidR="00FC726F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№ 14, Комісія</w:t>
      </w:r>
    </w:p>
    <w:p w:rsidR="00B75810" w:rsidRPr="00153F7B" w:rsidRDefault="00B75810" w:rsidP="00153F7B">
      <w:pPr>
        <w:widowControl w:val="0"/>
        <w:spacing w:after="340" w:line="260" w:lineRule="exact"/>
        <w:ind w:left="284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B75810" w:rsidRPr="00FC726F" w:rsidRDefault="00B75810" w:rsidP="00FC726F">
      <w:pPr>
        <w:widowControl w:val="0"/>
        <w:spacing w:after="372" w:line="350" w:lineRule="exact"/>
        <w:ind w:left="284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визнати суддю Київського апеляційного господарського суду </w:t>
      </w:r>
      <w:proofErr w:type="spellStart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Алданову</w:t>
      </w:r>
      <w:proofErr w:type="spellEnd"/>
      <w:r w:rsidRPr="00153F7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Світлану Олександрівну такою, що підтвердила можливість здійснювати правосуддя у відповідному суді.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153F7B" w:rsidTr="00B068EE">
        <w:tc>
          <w:tcPr>
            <w:tcW w:w="3284" w:type="dxa"/>
            <w:shd w:val="clear" w:color="auto" w:fill="auto"/>
          </w:tcPr>
          <w:p w:rsidR="00C22553" w:rsidRPr="00153F7B" w:rsidRDefault="00C22553" w:rsidP="00153F7B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153F7B" w:rsidRDefault="00C22553" w:rsidP="00153F7B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153F7B" w:rsidRDefault="00B75810" w:rsidP="00FC726F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601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153F7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А.О. </w:t>
            </w:r>
            <w:proofErr w:type="spellStart"/>
            <w:r w:rsidRPr="00153F7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Заріцька</w:t>
            </w:r>
            <w:proofErr w:type="spellEnd"/>
          </w:p>
        </w:tc>
      </w:tr>
      <w:tr w:rsidR="00C22553" w:rsidRPr="00153F7B" w:rsidTr="00B068EE">
        <w:tc>
          <w:tcPr>
            <w:tcW w:w="3284" w:type="dxa"/>
            <w:shd w:val="clear" w:color="auto" w:fill="auto"/>
          </w:tcPr>
          <w:p w:rsidR="00C22553" w:rsidRPr="00153F7B" w:rsidRDefault="00C22553" w:rsidP="00153F7B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153F7B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153F7B" w:rsidRDefault="00C22553" w:rsidP="00153F7B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153F7B" w:rsidRDefault="00B75810" w:rsidP="00FC726F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601"/>
              <w:jc w:val="both"/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</w:pPr>
            <w:r w:rsidRPr="00153F7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П.С. Луцюк</w:t>
            </w:r>
          </w:p>
          <w:p w:rsidR="00C22553" w:rsidRPr="00153F7B" w:rsidRDefault="008B7B61" w:rsidP="00FC726F">
            <w:pPr>
              <w:widowControl w:val="0"/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601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153F7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 xml:space="preserve">М.А. </w:t>
            </w:r>
            <w:proofErr w:type="spellStart"/>
            <w:r w:rsidRPr="00153F7B">
              <w:rPr>
                <w:rFonts w:ascii="Times New Roman" w:eastAsia="Times New Roman" w:hAnsi="Times New Roman"/>
                <w:color w:val="000000"/>
                <w:sz w:val="25"/>
                <w:szCs w:val="25"/>
                <w:lang w:eastAsia="uk-UA"/>
              </w:rPr>
              <w:t>Макарчук</w:t>
            </w:r>
            <w:proofErr w:type="spellEnd"/>
          </w:p>
        </w:tc>
      </w:tr>
    </w:tbl>
    <w:p w:rsidR="00753152" w:rsidRPr="00153F7B" w:rsidRDefault="00753152" w:rsidP="00153F7B">
      <w:pPr>
        <w:tabs>
          <w:tab w:val="left" w:pos="-284"/>
        </w:tabs>
        <w:ind w:left="284" w:right="-142"/>
        <w:rPr>
          <w:rFonts w:ascii="Times New Roman" w:hAnsi="Times New Roman"/>
          <w:sz w:val="25"/>
          <w:szCs w:val="25"/>
        </w:rPr>
      </w:pPr>
    </w:p>
    <w:sectPr w:rsidR="00753152" w:rsidRPr="00153F7B" w:rsidSect="00153F7B">
      <w:headerReference w:type="default" r:id="rId10"/>
      <w:pgSz w:w="11906" w:h="16838"/>
      <w:pgMar w:top="284" w:right="707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7B9" w:rsidRDefault="00F347B9" w:rsidP="000B4D5B">
      <w:pPr>
        <w:spacing w:after="0" w:line="240" w:lineRule="auto"/>
      </w:pPr>
      <w:r>
        <w:separator/>
      </w:r>
    </w:p>
  </w:endnote>
  <w:endnote w:type="continuationSeparator" w:id="0">
    <w:p w:rsidR="00F347B9" w:rsidRDefault="00F347B9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7B9" w:rsidRDefault="00F347B9" w:rsidP="000B4D5B">
      <w:pPr>
        <w:spacing w:after="0" w:line="240" w:lineRule="auto"/>
      </w:pPr>
      <w:r>
        <w:separator/>
      </w:r>
    </w:p>
  </w:footnote>
  <w:footnote w:type="continuationSeparator" w:id="0">
    <w:p w:rsidR="00F347B9" w:rsidRDefault="00F347B9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8F0" w:rsidRPr="008C18F0">
          <w:rPr>
            <w:noProof/>
            <w:lang w:val="ru-RU"/>
          </w:rPr>
          <w:t>2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575BFF"/>
    <w:multiLevelType w:val="multilevel"/>
    <w:tmpl w:val="0D2216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61D81"/>
    <w:multiLevelType w:val="multilevel"/>
    <w:tmpl w:val="06B81516"/>
    <w:lvl w:ilvl="0">
      <w:start w:val="5"/>
      <w:numFmt w:val="decimal"/>
      <w:lvlText w:val="15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A9238C"/>
    <w:multiLevelType w:val="multilevel"/>
    <w:tmpl w:val="BC9A08D2"/>
    <w:lvl w:ilvl="0">
      <w:start w:val="5"/>
      <w:numFmt w:val="decimal"/>
      <w:lvlText w:val="70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224406"/>
    <w:multiLevelType w:val="multilevel"/>
    <w:tmpl w:val="A580A7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BF46244"/>
    <w:multiLevelType w:val="multilevel"/>
    <w:tmpl w:val="518A7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7E879B5"/>
    <w:multiLevelType w:val="multilevel"/>
    <w:tmpl w:val="E410ED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FE11B4"/>
    <w:multiLevelType w:val="multilevel"/>
    <w:tmpl w:val="434AD79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E190898"/>
    <w:multiLevelType w:val="multilevel"/>
    <w:tmpl w:val="CF0EFF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9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11E6D"/>
    <w:rsid w:val="00023B10"/>
    <w:rsid w:val="00025E34"/>
    <w:rsid w:val="00072FE7"/>
    <w:rsid w:val="00073F7C"/>
    <w:rsid w:val="00091FC3"/>
    <w:rsid w:val="000A2560"/>
    <w:rsid w:val="000A334E"/>
    <w:rsid w:val="000B4D5B"/>
    <w:rsid w:val="000C1512"/>
    <w:rsid w:val="000D4FE9"/>
    <w:rsid w:val="000E5EA2"/>
    <w:rsid w:val="00123E36"/>
    <w:rsid w:val="00140FF4"/>
    <w:rsid w:val="00153F7B"/>
    <w:rsid w:val="00162AF8"/>
    <w:rsid w:val="00165FD4"/>
    <w:rsid w:val="001769F2"/>
    <w:rsid w:val="00185FCB"/>
    <w:rsid w:val="00194CFC"/>
    <w:rsid w:val="001B7CE9"/>
    <w:rsid w:val="001C650D"/>
    <w:rsid w:val="00236255"/>
    <w:rsid w:val="00255CD9"/>
    <w:rsid w:val="0026256E"/>
    <w:rsid w:val="002A34CB"/>
    <w:rsid w:val="002B50C1"/>
    <w:rsid w:val="002E04DA"/>
    <w:rsid w:val="002E6100"/>
    <w:rsid w:val="00323D78"/>
    <w:rsid w:val="003510B7"/>
    <w:rsid w:val="0035506B"/>
    <w:rsid w:val="00363049"/>
    <w:rsid w:val="00375553"/>
    <w:rsid w:val="003853E6"/>
    <w:rsid w:val="003A4BEF"/>
    <w:rsid w:val="003B478F"/>
    <w:rsid w:val="003C6281"/>
    <w:rsid w:val="003D42D4"/>
    <w:rsid w:val="003D614F"/>
    <w:rsid w:val="003E0960"/>
    <w:rsid w:val="004124BE"/>
    <w:rsid w:val="00414F08"/>
    <w:rsid w:val="004E07B7"/>
    <w:rsid w:val="00502E1A"/>
    <w:rsid w:val="00565D8F"/>
    <w:rsid w:val="00575E74"/>
    <w:rsid w:val="00612DD0"/>
    <w:rsid w:val="00644CC9"/>
    <w:rsid w:val="00647890"/>
    <w:rsid w:val="00670638"/>
    <w:rsid w:val="0068100D"/>
    <w:rsid w:val="00693DD6"/>
    <w:rsid w:val="0069795A"/>
    <w:rsid w:val="00705723"/>
    <w:rsid w:val="007147FA"/>
    <w:rsid w:val="00753152"/>
    <w:rsid w:val="00780AB3"/>
    <w:rsid w:val="007B14E8"/>
    <w:rsid w:val="007B609C"/>
    <w:rsid w:val="007C3279"/>
    <w:rsid w:val="007E65EB"/>
    <w:rsid w:val="00810409"/>
    <w:rsid w:val="0082679A"/>
    <w:rsid w:val="0083367A"/>
    <w:rsid w:val="00842E0B"/>
    <w:rsid w:val="008531FD"/>
    <w:rsid w:val="00877C9C"/>
    <w:rsid w:val="008A1D66"/>
    <w:rsid w:val="008B7B61"/>
    <w:rsid w:val="008C18F0"/>
    <w:rsid w:val="008C51E1"/>
    <w:rsid w:val="008C579B"/>
    <w:rsid w:val="008D5947"/>
    <w:rsid w:val="009168E5"/>
    <w:rsid w:val="0092159C"/>
    <w:rsid w:val="0094010A"/>
    <w:rsid w:val="00944846"/>
    <w:rsid w:val="009B1FA4"/>
    <w:rsid w:val="009D201E"/>
    <w:rsid w:val="009D418A"/>
    <w:rsid w:val="009F475D"/>
    <w:rsid w:val="00A10668"/>
    <w:rsid w:val="00A57302"/>
    <w:rsid w:val="00A61055"/>
    <w:rsid w:val="00A67065"/>
    <w:rsid w:val="00A71429"/>
    <w:rsid w:val="00A8795D"/>
    <w:rsid w:val="00AC33F8"/>
    <w:rsid w:val="00AC34D4"/>
    <w:rsid w:val="00AC39A7"/>
    <w:rsid w:val="00B068EE"/>
    <w:rsid w:val="00B54E68"/>
    <w:rsid w:val="00B75810"/>
    <w:rsid w:val="00BC457C"/>
    <w:rsid w:val="00BD0FFD"/>
    <w:rsid w:val="00C22553"/>
    <w:rsid w:val="00C70732"/>
    <w:rsid w:val="00CB3258"/>
    <w:rsid w:val="00CF7728"/>
    <w:rsid w:val="00D02049"/>
    <w:rsid w:val="00D87B08"/>
    <w:rsid w:val="00D90FF2"/>
    <w:rsid w:val="00DB1CC0"/>
    <w:rsid w:val="00DD32C0"/>
    <w:rsid w:val="00E307CB"/>
    <w:rsid w:val="00E315D4"/>
    <w:rsid w:val="00E42EC7"/>
    <w:rsid w:val="00E54927"/>
    <w:rsid w:val="00E77253"/>
    <w:rsid w:val="00E82D93"/>
    <w:rsid w:val="00E879BA"/>
    <w:rsid w:val="00EA1463"/>
    <w:rsid w:val="00EA4858"/>
    <w:rsid w:val="00EA74C6"/>
    <w:rsid w:val="00EB58F3"/>
    <w:rsid w:val="00EC049E"/>
    <w:rsid w:val="00ED587D"/>
    <w:rsid w:val="00EE1ABA"/>
    <w:rsid w:val="00EE1E63"/>
    <w:rsid w:val="00F2561D"/>
    <w:rsid w:val="00F347B9"/>
    <w:rsid w:val="00FA2CB7"/>
    <w:rsid w:val="00FA4D9E"/>
    <w:rsid w:val="00FA7067"/>
    <w:rsid w:val="00FC726F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90D06-7B16-4434-8D48-5E075CB7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4529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90</cp:revision>
  <dcterms:created xsi:type="dcterms:W3CDTF">2020-08-20T05:13:00Z</dcterms:created>
  <dcterms:modified xsi:type="dcterms:W3CDTF">2020-10-06T08:38:00Z</dcterms:modified>
</cp:coreProperties>
</file>