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346D8" w:rsidRDefault="009B3CA3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6D8">
        <w:rPr>
          <w:rFonts w:ascii="Times New Roman" w:eastAsia="Times New Roman" w:hAnsi="Times New Roman"/>
          <w:sz w:val="28"/>
          <w:szCs w:val="28"/>
          <w:lang w:eastAsia="ru-RU"/>
        </w:rPr>
        <w:t xml:space="preserve">05 листопада </w:t>
      </w:r>
      <w:r w:rsidR="006510A2" w:rsidRPr="007346D8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7346D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7346D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7346D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7346D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7346D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7346D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7346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7346D8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51F05" w:rsidRPr="007346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510A2" w:rsidRPr="007346D8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346D8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346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346D8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346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9B3CA3" w:rsidRPr="007346D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1131</w:t>
      </w:r>
      <w:r w:rsidR="006510A2" w:rsidRPr="007346D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7346D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7346D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2B04E3" w:rsidRPr="002B04E3" w:rsidRDefault="002B04E3" w:rsidP="002B04E3">
      <w:pPr>
        <w:widowControl w:val="0"/>
        <w:spacing w:after="0" w:line="648" w:lineRule="exact"/>
        <w:ind w:left="4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2B04E3" w:rsidRPr="002B04E3" w:rsidRDefault="00DF65C4" w:rsidP="002B04E3">
      <w:pPr>
        <w:widowControl w:val="0"/>
        <w:spacing w:after="0" w:line="648" w:lineRule="exact"/>
        <w:ind w:left="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proofErr w:type="spellStart"/>
      <w:r w:rsidR="002B04E3" w:rsidRPr="002B04E3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="002B04E3"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2B04E3" w:rsidRPr="002B04E3" w:rsidRDefault="002B04E3" w:rsidP="002B04E3">
      <w:pPr>
        <w:widowControl w:val="0"/>
        <w:spacing w:after="557" w:line="648" w:lineRule="exact"/>
        <w:ind w:left="4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Остапця С.Л.,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Солодкова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А.А.,</w:t>
      </w:r>
    </w:p>
    <w:p w:rsidR="002B04E3" w:rsidRPr="002B04E3" w:rsidRDefault="00F7611D" w:rsidP="002B04E3">
      <w:pPr>
        <w:widowControl w:val="0"/>
        <w:spacing w:after="337" w:line="326" w:lineRule="exact"/>
        <w:ind w:left="40" w:right="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розглянувши питанн</w:t>
      </w:r>
      <w:r w:rsidR="002B04E3" w:rsidRPr="002B04E3">
        <w:rPr>
          <w:rFonts w:ascii="Times New Roman" w:eastAsia="Times New Roman" w:hAnsi="Times New Roman"/>
          <w:color w:val="000000"/>
          <w:sz w:val="28"/>
          <w:szCs w:val="28"/>
        </w:rPr>
        <w:t>я про результати кваліфікаційного оцінювання судді господарського суду Харківської області Макаренко Оксани Вікторівни на відповідність займаній посаді,</w:t>
      </w:r>
    </w:p>
    <w:p w:rsidR="002B04E3" w:rsidRPr="002B04E3" w:rsidRDefault="002B04E3" w:rsidP="002B04E3">
      <w:pPr>
        <w:widowControl w:val="0"/>
        <w:spacing w:after="274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2B04E3" w:rsidRPr="002B04E3" w:rsidRDefault="002B04E3" w:rsidP="004569C6">
      <w:pPr>
        <w:widowControl w:val="0"/>
        <w:spacing w:after="0" w:line="240" w:lineRule="auto"/>
        <w:ind w:left="40" w:firstLine="76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4569C6">
        <w:rPr>
          <w:rFonts w:ascii="Times New Roman" w:eastAsia="Times New Roman" w:hAnsi="Times New Roman"/>
          <w:color w:val="000000"/>
          <w:sz w:val="28"/>
          <w:szCs w:val="28"/>
        </w:rPr>
        <w:t>16¹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Переходні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положення» Конституції</w:t>
      </w:r>
      <w:r w:rsidR="004569C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України відповідність займаній посаді судді якого призначено на посаду строком </w:t>
      </w:r>
      <w:r w:rsidR="00254412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на п’ять років або обрано суддею безстроково до набрання чинності Законом України «Про внесення змін до Конституції України (щодо правосуддя)», має</w:t>
      </w:r>
      <w:r w:rsidR="0025441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бути оцінена в порядку, визначеному законом.</w:t>
      </w:r>
    </w:p>
    <w:p w:rsidR="002B04E3" w:rsidRPr="002B04E3" w:rsidRDefault="002B04E3" w:rsidP="004569C6">
      <w:pPr>
        <w:widowControl w:val="0"/>
        <w:spacing w:after="0" w:line="240" w:lineRule="auto"/>
        <w:ind w:left="40" w:right="20" w:firstLine="76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20 розділу XII «Прикінцеві та перехідні положення» Закону </w:t>
      </w:r>
      <w:r w:rsidR="00254412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України «Про су</w:t>
      </w:r>
      <w:r w:rsidR="00254412">
        <w:rPr>
          <w:rFonts w:ascii="Times New Roman" w:eastAsia="Times New Roman" w:hAnsi="Times New Roman"/>
          <w:color w:val="000000"/>
          <w:sz w:val="28"/>
          <w:szCs w:val="28"/>
        </w:rPr>
        <w:t>доустрій і статус суддів» (далі</w:t>
      </w:r>
      <w:r w:rsidR="00465859">
        <w:rPr>
          <w:rFonts w:ascii="Times New Roman" w:eastAsia="Times New Roman" w:hAnsi="Times New Roman"/>
          <w:color w:val="000000"/>
          <w:sz w:val="28"/>
          <w:szCs w:val="28"/>
        </w:rPr>
        <w:t xml:space="preserve"> -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Закон) передбачено, що відповідність займаній посаді судді якого призначено на посаду строком на п’ять років або обрано суддею безстроково до набрання чинності Законом України </w:t>
      </w:r>
      <w:r w:rsidR="0046585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«Про внесення змін до Конституції України (щодо правосуддя)», оцінюється колегіями Вищої кваліфікаційної Комісії суддів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Українии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в порядку, </w:t>
      </w:r>
      <w:r w:rsidR="0046585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визначеному цим Законом.</w:t>
      </w:r>
    </w:p>
    <w:p w:rsidR="002B04E3" w:rsidRPr="002B04E3" w:rsidRDefault="002B04E3" w:rsidP="002B04E3">
      <w:pPr>
        <w:widowControl w:val="0"/>
        <w:spacing w:after="0" w:line="350" w:lineRule="exact"/>
        <w:ind w:left="40" w:right="20" w:firstLine="76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Виявлення за результатами такого оцінювання невідповідності судді </w:t>
      </w:r>
      <w:r w:rsidR="00465859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займаній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посадій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за критеріями компетентності професійної етики або доброчесності чи відмова судді від такого оцінювання є підставою для </w:t>
      </w:r>
      <w:r w:rsidR="0046585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звільнення судді з посади за рішенням Вищої ради правосуддя на підставі </w:t>
      </w:r>
      <w:r w:rsidR="0046585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подання відповідної колегії Вищої кваліфікаційної Комісії суддів України.</w:t>
      </w:r>
    </w:p>
    <w:p w:rsidR="002B04E3" w:rsidRPr="002B04E3" w:rsidRDefault="002B04E3" w:rsidP="002B04E3">
      <w:pPr>
        <w:widowControl w:val="0"/>
        <w:spacing w:after="0" w:line="350" w:lineRule="exact"/>
        <w:ind w:left="40" w:right="20" w:firstLine="76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20 жовтня 2017 року № 106/зп-17 призначено кваліфікаційного оцінювання судді місцевих та апеляційних судів на </w:t>
      </w:r>
      <w:r w:rsidR="0046585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відповідність займаній посаді зокрема судді господарського суду Харківської області Макаренко О.В.</w:t>
      </w:r>
      <w:r w:rsidRPr="002B04E3">
        <w:rPr>
          <w:rFonts w:ascii="Times New Roman" w:eastAsia="Times New Roman" w:hAnsi="Times New Roman"/>
          <w:sz w:val="28"/>
          <w:szCs w:val="28"/>
        </w:rPr>
        <w:br w:type="page"/>
      </w:r>
    </w:p>
    <w:p w:rsidR="00AA1EAF" w:rsidRPr="00AA1EAF" w:rsidRDefault="00AA1EAF" w:rsidP="00AA1EAF">
      <w:pPr>
        <w:widowControl w:val="0"/>
        <w:spacing w:after="0" w:line="350" w:lineRule="exact"/>
        <w:ind w:left="20" w:right="20" w:firstLine="72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A1EA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</w:t>
      </w:r>
    </w:p>
    <w:p w:rsidR="00AA1EAF" w:rsidRDefault="00AA1EAF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Частиною п’ятою статті 83 Закону встановлено, що порядок та </w:t>
      </w:r>
      <w:r w:rsidR="00F85EB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F85EB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Комісією.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F85EB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рішенням Комісії від 03 листопада 2016 року № 143/зп-16 (у редакції рішення Комісії від 13 лютого 2018 року № 20/зп-18) (далі</w:t>
      </w:r>
      <w:r w:rsidR="00F85EBF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Положення), встановлення відповідності судді критеріям кваліфікаційного оцінювання здійснюється </w:t>
      </w:r>
      <w:r w:rsidR="00F85EB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Пунктом 11 розділу V Положення передбачено, що рішення про підтвердження відповідності судді займаній посаді ухвалюється у разі</w:t>
      </w:r>
      <w:r w:rsidR="00F85EB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отримання суддею мінімально допустимого і більшого бала за результатами</w:t>
      </w:r>
      <w:r w:rsidR="00F85EB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за кожен з критеріїв бала, більшого за 0.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правосуддя у відповідному суді за визначеними критеріями. Такими критеріями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є: компетентність (професійна, особиста, соціальна тощо), професійна етика, доброчесність.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Згідно зі статтею 85 Закону кваліфікаційне оцінювання включає такі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етапи:</w:t>
      </w:r>
    </w:p>
    <w:p w:rsidR="002B04E3" w:rsidRPr="002B04E3" w:rsidRDefault="002B04E3" w:rsidP="002B04E3">
      <w:pPr>
        <w:widowControl w:val="0"/>
        <w:numPr>
          <w:ilvl w:val="0"/>
          <w:numId w:val="7"/>
        </w:numPr>
        <w:tabs>
          <w:tab w:val="left" w:pos="1134"/>
        </w:tabs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2B04E3" w:rsidRPr="002B04E3" w:rsidRDefault="002B04E3" w:rsidP="002B04E3">
      <w:pPr>
        <w:widowControl w:val="0"/>
        <w:numPr>
          <w:ilvl w:val="0"/>
          <w:numId w:val="7"/>
        </w:numPr>
        <w:tabs>
          <w:tab w:val="left" w:pos="1042"/>
        </w:tabs>
        <w:spacing w:after="0" w:line="350" w:lineRule="exact"/>
        <w:ind w:lef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5 глави 6 розділу II Положення передбачено, що максимально можливі бали становлять: за критеріями компетентності (професійної,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особистої, соціальної)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500 балів, професійної етики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250 балів,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доброчесності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–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250 балів. Сума максимально можливих балів за результатами кваліфікаційного оцінювання всіх критеріїв становить 1 000 балів.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положень частини третьої статті 85 Закону рішенням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відповідність займаній посаді, зокрема судді господарського суду Харківської області Макаренко О.В.</w:t>
      </w:r>
    </w:p>
    <w:p w:rsidR="00563676" w:rsidRPr="00563676" w:rsidRDefault="00563676" w:rsidP="00563676">
      <w:pPr>
        <w:widowControl w:val="0"/>
        <w:spacing w:after="0" w:line="350" w:lineRule="exact"/>
        <w:ind w:left="20" w:right="20" w:firstLine="72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6367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3</w:t>
      </w:r>
    </w:p>
    <w:p w:rsidR="00563676" w:rsidRDefault="00563676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Макаренко О.В. склала анонімне письмове тестування, за результатами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якого набрала 90 балів. За результатами виконаного практичного завдання Макаренко О.В. набрала 93,5 бала. На етапі складення іспиту суддя загалом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набрала 183,5 бала.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Макаренко О.В.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абзацом третім пункту 20 розділу III Положення, під час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статті 87 Закону,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рада доброчесності, яка, зокрема, надає Комісії інформацію щодо судді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(кандидата на посаду судді), а з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а наявності відповідних підстав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висновок про невідповідність судді (кандидата на посаду судді) критеріям професійної етики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та доброчесності.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Підпунктом 4.10.3 пункту 4.10 розділу IV Регламенту Вищої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кваліфікаційної комісії суддів України, затвердженого рішенням Комісії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від 13 жовтня 2016 року № 81/зп-16 (з наступними змінами) (далі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До Комісії 01 серпня 2019 року від Громадської ради доброчесності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надійшов затверджений 31 липня 2019 року висновок про невідповідність судді господарського суду Харківської області Макаренко О.В. критеріям 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доброчесності та професійної етики (далі</w:t>
      </w:r>
      <w:r w:rsidR="00563676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висновок).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Суддя надала до Комісії письмові пояснення, які підтримала під час співбесіди.</w:t>
      </w:r>
    </w:p>
    <w:p w:rsidR="002B04E3" w:rsidRPr="002B04E3" w:rsidRDefault="002B04E3" w:rsidP="002B04E3">
      <w:pPr>
        <w:widowControl w:val="0"/>
        <w:tabs>
          <w:tab w:val="left" w:pos="8727"/>
        </w:tabs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Так, щодо пункту першого висновку ГРД в якому йдеться про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недекларування в деклараціях про майно, доходи, витрати і зобов'язання фінансового характеру за 2012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2014 року житлового будинку загальною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площею 74,4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кв.м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, який знаходиться у місті Харкові суддя пояснила, що у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висновку ГРД йдеться про житловий будинок загальною площею 74,4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кв.м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., розташований за адресою: місто Харків,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Вказане</w:t>
      </w:r>
    </w:p>
    <w:p w:rsidR="002B04E3" w:rsidRPr="002B04E3" w:rsidRDefault="002B04E3" w:rsidP="002B04E3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майно в деклараціях про майно, доходи, витрати і зобов'язання фінансового характеру за 2012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2015 роки задекларовано. Проте розмір будинку згідно з договором купівлі-продажу становив 66,4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кв.м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і тільки після реконструкції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(2014 рік)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площа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будинку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збільшилась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74,4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кв.м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що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було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відображено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і </w:t>
      </w:r>
      <w:r w:rsidR="00B13CA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</w:p>
    <w:p w:rsidR="002B04E3" w:rsidRPr="002B04E3" w:rsidRDefault="002B04E3" w:rsidP="002B04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  <w:sectPr w:rsidR="002B04E3" w:rsidRPr="002B04E3" w:rsidSect="00AA1EAF">
          <w:headerReference w:type="default" r:id="rId9"/>
          <w:pgSz w:w="11909" w:h="16838"/>
          <w:pgMar w:top="993" w:right="710" w:bottom="720" w:left="993" w:header="0" w:footer="3" w:gutter="0"/>
          <w:cols w:space="720"/>
          <w:titlePg/>
          <w:docGrid w:linePitch="299"/>
        </w:sectPr>
      </w:pPr>
    </w:p>
    <w:p w:rsidR="001A2432" w:rsidRPr="0096235B" w:rsidRDefault="001A2432" w:rsidP="0096235B">
      <w:pPr>
        <w:widowControl w:val="0"/>
        <w:spacing w:after="0" w:line="370" w:lineRule="exact"/>
        <w:ind w:left="20" w:right="2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1A243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4</w:t>
      </w:r>
    </w:p>
    <w:p w:rsidR="002B04E3" w:rsidRPr="002B04E3" w:rsidRDefault="002B04E3" w:rsidP="002B04E3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наступних деклараціях осіб, уповноважених на виконання функцій держави або місцевого самоврядування, за 2015</w:t>
      </w:r>
      <w:r w:rsidR="001A2432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2018 роки.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 наступному пункті висновку ГРД вказано, що чоловік судді у 2017 році продав два автомобілі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Range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Rover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Vogue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2011 року випуску та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Land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Rover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A243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Sport</w:t>
      </w:r>
      <w:r w:rsidR="001A243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2013 року випуску за ціною 45 000 грн та 200 000 грн відповідно, що </w:t>
      </w:r>
      <w:r w:rsidR="001A243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значно нижче ринкової вартості. Стосовно цього пункту суддя зазначила, що автомобіль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Range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Rover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Vogue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2011 року випуску продано у 2017 році. </w:t>
      </w:r>
      <w:r w:rsidR="004679E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Водночас, з метою з’ясування його вартості мій чоловік звернувся до </w:t>
      </w:r>
      <w:r w:rsidR="004679E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офіційного дилера компанії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LAND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ROVER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в Україні, у якого вказаний автотранспортний засіб було придбано та знаходився на технічному обслуговуванні протягом всього часу експлуатації. Згідно з відповіді вартість вказаного автомобіля на момент його обстеження, 19 квітня 2017 року, </w:t>
      </w:r>
      <w:r w:rsidR="004679E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становила 45 000 грн, оскільки його технічний стан був незадовільний і потребував ремонтно-відновлювальних робіт, зокрема, двигун та коробка переключення передач були в несправному стані і підлягали заміні, не </w:t>
      </w:r>
      <w:r w:rsidR="004679E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працювала пневматична підвіска, через потрапляння води вийшли з ладу</w:t>
      </w:r>
      <w:r w:rsidR="004679E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основні електросистеми автотранспортного засобу, а також були деформовані кузов, кабіна та рама внаслідок падіння навісу під вагою снігу. Відповідно до звіту про незалежну оцінку вартість автотранспортного засобу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Range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Rover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Sport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2013 року випуску на момент його обстеження, 12 грудня 2017 року, становила 200 000 грн, оскільки він знаходився в технічно не справному стані, потребував ремонту ходової, гідравлічної, гальмівної,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електричної частини, заміни КПП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тощо.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Наступною підставою для висновку стало те, що в стороннього спостерігача виникають обґрунтовані сумніви у тому, що задекларовані доходи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 деклараціях осіб, уповноважених на виконання функцій держави або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місцевого самоврядування, за 2016 та 2017 роки відповідають витратам та способу життя судді та її сім’ї. Стосовно цього суддя пояснила, що сукупні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>доходи її сім’ї за період 2016 –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2017 років, були достатніми та перевищували суму фінансових витрат та грошових активів, зокрема перевищення сукупного доходу над витратами у 2017 році становило 307 973,10 грн.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Ще однією з підстав для висновку ГРД стало те, що порівнюючи дані про трудовий стаж судді та належне їй майно ще до початку здійснення правосуддя,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у стороннього спостерігача виникає сумнів у достатності одержуваних доходів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на набуття 15 липня 2008 у власність автомобіля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MERCEDES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BENZ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CLS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350 2008 року випуску та автомобіля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SKODA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Fabia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Стосовно цієї обставини суддя пояснила, що метою придбання у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2003 році автотранспортного засобу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SKODA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Fabia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, 2002 року випуску мною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25 листопада 2003 року продано автомобіль ВАЗ 21099, 2002 року випуску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Щодо одержуваних доходів на придбання 15 липня 2008 року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автотранспортного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засобу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MERCEDES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BENZ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CLS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350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2008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року 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випуску</w:t>
      </w:r>
    </w:p>
    <w:p w:rsidR="00906AB1" w:rsidRDefault="00906AB1" w:rsidP="0096235B">
      <w:pPr>
        <w:widowControl w:val="0"/>
        <w:tabs>
          <w:tab w:val="left" w:pos="5194"/>
        </w:tabs>
        <w:spacing w:after="0" w:line="350" w:lineRule="exact"/>
        <w:ind w:left="20" w:right="2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235B" w:rsidRPr="0096235B" w:rsidRDefault="0096235B" w:rsidP="0096235B">
      <w:pPr>
        <w:widowControl w:val="0"/>
        <w:tabs>
          <w:tab w:val="left" w:pos="5194"/>
        </w:tabs>
        <w:spacing w:after="0" w:line="350" w:lineRule="exact"/>
        <w:ind w:left="20" w:right="2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96235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5</w:t>
      </w:r>
    </w:p>
    <w:p w:rsidR="002B04E3" w:rsidRPr="002B04E3" w:rsidRDefault="002B04E3" w:rsidP="0096235B">
      <w:pPr>
        <w:widowControl w:val="0"/>
        <w:tabs>
          <w:tab w:val="left" w:pos="5194"/>
        </w:tabs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необхідно зазначити, що на підстав</w:t>
      </w:r>
      <w:r w:rsidR="0096235B">
        <w:rPr>
          <w:rFonts w:ascii="Times New Roman" w:eastAsia="Times New Roman" w:hAnsi="Times New Roman"/>
          <w:color w:val="000000"/>
          <w:sz w:val="28"/>
          <w:szCs w:val="28"/>
        </w:rPr>
        <w:t>і договору купівлі-продажу від 30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серпня </w:t>
      </w:r>
      <w:r w:rsidR="00AC3F7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2006 року мною продано квартира № </w:t>
      </w:r>
      <w:r w:rsidR="00AC3F70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що знаходиться у будинку розташованому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AC3F70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 місті Харкові вартістю 404 000 грн,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що еквівалентно 80 000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дол. США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за офіційним курсом НБУ на дату продажу. Крім того, згідно з договором купівлі-продажу від 14 квітня 2008 року мати чоловіка продала квартиру в місті Харкові вартістю 757 500 грн, що 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еквівалентно 150 000,00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дол. США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за офіційним курсом НБУ на дату продажу. Отримані кошти вона подарувала своєму єдиному сину на потреби його сім’ї.</w:t>
      </w:r>
    </w:p>
    <w:p w:rsidR="002B04E3" w:rsidRPr="002B04E3" w:rsidRDefault="002B04E3" w:rsidP="002B04E3">
      <w:pPr>
        <w:widowControl w:val="0"/>
        <w:tabs>
          <w:tab w:val="left" w:pos="5713"/>
        </w:tabs>
        <w:spacing w:after="0" w:line="350" w:lineRule="exact"/>
        <w:ind w:left="20" w:right="20" w:firstLine="74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У наступному підпункті висновку зазначено, що 01 червня 2010 року сестра судді набула у власність автомобіль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PORSCHE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CAYMAN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2007 року випуску Також сестра судді 29 квітня 2015 року видала довіреність на 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автомобіль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BMW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Х6 2010 року випуску. Крім того, протягом 2015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2017 років сестра судді здійснила декілька поїздок за кордон на авто та здійснювала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авіаперельоти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, зокрема, до міста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та двічі до міста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Водночас, згідно з даними досьє, у сестри судді взагалі відсутній дохід у 2012- 2017 роках, окрім 147 500 грн у 2013 році, які вона отримала від продажу рухомого майна. З огляду на викладене, у стороннього спостерігача виникають обґрунтовані сумніви щодо достатності коштів у сестри на набуття майна та здійснення поїздок за кордон.</w:t>
      </w:r>
    </w:p>
    <w:p w:rsidR="002B04E3" w:rsidRPr="002B04E3" w:rsidRDefault="002B04E3" w:rsidP="002B04E3">
      <w:pPr>
        <w:widowControl w:val="0"/>
        <w:tabs>
          <w:tab w:val="left" w:pos="7940"/>
        </w:tabs>
        <w:spacing w:after="0" w:line="350" w:lineRule="exact"/>
        <w:ind w:left="20" w:right="20" w:firstLine="74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Стосовно достатності коштів сестри судді на набуття майна та здійснення нею поїздок за кордон, суддя пояснила, що її сестра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Хван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Яна Вікторівна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з 1995 року разом зі своєю сім’єю проживає у місті Одеса і не є членом її сім’ї в розумінні статті 1 Закону України «Про запобігання корупції», оскільки разом з нею не проживає, не пов’язана спільним побутом, не має взаємних прав та обов’язків, а тому вона не зобов’язана повідомляти її про свої доходи та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витрати, а вона своєю чергою не має можливості впливати на її життя або контролювати її дії. Стосовно </w:t>
      </w:r>
      <w:proofErr w:type="spellStart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авіаперельотів</w:t>
      </w:r>
      <w:proofErr w:type="spellEnd"/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B04E3" w:rsidRPr="002B04E3" w:rsidRDefault="00906AB1" w:rsidP="002B04E3">
      <w:pPr>
        <w:widowControl w:val="0"/>
        <w:spacing w:after="300" w:line="350" w:lineRule="exact"/>
        <w:ind w:left="20" w:firstLine="7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="002B04E3"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пояснила, що, зі слів її сестри, </w:t>
      </w:r>
      <w:bookmarkStart w:id="0" w:name="_GoBack"/>
      <w:r w:rsidR="002B04E3" w:rsidRPr="002B04E3">
        <w:rPr>
          <w:rFonts w:ascii="Times New Roman" w:eastAsia="Times New Roman" w:hAnsi="Times New Roman"/>
          <w:color w:val="000000"/>
          <w:sz w:val="28"/>
          <w:szCs w:val="28"/>
        </w:rPr>
        <w:t>ц</w:t>
      </w:r>
      <w:bookmarkEnd w:id="0"/>
      <w:r w:rsidR="002B04E3" w:rsidRPr="002B04E3">
        <w:rPr>
          <w:rFonts w:ascii="Times New Roman" w:eastAsia="Times New Roman" w:hAnsi="Times New Roman"/>
          <w:color w:val="000000"/>
          <w:sz w:val="28"/>
          <w:szCs w:val="28"/>
        </w:rPr>
        <w:t>і поїздки були обумовлені необхідністю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4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Наступною підставою для висновку ГРД стало те, що суддя розглянула низку справ за наявності очевидного конфлікту інтересів, зокрема, у справах 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№№ 922/2119/13, 922/1798/14, 922/2197/14, 922/2096/16, 922/1833/16, 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922/444/15, 922/2666/13.</w:t>
      </w:r>
    </w:p>
    <w:p w:rsidR="00F852D6" w:rsidRDefault="002B04E3" w:rsidP="002B04E3">
      <w:pPr>
        <w:widowControl w:val="0"/>
        <w:spacing w:after="0" w:line="350" w:lineRule="exact"/>
        <w:ind w:left="20" w:right="20" w:firstLine="7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Стосовно цієї обставини суддя пояснила, що оскільки про наявність цивільно-правових відносин (на підставі цивільно-правових угод та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довіреності) між її чоловіком (його матір’ю) та фізичними й юридичними особами, які були учасниками судових процесів, що перебували в її 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провадженні, їй стало відомо лише після ознайомлення з суддівським досьє, </w:t>
      </w:r>
      <w:r w:rsidR="00906AB1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вона звернулася до Ради суддів України про надання роз’яснень щодо наявності чи відсутності у її діях конфлікту інтересів. Листом від 03 вересня 2019 року № 9рс-816/19-вих. Рада суддів України надала відповідь про те, що у її діях відсутній конфлікт інтересів, оскільки сам по собі факт участі осіб у справах, </w:t>
      </w:r>
      <w:r w:rsidR="00F852D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</w:p>
    <w:p w:rsidR="00F852D6" w:rsidRPr="00F852D6" w:rsidRDefault="00F852D6" w:rsidP="00F852D6">
      <w:pPr>
        <w:widowControl w:val="0"/>
        <w:spacing w:after="0" w:line="350" w:lineRule="exact"/>
        <w:ind w:left="20" w:right="2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F852D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6</w:t>
      </w:r>
    </w:p>
    <w:p w:rsidR="002B04E3" w:rsidRPr="002B04E3" w:rsidRDefault="002B04E3" w:rsidP="00F852D6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які перебувають у правовідносинах із членами сім’ї судді через професійну діяльність останніх, не може свідчити про існування приватного інтересу у </w:t>
      </w:r>
      <w:r w:rsidR="00F852D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судді, а відтак і конфлікту інтересів.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Ще однією підставою для висновку ГРД стало те, що в пункті 5</w:t>
      </w:r>
      <w:r w:rsidR="00F852D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декларації доброчесності судді за 2016 рік суддя вказала, що нею зазначено достовірні відомості у декларації особи, уповноваженої на виконання функцій держави або місцевого самоврядування. Крім того, у пунктах 2 та 3 декларації доброчесності суддя вказала, що нею та членами її сім’ї не здійснювалися витрати, що перевищують їх доходи, а у пункті 8 підтвердила, що випадків наявності конфлікту інтересів у її діяльності не було. Водночас обставини, викладені у висновку свідчать про інше.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Стосовно цієї обставини суддя зазначила, що з огляду на викладене в поясненнях відомості, що були зазначені у деклараціях, є достовірними, </w:t>
      </w:r>
      <w:r w:rsidR="00F852D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витрати її сім’ї не перевищують доходи, а випадків конфлікту інтересів у її діяльності не існувало, оскільки був відсутній приватний інтерес, який міг би вплинути на об’єктивність чи неупередженість прийнятих нею рішень.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Дослідивши відомості, викладені у висновку Громадської ради доброчесності та надані суддею пояснення, Комісія не вбачає підстав для оцінювання судді за критеріями професійної етики та доброчесності у 0 балів.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Урахувавши викладене, заслухавши доповідача, дослідивши досьє судді Макаренко О.В., надані нею пояснення та результати співбесіди, під час якої вивчено питання про її відповідність критеріям кваліфікаційного оцінювання, Комісія дійшла таких висновків.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суддя набрала 406,5 бала.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Водночас за критерієм професійної компетентності Макаренко О.В.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855B8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глави 2 розділу II Положення. За критеріями особистої та соціальної компетентності Макаренко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За критерієм професійної етики, оціненим за показниками, визначеними пунктом 8 глави 2 розділу II Положення, суддя набрала 200 балів. За цим критерієм суддю Макаренко О.В. оцінено на підставі результатів тестування особистих морально-психологічних якостей і загальних здібностей,</w:t>
      </w:r>
      <w:r w:rsidR="00855B8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дослідження інформації, яка міститься в досьє, та співбесіди.</w:t>
      </w:r>
    </w:p>
    <w:p w:rsidR="002B04E3" w:rsidRPr="002B04E3" w:rsidRDefault="002B04E3" w:rsidP="002B04E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За критерієм доброчесності, оціненим за показниками, визначеними пунктом 9 глави 2 розділу II Положення, суддя набрала 170 балів. За цим критерієм</w:t>
      </w:r>
      <w:r w:rsidR="00855B80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суддю </w:t>
      </w:r>
      <w:r w:rsidR="00855B80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Макаренко </w:t>
      </w:r>
      <w:r w:rsidR="00855B8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О.В.</w:t>
      </w:r>
      <w:r w:rsidR="00855B80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оцінено</w:t>
      </w:r>
      <w:r w:rsidR="00855B80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на підставі результатів тестування </w:t>
      </w:r>
    </w:p>
    <w:p w:rsidR="002B04E3" w:rsidRPr="002B04E3" w:rsidRDefault="002B04E3" w:rsidP="002B04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  <w:sectPr w:rsidR="002B04E3" w:rsidRPr="002B04E3" w:rsidSect="00906AB1">
          <w:pgSz w:w="11909" w:h="16838"/>
          <w:pgMar w:top="993" w:right="996" w:bottom="568" w:left="1020" w:header="0" w:footer="3" w:gutter="0"/>
          <w:cols w:space="720"/>
        </w:sectPr>
      </w:pPr>
    </w:p>
    <w:p w:rsidR="00EE5609" w:rsidRPr="00647B7D" w:rsidRDefault="00EE5609" w:rsidP="00EE5609">
      <w:pPr>
        <w:widowControl w:val="0"/>
        <w:spacing w:after="0" w:line="350" w:lineRule="exact"/>
        <w:ind w:left="20" w:right="2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47B7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7</w:t>
      </w:r>
    </w:p>
    <w:p w:rsidR="002B04E3" w:rsidRPr="002B04E3" w:rsidRDefault="002B04E3" w:rsidP="00B6185C">
      <w:pPr>
        <w:widowControl w:val="0"/>
        <w:spacing w:after="0" w:line="35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2B04E3" w:rsidRPr="002B04E3" w:rsidRDefault="002B04E3" w:rsidP="002B04E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господарського </w:t>
      </w:r>
      <w:r w:rsidR="00B6185C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суду Харківської Макаренко О.В. набрала 776,5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B04E3" w:rsidRPr="002B04E3" w:rsidRDefault="002B04E3" w:rsidP="002B04E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Таким чином, Комісія дійшла висновку, що суддя господарського суду Харківської області Макаренко О.В. відповідає займаній посаді.</w:t>
      </w:r>
    </w:p>
    <w:p w:rsidR="002B04E3" w:rsidRPr="002B04E3" w:rsidRDefault="002B04E3" w:rsidP="002B04E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Водночас колегією Комісії згідно з вимогами підпункту 4.10.5 пункту 4.10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господарського суду Харківської області Макаренко О.В. відповідно до абзацу другого частини першої статті 88 </w:t>
      </w:r>
      <w:r w:rsidR="00B6185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Закону.</w:t>
      </w:r>
    </w:p>
    <w:p w:rsidR="002B04E3" w:rsidRPr="002B04E3" w:rsidRDefault="002B04E3" w:rsidP="002B04E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Враховуючи викладене, керуючись статтями 83-88, 93, 101, пунктом 20 розділу XII «Прикінцеві та перехідні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положения»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Закону, Регламентом та </w:t>
      </w:r>
      <w:r w:rsidRPr="002B04E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Положениям,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колегії Комісії</w:t>
      </w:r>
    </w:p>
    <w:p w:rsidR="002B04E3" w:rsidRPr="002B04E3" w:rsidRDefault="002B04E3" w:rsidP="002B04E3">
      <w:pPr>
        <w:widowControl w:val="0"/>
        <w:spacing w:after="304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2B04E3" w:rsidRPr="002B04E3" w:rsidRDefault="002B04E3" w:rsidP="00B6185C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визначити, що суддя господарського суду Харківської області Макаренко Оксана Вікторівна за результатами кваліфікаційного оцінювання суддів місцевих та апеляційних судів на відповідність займаній посаді набрала</w:t>
      </w:r>
      <w:r w:rsidR="00B6185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776,5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бала.</w:t>
      </w:r>
    </w:p>
    <w:p w:rsidR="002B04E3" w:rsidRPr="002B04E3" w:rsidRDefault="002B04E3" w:rsidP="002B04E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Визнати суддю господарського суду Харківської області Макаренко Оксану Вікторівну такою, що відповідає займаній посаді.</w:t>
      </w:r>
    </w:p>
    <w:p w:rsidR="002B04E3" w:rsidRPr="002B04E3" w:rsidRDefault="002B04E3" w:rsidP="00B6185C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Рішення набирає чинності відповідно до абзацу третього підпункту</w:t>
      </w:r>
      <w:r w:rsidR="00B6185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4.10.5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>пункту 4.10 розділу IV Регламенту Вищої кваліфікаційної комісії</w:t>
      </w:r>
      <w:r w:rsidR="00B6185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2B04E3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суддів України.</w:t>
      </w:r>
    </w:p>
    <w:p w:rsidR="00EA6FB9" w:rsidRPr="002B04E3" w:rsidRDefault="00EA6FB9" w:rsidP="002B04E3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B04E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</w:t>
      </w:r>
      <w:r w:rsidR="00365619"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  <w:r w:rsidR="00F12B3B"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2B04E3"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2B04E3" w:rsidRPr="002B04E3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6185C" w:rsidRPr="002B04E3" w:rsidRDefault="00B6185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7ED7" w:rsidRPr="002B04E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</w:t>
      </w:r>
      <w:r w:rsidR="00F12B3B"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B04E3" w:rsidRPr="002B04E3">
        <w:rPr>
          <w:rFonts w:ascii="Times New Roman" w:eastAsia="Times New Roman" w:hAnsi="Times New Roman"/>
          <w:sz w:val="28"/>
          <w:szCs w:val="28"/>
          <w:lang w:eastAsia="uk-UA"/>
        </w:rPr>
        <w:t>С.Л. Остапець</w:t>
      </w:r>
    </w:p>
    <w:p w:rsidR="00B6185C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 w:rsidR="00F449F2"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EA5BCD"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</w:t>
      </w:r>
    </w:p>
    <w:p w:rsidR="00EA5BCD" w:rsidRPr="002B04E3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</w:p>
    <w:p w:rsidR="00183091" w:rsidRPr="002B04E3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 w:rsid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2B04E3"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B04E3" w:rsidRPr="002B04E3">
        <w:rPr>
          <w:rFonts w:ascii="Times New Roman" w:eastAsia="Times New Roman" w:hAnsi="Times New Roman"/>
          <w:sz w:val="28"/>
          <w:szCs w:val="28"/>
          <w:lang w:eastAsia="uk-UA"/>
        </w:rPr>
        <w:t xml:space="preserve">А.А. </w:t>
      </w:r>
      <w:proofErr w:type="spellStart"/>
      <w:r w:rsidR="002B04E3" w:rsidRPr="002B04E3">
        <w:rPr>
          <w:rFonts w:ascii="Times New Roman" w:eastAsia="Times New Roman" w:hAnsi="Times New Roman"/>
          <w:sz w:val="28"/>
          <w:szCs w:val="28"/>
          <w:lang w:eastAsia="uk-UA"/>
        </w:rPr>
        <w:t>Солодков</w:t>
      </w:r>
      <w:proofErr w:type="spellEnd"/>
    </w:p>
    <w:sectPr w:rsidR="00183091" w:rsidRPr="002B04E3" w:rsidSect="00C424BE">
      <w:headerReference w:type="default" r:id="rId10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748" w:rsidRDefault="00864748" w:rsidP="002F156E">
      <w:pPr>
        <w:spacing w:after="0" w:line="240" w:lineRule="auto"/>
      </w:pPr>
      <w:r>
        <w:separator/>
      </w:r>
    </w:p>
  </w:endnote>
  <w:endnote w:type="continuationSeparator" w:id="0">
    <w:p w:rsidR="00864748" w:rsidRDefault="0086474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748" w:rsidRDefault="00864748" w:rsidP="002F156E">
      <w:pPr>
        <w:spacing w:after="0" w:line="240" w:lineRule="auto"/>
      </w:pPr>
      <w:r>
        <w:separator/>
      </w:r>
    </w:p>
  </w:footnote>
  <w:footnote w:type="continuationSeparator" w:id="0">
    <w:p w:rsidR="00864748" w:rsidRDefault="0086474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59" w:rsidRDefault="004658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FB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06A553D"/>
    <w:multiLevelType w:val="multilevel"/>
    <w:tmpl w:val="78C4869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1E60A3"/>
    <w:multiLevelType w:val="multilevel"/>
    <w:tmpl w:val="4746C00A"/>
    <w:lvl w:ilvl="0">
      <w:start w:val="5"/>
      <w:numFmt w:val="decimal"/>
      <w:lvlText w:val="4.10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AB2A43"/>
    <w:multiLevelType w:val="multilevel"/>
    <w:tmpl w:val="206A0286"/>
    <w:lvl w:ilvl="0">
      <w:start w:val="5"/>
      <w:numFmt w:val="decimal"/>
      <w:lvlText w:val="776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2432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54412"/>
    <w:rsid w:val="00260A65"/>
    <w:rsid w:val="002676E0"/>
    <w:rsid w:val="00275577"/>
    <w:rsid w:val="002829C0"/>
    <w:rsid w:val="0028686B"/>
    <w:rsid w:val="002B04E3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569C6"/>
    <w:rsid w:val="00465859"/>
    <w:rsid w:val="004679ED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63676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47B7D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46D8"/>
    <w:rsid w:val="00741A9F"/>
    <w:rsid w:val="00751F05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55B80"/>
    <w:rsid w:val="00864748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06AB1"/>
    <w:rsid w:val="00923901"/>
    <w:rsid w:val="009317BB"/>
    <w:rsid w:val="00934B11"/>
    <w:rsid w:val="009362A7"/>
    <w:rsid w:val="00944299"/>
    <w:rsid w:val="0095115B"/>
    <w:rsid w:val="0096235B"/>
    <w:rsid w:val="00982A36"/>
    <w:rsid w:val="0098379F"/>
    <w:rsid w:val="0099184B"/>
    <w:rsid w:val="009A42C2"/>
    <w:rsid w:val="009B3CA3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1EAF"/>
    <w:rsid w:val="00AA3E5B"/>
    <w:rsid w:val="00AA7ED7"/>
    <w:rsid w:val="00AC3F70"/>
    <w:rsid w:val="00B13CAE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6185C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7530B"/>
    <w:rsid w:val="00D82979"/>
    <w:rsid w:val="00DA2836"/>
    <w:rsid w:val="00DC4317"/>
    <w:rsid w:val="00DE1F15"/>
    <w:rsid w:val="00DF65C4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EE5609"/>
    <w:rsid w:val="00F12B3B"/>
    <w:rsid w:val="00F16892"/>
    <w:rsid w:val="00F275C6"/>
    <w:rsid w:val="00F4150D"/>
    <w:rsid w:val="00F449F2"/>
    <w:rsid w:val="00F64410"/>
    <w:rsid w:val="00F72C3B"/>
    <w:rsid w:val="00F7611D"/>
    <w:rsid w:val="00F852D6"/>
    <w:rsid w:val="00F85EBF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4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7B7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4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7B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294</cp:revision>
  <dcterms:created xsi:type="dcterms:W3CDTF">2020-08-21T08:05:00Z</dcterms:created>
  <dcterms:modified xsi:type="dcterms:W3CDTF">2020-10-23T11:08:00Z</dcterms:modified>
</cp:coreProperties>
</file>