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877C9C" w:rsidRDefault="00FA2CB7" w:rsidP="00BC606A">
      <w:pPr>
        <w:spacing w:after="0" w:line="240" w:lineRule="auto"/>
        <w:ind w:right="141" w:firstLine="567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51E1" w:rsidRPr="00877C9C" w:rsidRDefault="008C51E1" w:rsidP="00BC606A">
      <w:pPr>
        <w:spacing w:after="0" w:line="240" w:lineRule="auto"/>
        <w:ind w:right="141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51E1" w:rsidRPr="00877C9C" w:rsidRDefault="008C51E1" w:rsidP="00BC606A">
      <w:pPr>
        <w:spacing w:after="0" w:line="240" w:lineRule="auto"/>
        <w:ind w:right="141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Pr="00877C9C" w:rsidRDefault="000B4D5B" w:rsidP="00BC606A">
      <w:pPr>
        <w:spacing w:after="0" w:line="240" w:lineRule="auto"/>
        <w:ind w:right="141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7C9C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18E9E07C" wp14:editId="5F55A24D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877C9C" w:rsidRDefault="000B4D5B" w:rsidP="00BC606A">
      <w:pPr>
        <w:spacing w:after="0" w:line="240" w:lineRule="auto"/>
        <w:ind w:right="141" w:firstLine="567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Default="00BC606A" w:rsidP="00BC606A">
      <w:pPr>
        <w:spacing w:after="0" w:line="240" w:lineRule="auto"/>
        <w:ind w:right="141" w:firstLine="284"/>
        <w:rPr>
          <w:rFonts w:ascii="Times New Roman" w:eastAsia="Times New Roman" w:hAnsi="Times New Roman"/>
          <w:bCs/>
          <w:sz w:val="34"/>
          <w:szCs w:val="34"/>
        </w:rPr>
      </w:pPr>
      <w:r>
        <w:rPr>
          <w:rFonts w:ascii="Times New Roman" w:eastAsia="Times New Roman" w:hAnsi="Times New Roman"/>
          <w:bCs/>
          <w:sz w:val="34"/>
          <w:szCs w:val="34"/>
        </w:rPr>
        <w:t xml:space="preserve"> </w:t>
      </w:r>
      <w:r w:rsidR="000B4D5B" w:rsidRPr="00877C9C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A61349" w:rsidRPr="00877C9C" w:rsidRDefault="00A61349" w:rsidP="00BC606A">
      <w:pPr>
        <w:spacing w:after="0" w:line="240" w:lineRule="auto"/>
        <w:ind w:right="141" w:firstLine="567"/>
        <w:rPr>
          <w:rFonts w:ascii="Times New Roman" w:eastAsia="Times New Roman" w:hAnsi="Times New Roman"/>
          <w:bCs/>
          <w:sz w:val="34"/>
          <w:szCs w:val="34"/>
        </w:rPr>
      </w:pPr>
    </w:p>
    <w:p w:rsidR="00521C17" w:rsidRPr="00A54082" w:rsidRDefault="00521C17" w:rsidP="00BC606A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A54082">
        <w:rPr>
          <w:rFonts w:ascii="Times New Roman" w:eastAsia="Times New Roman" w:hAnsi="Times New Roman"/>
          <w:sz w:val="23"/>
          <w:szCs w:val="23"/>
          <w:lang w:eastAsia="ru-RU"/>
        </w:rPr>
        <w:t>12 червня 2019 року</w:t>
      </w:r>
      <w:r w:rsidRPr="00A54082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Pr="00A54082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Pr="00A54082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Pr="00A54082">
        <w:rPr>
          <w:rFonts w:ascii="Times New Roman" w:eastAsia="Times New Roman" w:hAnsi="Times New Roman"/>
          <w:sz w:val="23"/>
          <w:szCs w:val="23"/>
          <w:lang w:eastAsia="ru-RU"/>
        </w:rPr>
        <w:tab/>
      </w:r>
      <w:r w:rsidRPr="00A54082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</w:t>
      </w:r>
      <w:r w:rsidRPr="00A54082">
        <w:rPr>
          <w:rFonts w:ascii="Times New Roman" w:eastAsia="Times New Roman" w:hAnsi="Times New Roman"/>
          <w:sz w:val="23"/>
          <w:szCs w:val="23"/>
          <w:lang w:eastAsia="ru-RU"/>
        </w:rPr>
        <w:tab/>
        <w:t xml:space="preserve">                           </w:t>
      </w:r>
      <w:r w:rsidR="00A54082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</w:t>
      </w:r>
      <w:bookmarkStart w:id="0" w:name="_GoBack"/>
      <w:bookmarkEnd w:id="0"/>
      <w:r w:rsidR="00FC1917" w:rsidRPr="00A54082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A54082">
        <w:rPr>
          <w:rFonts w:ascii="Times New Roman" w:eastAsia="Times New Roman" w:hAnsi="Times New Roman"/>
          <w:sz w:val="23"/>
          <w:szCs w:val="23"/>
          <w:lang w:eastAsia="ru-RU"/>
        </w:rPr>
        <w:t>м. Київ</w:t>
      </w:r>
    </w:p>
    <w:p w:rsidR="00521C17" w:rsidRPr="00A54082" w:rsidRDefault="00521C17" w:rsidP="00BC606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521C17" w:rsidRPr="00A54082" w:rsidRDefault="00521C17" w:rsidP="00BC606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</w:pPr>
      <w:r w:rsidRPr="00A5408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Р І Ш Е Н </w:t>
      </w:r>
      <w:proofErr w:type="spellStart"/>
      <w:r w:rsidRPr="00A54082">
        <w:rPr>
          <w:rFonts w:ascii="Times New Roman" w:eastAsia="Times New Roman" w:hAnsi="Times New Roman"/>
          <w:bCs/>
          <w:sz w:val="23"/>
          <w:szCs w:val="23"/>
          <w:lang w:eastAsia="ru-RU"/>
        </w:rPr>
        <w:t>Н</w:t>
      </w:r>
      <w:proofErr w:type="spellEnd"/>
      <w:r w:rsidRPr="00A54082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Я № </w:t>
      </w:r>
      <w:r w:rsidRPr="00A54082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46</w:t>
      </w:r>
      <w:r w:rsidR="00DB55CF" w:rsidRPr="00A54082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3</w:t>
      </w:r>
      <w:r w:rsidRPr="00A54082">
        <w:rPr>
          <w:rFonts w:ascii="Times New Roman" w:eastAsia="Times New Roman" w:hAnsi="Times New Roman"/>
          <w:bCs/>
          <w:sz w:val="23"/>
          <w:szCs w:val="23"/>
          <w:u w:val="single"/>
          <w:lang w:eastAsia="ru-RU"/>
        </w:rPr>
        <w:t>/ко-19</w:t>
      </w:r>
    </w:p>
    <w:p w:rsidR="00804E96" w:rsidRPr="00A54082" w:rsidRDefault="00804E96" w:rsidP="00804E96">
      <w:pPr>
        <w:pStyle w:val="ab"/>
        <w:rPr>
          <w:sz w:val="23"/>
          <w:szCs w:val="23"/>
        </w:rPr>
      </w:pPr>
    </w:p>
    <w:p w:rsidR="00521C17" w:rsidRPr="00521C17" w:rsidRDefault="00521C17" w:rsidP="00804E96">
      <w:pPr>
        <w:widowControl w:val="0"/>
        <w:spacing w:after="0" w:line="360" w:lineRule="auto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21C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Вища кваліфікаційна комісія суддів України у пленарному складі: </w:t>
      </w:r>
    </w:p>
    <w:p w:rsidR="00DB55CF" w:rsidRPr="00DB55CF" w:rsidRDefault="00DB55CF" w:rsidP="00804E96">
      <w:pPr>
        <w:widowControl w:val="0"/>
        <w:spacing w:after="0" w:line="360" w:lineRule="auto"/>
        <w:ind w:left="20" w:right="2860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головуючого - Устименко В.Є.,</w:t>
      </w:r>
    </w:p>
    <w:p w:rsidR="00DB55CF" w:rsidRPr="00DB55CF" w:rsidRDefault="00DB55CF" w:rsidP="00DB55CF">
      <w:pPr>
        <w:widowControl w:val="0"/>
        <w:spacing w:after="124" w:line="278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членів Комісії: </w:t>
      </w:r>
      <w:proofErr w:type="spellStart"/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Бутенка</w:t>
      </w:r>
      <w:proofErr w:type="spellEnd"/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В.І., Гладія С.В., </w:t>
      </w:r>
      <w:proofErr w:type="spellStart"/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Заріцької</w:t>
      </w:r>
      <w:proofErr w:type="spellEnd"/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А.О., Лукаша Т.В., </w:t>
      </w:r>
      <w:proofErr w:type="spellStart"/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Луцюка</w:t>
      </w:r>
      <w:proofErr w:type="spellEnd"/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П.С.,</w:t>
      </w:r>
      <w:r w:rsidR="00804E9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proofErr w:type="spellStart"/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Макарчука</w:t>
      </w:r>
      <w:proofErr w:type="spellEnd"/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М.А., </w:t>
      </w:r>
      <w:proofErr w:type="spellStart"/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Мішина</w:t>
      </w:r>
      <w:proofErr w:type="spellEnd"/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М.І., </w:t>
      </w:r>
      <w:proofErr w:type="spellStart"/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Прилипка</w:t>
      </w:r>
      <w:proofErr w:type="spellEnd"/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С.М., </w:t>
      </w:r>
      <w:proofErr w:type="spellStart"/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Тітова</w:t>
      </w:r>
      <w:proofErr w:type="spellEnd"/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Ю.Г., Шилової Т.С.,</w:t>
      </w:r>
    </w:p>
    <w:p w:rsidR="00DB55CF" w:rsidRPr="00DB55CF" w:rsidRDefault="00DB55CF" w:rsidP="00DB55CF">
      <w:pPr>
        <w:widowControl w:val="0"/>
        <w:spacing w:after="155" w:line="274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розглянувши питання про підтримку рішення Комісії у складі колегії від 22 травня 2019 року </w:t>
      </w:r>
      <w:r w:rsidR="00804E9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№ 272/ко-19, ухваленого в межах процедури кваліфікаційного оцінювання судді Донецького окружного адміністративного суду Тарасенка Ігоря Миколайовича на відповідність займаній посаді, відповідно до абзацу третього підпункту 4.10.8 пункту 4.10 розділу IV Регламенту </w:t>
      </w:r>
      <w:r w:rsidR="00804E9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Вищої кваліфікаційної комісії суддів України,</w:t>
      </w:r>
    </w:p>
    <w:p w:rsidR="00DB55CF" w:rsidRPr="00DB55CF" w:rsidRDefault="00DB55CF" w:rsidP="00DB55CF">
      <w:pPr>
        <w:widowControl w:val="0"/>
        <w:spacing w:after="208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встановила:</w:t>
      </w:r>
    </w:p>
    <w:p w:rsidR="00DB55CF" w:rsidRPr="00DB55CF" w:rsidRDefault="00DB55CF" w:rsidP="00DB55CF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Рішенням Вищої кваліфікаційної комісії суддів України від 26 квітня 2018 року </w:t>
      </w:r>
      <w:r w:rsidR="00804E9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№ 99/зп-18 призначено кваліфікаційне оцінювання суддів місцевих та апеляційних судів на відповідність займаній посаді, зокрема судді Донецького окружного адміністративного суду Тарасенка І.М.</w:t>
      </w:r>
    </w:p>
    <w:p w:rsidR="00DB55CF" w:rsidRPr="00DB55CF" w:rsidRDefault="00DB55CF" w:rsidP="00DB55CF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статті 87 Закону України «Про судоустрій і статус суддів» (далі - </w:t>
      </w:r>
      <w:r w:rsidR="00804E9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Закон), з метою сприяння Комісії у встановленні відповідності судді (кандидата на посаду </w:t>
      </w:r>
      <w:r w:rsidR="00804E9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</w:t>
      </w:r>
      <w:r w:rsidR="00804E9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судді (кандидата на посаду судді), а за наявності відповідних підстав - висновок про невідповідність суд</w:t>
      </w:r>
      <w:r w:rsidR="00804E9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і (кандидата на посаду судді) критеріям професійної етики та </w:t>
      </w:r>
      <w:r w:rsidR="00804E9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доброчесності.</w:t>
      </w:r>
    </w:p>
    <w:p w:rsidR="00DB55CF" w:rsidRPr="00DB55CF" w:rsidRDefault="00DB55CF" w:rsidP="00DB55CF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Підпунктом 4.10.5. пункту 4.10 розділу IV Регламенту Вищої кваліфікаційної комісії суддів України, затвердженого її рішенням від 13 жовтня 2016 року №81/зп-16 </w:t>
      </w:r>
      <w:r w:rsidR="00804E9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(з наступними змінами) (далі - Регламент), передбачено, що висновок або інформація розглядаються Комісією під час співбесіди на відповідному засіданні в порядку, </w:t>
      </w:r>
      <w:r w:rsidR="00804E9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визначеному цим Регламентом.</w:t>
      </w:r>
    </w:p>
    <w:p w:rsidR="00DB55CF" w:rsidRPr="00DB55CF" w:rsidRDefault="00DB55CF" w:rsidP="00DB55CF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До Комісії 22 травня 2019 року від Громадської ради доброчесності надійшов затверджений 21 травня 2019 року висновок про невідповідність судді Донецького </w:t>
      </w:r>
      <w:r w:rsidR="00804E9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окружного адміністративного суду Тарасенка І.М. критеріям доброчесності та професійної етики.</w:t>
      </w:r>
    </w:p>
    <w:p w:rsidR="00DB55CF" w:rsidRPr="00DB55CF" w:rsidRDefault="00DB55CF" w:rsidP="00DB55CF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Комісією у складі колегії 22 травня 2019 року проведено співбесіду з Тарасенком І.М., під час якої обговорено дані стосовно його відповідності критеріям професійної етики та доброчесності, зокрема обставини, викладені у висновку Громадської ради доброчесності.</w:t>
      </w:r>
    </w:p>
    <w:p w:rsidR="00DB55CF" w:rsidRPr="00DB55CF" w:rsidRDefault="00DB55CF" w:rsidP="00DB55CF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Стосовно доводів вказаного висновку суддею були надані усні та письмові пояснення, які, на думку колегії Комісії, в сукупності свідчать про необґрунтованість відомостей про невідповідність судді Тарасенка І.М. критеріям доброчесності та професійної етики.</w:t>
      </w:r>
    </w:p>
    <w:p w:rsidR="00DB55CF" w:rsidRDefault="00DB55CF" w:rsidP="00AE0E9E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Зазначені обставини відображено в рішенні Комісії у складі колегії від 22 травня </w:t>
      </w:r>
      <w:r w:rsidR="00804E96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2019 року № 272/ко-19, згідно з яким суддя Донецького окружного адміністративного суду Тарасенко І.М. за результатами</w:t>
      </w:r>
      <w:r w:rsidR="00F31DA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кваліфікаційного</w:t>
      </w:r>
      <w:r w:rsidR="00F31DA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оцінювання </w:t>
      </w:r>
      <w:r w:rsidR="00F31DA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суддів </w:t>
      </w:r>
      <w:r w:rsidR="00F31DA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місцевих </w:t>
      </w:r>
      <w:r w:rsidR="00F31DA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та</w:t>
      </w:r>
      <w:r w:rsidR="00F31DA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апеляційних</w:t>
      </w:r>
    </w:p>
    <w:p w:rsidR="00AE0E9E" w:rsidRPr="00AE0E9E" w:rsidRDefault="00AE0E9E" w:rsidP="00AE0E9E">
      <w:pPr>
        <w:widowControl w:val="0"/>
        <w:spacing w:after="0" w:line="274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p w:rsidR="00DB55CF" w:rsidRPr="00DB55CF" w:rsidRDefault="00DB55CF" w:rsidP="00AE0E9E">
      <w:pPr>
        <w:widowControl w:val="0"/>
        <w:spacing w:after="0" w:line="274" w:lineRule="exact"/>
        <w:ind w:left="20" w:right="20" w:hanging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lastRenderedPageBreak/>
        <w:t xml:space="preserve">судів на відповідність займаній посаді набрав 702,75 бала та його визнано таким, що 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відповідає займаній посаді.</w:t>
      </w:r>
    </w:p>
    <w:p w:rsidR="00DB55CF" w:rsidRPr="00DB55CF" w:rsidRDefault="00DB55CF" w:rsidP="00DB55CF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Відповідно до підпункту 4.10.8 пункту 4.10 розділу IV Регламенту у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винесення на розгляд Комісії у пленарному складі питання щодо підтримки зазначеного 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рішення відповідно до вимог абзацу другого частини першої статті 88 Закону.</w:t>
      </w:r>
    </w:p>
    <w:p w:rsidR="00DB55CF" w:rsidRPr="00DB55CF" w:rsidRDefault="00DB55CF" w:rsidP="00DB55CF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Рішення про підтвердження здатності судді здійснювати правосуддя у відповідному 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суді набирає чинності з дня ухвалення цього рішення у разі, якщо воно буде підтримане не менше ніж одинадцятьма членами Комісії згідно з абзацом другим частини першої 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статті 88 Закону.</w:t>
      </w:r>
    </w:p>
    <w:p w:rsidR="00DB55CF" w:rsidRPr="00DB55CF" w:rsidRDefault="00DB55CF" w:rsidP="00DB55CF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Комісія в пленарному складі, заслухавши доповідача, суддю Тарасенка І.М., 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дослідивши висновок Громадської ради доброчесності та письмові пояснення судді, а також рішення Комісії від 22 травня 2019 року № 272/ко-19 встановила, що Комісією у складі 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колегії в повному обсязі досліджено матеріали досьє судді Тарасенка І.М. та ухвалено обґрунтоване рішення за результатами його кваліфікаційного оцінювання на відповідність займаній посаді.</w:t>
      </w:r>
    </w:p>
    <w:p w:rsidR="00DB55CF" w:rsidRPr="00DB55CF" w:rsidRDefault="00DB55CF" w:rsidP="00DB55CF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Зважаючи на вказане, більш ніж одинадцятьма голосами Комісія дійшла висновку про підтримку рішення Комісії від 22 травня 2019 року № 272/ко-19, ухваленого в складі колегії, 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про підтвердження здатності судді Донецького окружного адміністративного суду 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Тарасенка І.М. здійснювати правосуддя.</w:t>
      </w:r>
    </w:p>
    <w:p w:rsidR="00DB55CF" w:rsidRPr="00DB55CF" w:rsidRDefault="00DB55CF" w:rsidP="00DB55CF">
      <w:pPr>
        <w:widowControl w:val="0"/>
        <w:spacing w:after="155" w:line="274" w:lineRule="exact"/>
        <w:ind w:left="20" w:firstLine="70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Ураховуючи 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викладене, 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керуючись 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статтями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88, 93, 101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Закону, 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Регламентом, 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Комісія</w:t>
      </w:r>
    </w:p>
    <w:p w:rsidR="00DB55CF" w:rsidRPr="00DB55CF" w:rsidRDefault="00DB55CF" w:rsidP="00DB55CF">
      <w:pPr>
        <w:widowControl w:val="0"/>
        <w:spacing w:after="153" w:line="230" w:lineRule="exact"/>
        <w:jc w:val="center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вирішила:</w:t>
      </w:r>
    </w:p>
    <w:p w:rsidR="00296F1A" w:rsidRDefault="00DB55CF" w:rsidP="00296F1A">
      <w:pPr>
        <w:widowControl w:val="0"/>
        <w:spacing w:after="0" w:line="278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підтримати рішення Комісії у складі колегії від 22 травня 2019 року № 272/ко-19 про підтвердження здатності судді Донецького окружного адміністративного суду Тарасенка </w:t>
      </w:r>
      <w:r w:rsidR="00AE0E9E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 xml:space="preserve">                   </w:t>
      </w:r>
      <w:r w:rsidRPr="00DB55CF">
        <w:rPr>
          <w:rFonts w:ascii="Times New Roman" w:eastAsia="Times New Roman" w:hAnsi="Times New Roman"/>
          <w:color w:val="000000"/>
          <w:sz w:val="23"/>
          <w:szCs w:val="23"/>
          <w:lang w:eastAsia="uk-UA"/>
        </w:rPr>
        <w:t>Ігоря Миколайовича здійснювати правосуддя.</w:t>
      </w:r>
    </w:p>
    <w:p w:rsidR="00296F1A" w:rsidRPr="00AE0E9E" w:rsidRDefault="00296F1A" w:rsidP="00296F1A">
      <w:pPr>
        <w:widowControl w:val="0"/>
        <w:spacing w:after="0" w:line="278" w:lineRule="exact"/>
        <w:ind w:left="20" w:right="20"/>
        <w:jc w:val="both"/>
        <w:rPr>
          <w:rFonts w:ascii="Times New Roman" w:eastAsia="Times New Roman" w:hAnsi="Times New Roman"/>
          <w:color w:val="000000"/>
          <w:sz w:val="23"/>
          <w:szCs w:val="23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521C17" w:rsidRPr="00DA424C" w:rsidTr="0062271C">
        <w:tc>
          <w:tcPr>
            <w:tcW w:w="3284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proofErr w:type="spellStart"/>
            <w:r w:rsidRPr="00DA424C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DA424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В.Є. Устименко</w:t>
            </w:r>
          </w:p>
        </w:tc>
      </w:tr>
      <w:tr w:rsidR="00521C17" w:rsidRPr="00DA424C" w:rsidTr="0062271C">
        <w:tc>
          <w:tcPr>
            <w:tcW w:w="3284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DA424C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Члени </w:t>
            </w:r>
            <w:proofErr w:type="spellStart"/>
            <w:r w:rsidRPr="00DA424C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Комі</w:t>
            </w:r>
            <w:proofErr w:type="gramStart"/>
            <w:r w:rsidRPr="00DA424C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с</w:t>
            </w:r>
            <w:proofErr w:type="gramEnd"/>
            <w:r w:rsidRPr="00DA424C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ії</w:t>
            </w:r>
            <w:proofErr w:type="spellEnd"/>
            <w:r w:rsidRPr="00DA424C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  <w:r w:rsidRPr="00DA424C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В.І. Бутенко</w:t>
            </w:r>
          </w:p>
          <w:p w:rsidR="00355170" w:rsidRPr="00DA424C" w:rsidRDefault="00355170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DA424C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 xml:space="preserve">С.В. </w:t>
            </w:r>
            <w:proofErr w:type="spellStart"/>
            <w:r w:rsidRPr="00DA424C"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  <w:t>Гладій</w:t>
            </w:r>
            <w:proofErr w:type="spellEnd"/>
          </w:p>
        </w:tc>
      </w:tr>
      <w:tr w:rsidR="00521C17" w:rsidRPr="00DA424C" w:rsidTr="0062271C">
        <w:tc>
          <w:tcPr>
            <w:tcW w:w="3284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DA424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А.О. </w:t>
            </w:r>
            <w:proofErr w:type="spellStart"/>
            <w:r w:rsidRPr="00DA424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Заріцька</w:t>
            </w:r>
            <w:proofErr w:type="spellEnd"/>
          </w:p>
          <w:p w:rsidR="00355170" w:rsidRPr="00DA424C" w:rsidRDefault="00355170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DA424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Т.В. Лукаш</w:t>
            </w:r>
          </w:p>
          <w:p w:rsidR="00355170" w:rsidRPr="00DA424C" w:rsidRDefault="00355170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DA424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П.С. </w:t>
            </w:r>
            <w:proofErr w:type="spellStart"/>
            <w:r w:rsidRPr="00DA424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Луцюк</w:t>
            </w:r>
            <w:proofErr w:type="spellEnd"/>
          </w:p>
          <w:p w:rsidR="00355170" w:rsidRPr="00DA424C" w:rsidRDefault="00355170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DA424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М.А. </w:t>
            </w:r>
            <w:proofErr w:type="spellStart"/>
            <w:r w:rsidRPr="00DA424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Макарчук</w:t>
            </w:r>
            <w:proofErr w:type="spellEnd"/>
          </w:p>
        </w:tc>
      </w:tr>
      <w:tr w:rsidR="00521C17" w:rsidRPr="00DA424C" w:rsidTr="0062271C">
        <w:tc>
          <w:tcPr>
            <w:tcW w:w="3284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DA424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М.І. </w:t>
            </w:r>
            <w:proofErr w:type="spellStart"/>
            <w:r w:rsidRPr="00DA424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Мішин</w:t>
            </w:r>
            <w:proofErr w:type="spellEnd"/>
          </w:p>
        </w:tc>
      </w:tr>
      <w:tr w:rsidR="00521C17" w:rsidRPr="00DA424C" w:rsidTr="0062271C">
        <w:tc>
          <w:tcPr>
            <w:tcW w:w="3284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DA424C" w:rsidRDefault="00355170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DA424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С.М. Прилипко</w:t>
            </w:r>
          </w:p>
        </w:tc>
      </w:tr>
      <w:tr w:rsidR="00521C17" w:rsidRPr="00DA424C" w:rsidTr="0062271C">
        <w:tc>
          <w:tcPr>
            <w:tcW w:w="3284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DA424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Ю.Г. </w:t>
            </w:r>
            <w:proofErr w:type="spellStart"/>
            <w:r w:rsidRPr="00DA424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Тітов</w:t>
            </w:r>
            <w:proofErr w:type="spellEnd"/>
          </w:p>
        </w:tc>
      </w:tr>
      <w:tr w:rsidR="00521C17" w:rsidRPr="00DA424C" w:rsidTr="0062271C">
        <w:tc>
          <w:tcPr>
            <w:tcW w:w="3284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DA424C" w:rsidRDefault="00521C17" w:rsidP="00196D3C">
            <w:pPr>
              <w:widowControl w:val="0"/>
              <w:suppressAutoHyphens/>
              <w:autoSpaceDE w:val="0"/>
              <w:spacing w:after="0" w:line="480" w:lineRule="auto"/>
              <w:ind w:firstLine="1026"/>
              <w:jc w:val="both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DA424C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Т.С. Шилова</w:t>
            </w:r>
          </w:p>
        </w:tc>
      </w:tr>
    </w:tbl>
    <w:p w:rsidR="00521C17" w:rsidRPr="00DA424C" w:rsidRDefault="00521C17" w:rsidP="00196D3C">
      <w:pPr>
        <w:widowControl w:val="0"/>
        <w:spacing w:after="280" w:line="480" w:lineRule="auto"/>
        <w:rPr>
          <w:rFonts w:ascii="Times New Roman" w:eastAsia="Times New Roman" w:hAnsi="Times New Roman"/>
          <w:color w:val="000000"/>
          <w:sz w:val="23"/>
          <w:szCs w:val="23"/>
        </w:rPr>
      </w:pPr>
    </w:p>
    <w:p w:rsidR="000B4D5B" w:rsidRPr="00877C9C" w:rsidRDefault="000B4D5B" w:rsidP="00BC606A">
      <w:pPr>
        <w:spacing w:after="0" w:line="240" w:lineRule="auto"/>
        <w:ind w:right="141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0B4D5B" w:rsidRPr="00877C9C" w:rsidSect="00DE1DDC">
      <w:headerReference w:type="default" r:id="rId10"/>
      <w:pgSz w:w="11906" w:h="16838"/>
      <w:pgMar w:top="284" w:right="850" w:bottom="568" w:left="1417" w:header="56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E16" w:rsidRDefault="00453E16" w:rsidP="000B4D5B">
      <w:pPr>
        <w:spacing w:after="0" w:line="240" w:lineRule="auto"/>
      </w:pPr>
      <w:r>
        <w:separator/>
      </w:r>
    </w:p>
  </w:endnote>
  <w:endnote w:type="continuationSeparator" w:id="0">
    <w:p w:rsidR="00453E16" w:rsidRDefault="00453E16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E16" w:rsidRDefault="00453E16" w:rsidP="000B4D5B">
      <w:pPr>
        <w:spacing w:after="0" w:line="240" w:lineRule="auto"/>
      </w:pPr>
      <w:r>
        <w:separator/>
      </w:r>
    </w:p>
  </w:footnote>
  <w:footnote w:type="continuationSeparator" w:id="0">
    <w:p w:rsidR="00453E16" w:rsidRDefault="00453E16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5024266"/>
      <w:docPartObj>
        <w:docPartGallery w:val="Page Numbers (Top of Page)"/>
        <w:docPartUnique/>
      </w:docPartObj>
    </w:sdtPr>
    <w:sdtEndPr/>
    <w:sdtContent>
      <w:p w:rsidR="000B4D5B" w:rsidRDefault="00DE1DDC" w:rsidP="00DE1D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24C" w:rsidRPr="00DA424C">
          <w:rPr>
            <w:noProof/>
            <w:lang w:val="ru-RU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825796"/>
    <w:multiLevelType w:val="hybridMultilevel"/>
    <w:tmpl w:val="B128EAD2"/>
    <w:lvl w:ilvl="0" w:tplc="ACBAFCF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E6AB3"/>
    <w:multiLevelType w:val="multilevel"/>
    <w:tmpl w:val="2FD0A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62624F"/>
    <w:multiLevelType w:val="multilevel"/>
    <w:tmpl w:val="7EF2A228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C674ED"/>
    <w:multiLevelType w:val="multilevel"/>
    <w:tmpl w:val="E0CC9A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23B10"/>
    <w:rsid w:val="00091FC3"/>
    <w:rsid w:val="000A2560"/>
    <w:rsid w:val="000B4D5B"/>
    <w:rsid w:val="000C1512"/>
    <w:rsid w:val="000D4FE9"/>
    <w:rsid w:val="00122A59"/>
    <w:rsid w:val="00165FD4"/>
    <w:rsid w:val="001769F2"/>
    <w:rsid w:val="00185FCB"/>
    <w:rsid w:val="00194CFC"/>
    <w:rsid w:val="00196D3C"/>
    <w:rsid w:val="001B7CE9"/>
    <w:rsid w:val="001C650D"/>
    <w:rsid w:val="00282843"/>
    <w:rsid w:val="00296F1A"/>
    <w:rsid w:val="002B50C1"/>
    <w:rsid w:val="002E04DA"/>
    <w:rsid w:val="002E6100"/>
    <w:rsid w:val="00323D78"/>
    <w:rsid w:val="003510B7"/>
    <w:rsid w:val="00355170"/>
    <w:rsid w:val="003853E6"/>
    <w:rsid w:val="003D42D4"/>
    <w:rsid w:val="003D614F"/>
    <w:rsid w:val="003E0960"/>
    <w:rsid w:val="004124BE"/>
    <w:rsid w:val="00453E16"/>
    <w:rsid w:val="004C31B9"/>
    <w:rsid w:val="00521C17"/>
    <w:rsid w:val="0054206B"/>
    <w:rsid w:val="00647890"/>
    <w:rsid w:val="00670638"/>
    <w:rsid w:val="0068100D"/>
    <w:rsid w:val="00684BCE"/>
    <w:rsid w:val="00693DD6"/>
    <w:rsid w:val="0069795A"/>
    <w:rsid w:val="00753152"/>
    <w:rsid w:val="00780AB3"/>
    <w:rsid w:val="007B14E8"/>
    <w:rsid w:val="007B609C"/>
    <w:rsid w:val="007C3279"/>
    <w:rsid w:val="00804E96"/>
    <w:rsid w:val="00810409"/>
    <w:rsid w:val="0083367A"/>
    <w:rsid w:val="00842E0B"/>
    <w:rsid w:val="008531FD"/>
    <w:rsid w:val="00877C9C"/>
    <w:rsid w:val="008A1D66"/>
    <w:rsid w:val="008C51E1"/>
    <w:rsid w:val="008D5947"/>
    <w:rsid w:val="009168E5"/>
    <w:rsid w:val="0092159C"/>
    <w:rsid w:val="00944846"/>
    <w:rsid w:val="009B1FA4"/>
    <w:rsid w:val="009D201E"/>
    <w:rsid w:val="009D418A"/>
    <w:rsid w:val="009F475D"/>
    <w:rsid w:val="00A10668"/>
    <w:rsid w:val="00A2519B"/>
    <w:rsid w:val="00A54082"/>
    <w:rsid w:val="00A61349"/>
    <w:rsid w:val="00A71429"/>
    <w:rsid w:val="00AC33F8"/>
    <w:rsid w:val="00AC34D4"/>
    <w:rsid w:val="00AE0E9E"/>
    <w:rsid w:val="00AF617D"/>
    <w:rsid w:val="00B068EE"/>
    <w:rsid w:val="00B41B99"/>
    <w:rsid w:val="00B54BF8"/>
    <w:rsid w:val="00B54E68"/>
    <w:rsid w:val="00BC457C"/>
    <w:rsid w:val="00BC606A"/>
    <w:rsid w:val="00BD0FFD"/>
    <w:rsid w:val="00C22553"/>
    <w:rsid w:val="00CB3258"/>
    <w:rsid w:val="00D02049"/>
    <w:rsid w:val="00D87B08"/>
    <w:rsid w:val="00DA424C"/>
    <w:rsid w:val="00DB1CC0"/>
    <w:rsid w:val="00DB55CF"/>
    <w:rsid w:val="00DD32C0"/>
    <w:rsid w:val="00DE1DDC"/>
    <w:rsid w:val="00DF31BC"/>
    <w:rsid w:val="00E315D4"/>
    <w:rsid w:val="00E42EC7"/>
    <w:rsid w:val="00E54927"/>
    <w:rsid w:val="00E77253"/>
    <w:rsid w:val="00E82D93"/>
    <w:rsid w:val="00EA1463"/>
    <w:rsid w:val="00EA4858"/>
    <w:rsid w:val="00EC049E"/>
    <w:rsid w:val="00EE1E63"/>
    <w:rsid w:val="00F31DAE"/>
    <w:rsid w:val="00FA2CB7"/>
    <w:rsid w:val="00FA4D9E"/>
    <w:rsid w:val="00FC1917"/>
    <w:rsid w:val="00FD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7C4BE-A3B2-48FD-806C-83F438FFF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3424</Words>
  <Characters>1953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68</cp:revision>
  <dcterms:created xsi:type="dcterms:W3CDTF">2020-08-20T05:13:00Z</dcterms:created>
  <dcterms:modified xsi:type="dcterms:W3CDTF">2020-10-07T05:30:00Z</dcterms:modified>
</cp:coreProperties>
</file>