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E1" w:rsidRPr="00CD1CDF" w:rsidRDefault="008C51E1" w:rsidP="00CF33A9">
      <w:pPr>
        <w:spacing w:after="0" w:line="240" w:lineRule="auto"/>
        <w:ind w:right="141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0B4D5B" w:rsidRDefault="000B4D5B" w:rsidP="0069250B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CD1CDF">
        <w:rPr>
          <w:rFonts w:ascii="Times New Roman" w:eastAsia="Times New Roman" w:hAnsi="Times New Roman"/>
          <w:noProof/>
          <w:sz w:val="23"/>
          <w:szCs w:val="23"/>
          <w:lang w:val="ru-RU" w:eastAsia="ru-RU"/>
        </w:rPr>
        <w:drawing>
          <wp:inline distT="0" distB="0" distL="0" distR="0" wp14:anchorId="1A33061D" wp14:editId="327E451A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50B" w:rsidRPr="00CD1CDF" w:rsidRDefault="0069250B" w:rsidP="0069250B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A61349" w:rsidRPr="00CD1CDF" w:rsidRDefault="00BC606A" w:rsidP="00CD1CDF">
      <w:pPr>
        <w:spacing w:after="0" w:line="360" w:lineRule="auto"/>
        <w:ind w:right="141" w:firstLine="284"/>
        <w:rPr>
          <w:rFonts w:ascii="Times New Roman" w:eastAsia="Times New Roman" w:hAnsi="Times New Roman"/>
          <w:bCs/>
          <w:sz w:val="34"/>
          <w:szCs w:val="34"/>
        </w:rPr>
      </w:pPr>
      <w:r w:rsidRPr="00CD1CDF">
        <w:rPr>
          <w:rFonts w:ascii="Times New Roman" w:eastAsia="Times New Roman" w:hAnsi="Times New Roman"/>
          <w:bCs/>
          <w:sz w:val="23"/>
          <w:szCs w:val="23"/>
        </w:rPr>
        <w:t xml:space="preserve"> </w:t>
      </w:r>
      <w:r w:rsidR="000B4D5B" w:rsidRPr="00CD1CDF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21C17" w:rsidRPr="00CD1CDF" w:rsidRDefault="00521C17" w:rsidP="003A5C01">
      <w:pPr>
        <w:spacing w:after="0" w:line="48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CD1CDF">
        <w:rPr>
          <w:rFonts w:ascii="Times New Roman" w:eastAsia="Times New Roman" w:hAnsi="Times New Roman"/>
          <w:sz w:val="23"/>
          <w:szCs w:val="23"/>
          <w:lang w:eastAsia="ru-RU"/>
        </w:rPr>
        <w:t>12 червня 2019 року</w:t>
      </w:r>
      <w:r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8E3CEE"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8E3CEE"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8E3CEE"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8E3CEE" w:rsidRPr="00CD1CDF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   </w:t>
      </w:r>
      <w:r w:rsidR="003A5C01" w:rsidRPr="00CD1CD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8E3CEE" w:rsidRPr="00CD1CD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CD1CDF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D1CDF" w:rsidRPr="00CD1CDF" w:rsidRDefault="00521C17" w:rsidP="00CD1CD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CD1CD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CD1CDF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CD1CD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Pr="00CD1CD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46</w:t>
      </w:r>
      <w:r w:rsidR="009E2188" w:rsidRPr="00CD1CD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5</w:t>
      </w:r>
      <w:r w:rsidRPr="00CD1CD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/ко-19</w:t>
      </w:r>
    </w:p>
    <w:p w:rsidR="00521C17" w:rsidRPr="00CD1CDF" w:rsidRDefault="00521C17" w:rsidP="00CD1CDF">
      <w:pPr>
        <w:widowControl w:val="0"/>
        <w:spacing w:after="0" w:line="360" w:lineRule="auto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521C17" w:rsidRPr="00CD1CDF" w:rsidRDefault="00521C17" w:rsidP="00CD1CDF">
      <w:pPr>
        <w:widowControl w:val="0"/>
        <w:spacing w:after="0" w:line="360" w:lineRule="auto"/>
        <w:ind w:right="2840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Устименко В.Є.,</w:t>
      </w:r>
    </w:p>
    <w:p w:rsidR="00521C17" w:rsidRPr="00CD1CDF" w:rsidRDefault="00521C17" w:rsidP="00BC606A">
      <w:pPr>
        <w:widowControl w:val="0"/>
        <w:spacing w:after="206" w:line="302" w:lineRule="exact"/>
        <w:ind w:right="20"/>
        <w:jc w:val="both"/>
        <w:rPr>
          <w:rFonts w:ascii="Times New Roman" w:eastAsia="Times New Roman" w:hAnsi="Times New Roman"/>
          <w:sz w:val="23"/>
          <w:szCs w:val="23"/>
        </w:rPr>
      </w:pPr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членів Комісії: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Бутенка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В.І., Гладія С.В.,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Заріцької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А.О., Лукаша Т.В.,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Луцюка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П.С., </w:t>
      </w:r>
      <w:r w:rsid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Макарчука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М.А.,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Мішина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М.І.,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Прилипка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С.М., </w:t>
      </w:r>
      <w:proofErr w:type="spellStart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>Тітова</w:t>
      </w:r>
      <w:proofErr w:type="spellEnd"/>
      <w:r w:rsidRPr="00CD1CDF">
        <w:rPr>
          <w:rFonts w:ascii="Times New Roman" w:eastAsia="Times New Roman" w:hAnsi="Times New Roman"/>
          <w:color w:val="000000"/>
          <w:sz w:val="23"/>
          <w:szCs w:val="23"/>
        </w:rPr>
        <w:t xml:space="preserve"> Ю.Г., Шилової Т.С.,</w:t>
      </w:r>
    </w:p>
    <w:p w:rsidR="009E2188" w:rsidRPr="009E2188" w:rsidRDefault="009E2188" w:rsidP="009E2188">
      <w:pPr>
        <w:widowControl w:val="0"/>
        <w:spacing w:after="155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підтримку рішення Комісії у складі колегії від 24 квітня 2019 року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130/ко-19, ухваленого в межах процедури кваліфікаційного оцінювання судді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Києва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Людмили Петрівни на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відповідність займаній посаді, відповідно до абзацу третього підпункту 4.10.8 пункту 4.10 розділу IV Регламенту Вищої кваліфікаційної комісії суддів України,</w:t>
      </w:r>
    </w:p>
    <w:p w:rsidR="009E2188" w:rsidRPr="009E2188" w:rsidRDefault="009E2188" w:rsidP="009E2188">
      <w:pPr>
        <w:widowControl w:val="0"/>
        <w:spacing w:after="20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Вищої кваліфікаційної комісії суддів України від 01 лютого 2018 року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№ 8/зп-18 призначено кваліфікаційне оцінювання суддів місцевих та апеляційних судів на відповідність займаній посаді, зокрема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Києва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87 Закону України «Про судоустрій і статус суддів» (далі -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Закон), з метою сприяння Комісії у встановленні відповідності судді (кандидата на посаду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доброчесності.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Підп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унктом 4.10.5. пункту 4.10 розділу IV Регламенту Вищої кваліфікаційної комісії суддів України, затвердженого її рішенням від 13 жовтня 2016 року №</w:t>
      </w:r>
      <w:r w:rsidR="00FD56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bookmarkStart w:id="0" w:name="_GoBack"/>
      <w:bookmarkEnd w:id="0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81/зп-16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визначеному цим Регламентом.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До Комісії 24 квітня 2019 року від Громадської ради доброчесності надійшов затверджений 23 квітня 2019 року висновок про невідповідність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районного суду міста Києва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 критеріям доброчесності та професійної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етики.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Комісією у складі колегії 24 квітня 2019 року проведено співбесіду з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Шестаковською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Л.П., під час якої обговорено дані стосовно її відповідності критеріям професійної етики та доброчесності, зокрема обставини, викладені у висновку Громадської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ради доброчесності.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Стосовно доводів вказаного висновку суддею були надані усні та письмові пояснення, які, на думку колегії Комісії, в сукупності свідчать про необґрунтованість відомостей про невідповідність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 критеріям доброчесності та професійної етики.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Зазначені обставини відображено у рішенні Комісії у складі колегії від 24 квітня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130/ко-19, згідно з яким суддя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Києва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Шестаковська</w:t>
      </w:r>
      <w:proofErr w:type="spellEnd"/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результатами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кваліфікаційного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оцінювання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місцевих </w:t>
      </w:r>
      <w:r w:rsidR="00CD1CD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</w:t>
      </w:r>
    </w:p>
    <w:p w:rsidR="009E2188" w:rsidRPr="009E2188" w:rsidRDefault="009E2188" w:rsidP="002F2D8B">
      <w:pPr>
        <w:widowControl w:val="0"/>
        <w:spacing w:after="0" w:line="274" w:lineRule="exact"/>
        <w:ind w:left="20" w:right="20" w:hanging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апеляційних судів на відповідність займаній посаді набрала 714,375 бала та її визнано такою,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 відповідає займаній посаді.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винесення на розгляд Комісії у пленарному складі питання щодо підтримки зазначеного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 відповідно до вимог абзацу другого частини першої статті 88 Закону.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 про підтвердження здатності судді здійснювати правосуддя у відповідному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статті 88 Закону.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Комісія в пленарному складі, заслухавши доповідача, суддю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Шестаковську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Л.П., дослідивши висновок Громадської ради доброчесності та письмові пояснення судді, а також рішення Комісії від 24 квітня 2019 року № 130/ко-19 встановила, що Комісією у складі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колегії в повному обсязі досліджено матеріали досьє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 та ухвалено обґрунтоване рішення за результатами її кваліфікаційного оцінювання на відповідність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займаній посаді.</w:t>
      </w:r>
    </w:p>
    <w:p w:rsidR="009E2188" w:rsidRPr="009E2188" w:rsidRDefault="009E2188" w:rsidP="009E218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Зважаючи на вказане, більш ніж одинадцятьма голосами Комісія дійшла висновку про підтримку рішення Комісії від 24 квітня 2019 року № 130/ко-19, ухваленого в складі колегії,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про підтвердження здатності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Києва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Л.П. здійснювати правосуддя.</w:t>
      </w:r>
    </w:p>
    <w:p w:rsidR="009E2188" w:rsidRPr="009E2188" w:rsidRDefault="009E2188" w:rsidP="009E2188">
      <w:pPr>
        <w:widowControl w:val="0"/>
        <w:spacing w:after="155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88,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93,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101 Закону,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Регламентом,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</w:t>
      </w:r>
    </w:p>
    <w:p w:rsidR="009E2188" w:rsidRPr="009E2188" w:rsidRDefault="009E2188" w:rsidP="009E2188">
      <w:pPr>
        <w:widowControl w:val="0"/>
        <w:spacing w:after="15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46B5D" w:rsidRPr="002F2D8B" w:rsidRDefault="009E2188" w:rsidP="002F2D8B">
      <w:pPr>
        <w:widowControl w:val="0"/>
        <w:spacing w:after="279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підтримати рішення Комісії у складі колегії від 24 квітня 2019 року № 130/ко-19 про підтвердження здатності судді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Оболонського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міста Києва </w:t>
      </w:r>
      <w:proofErr w:type="spellStart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Шестаковської</w:t>
      </w:r>
      <w:proofErr w:type="spellEnd"/>
      <w:r w:rsidRPr="009E218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Людмили </w:t>
      </w:r>
      <w:r w:rsidR="002F2D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Петрівни здійснювати правосуддя.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355170" w:rsidRPr="00CD1CDF" w:rsidRDefault="00355170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С.В. </w:t>
            </w:r>
            <w:proofErr w:type="spellStart"/>
            <w:r w:rsidRPr="00CD1CD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Гладій</w:t>
            </w:r>
            <w:proofErr w:type="spellEnd"/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355170" w:rsidRPr="00CD1CDF" w:rsidRDefault="00355170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355170" w:rsidRPr="00CD1CDF" w:rsidRDefault="00355170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355170" w:rsidRPr="00CD1CDF" w:rsidRDefault="00355170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М.А. </w:t>
            </w:r>
            <w:proofErr w:type="spellStart"/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355170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С.М. Прилипко</w:t>
            </w:r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</w:tc>
      </w:tr>
      <w:tr w:rsidR="00521C17" w:rsidRPr="00CD1CDF" w:rsidTr="0062271C">
        <w:tc>
          <w:tcPr>
            <w:tcW w:w="3284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CD1CDF" w:rsidRDefault="00521C17" w:rsidP="00B46B5D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CD1CDF" w:rsidRDefault="00521C17" w:rsidP="007E7000">
            <w:pPr>
              <w:widowControl w:val="0"/>
              <w:suppressAutoHyphens/>
              <w:autoSpaceDE w:val="0"/>
              <w:spacing w:after="0" w:line="480" w:lineRule="auto"/>
              <w:ind w:firstLine="60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CD1CD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</w:tc>
      </w:tr>
    </w:tbl>
    <w:p w:rsidR="00521C17" w:rsidRPr="00CD1CDF" w:rsidRDefault="00521C17" w:rsidP="00B46B5D">
      <w:pPr>
        <w:widowControl w:val="0"/>
        <w:spacing w:after="280" w:line="480" w:lineRule="auto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0B4D5B" w:rsidRPr="00CD1CDF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sectPr w:rsidR="000B4D5B" w:rsidRPr="00CD1CDF" w:rsidSect="0069250B">
      <w:headerReference w:type="default" r:id="rId10"/>
      <w:headerReference w:type="first" r:id="rId11"/>
      <w:pgSz w:w="11906" w:h="16838"/>
      <w:pgMar w:top="142" w:right="850" w:bottom="568" w:left="1417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96" w:rsidRDefault="004C3896" w:rsidP="000B4D5B">
      <w:pPr>
        <w:spacing w:after="0" w:line="240" w:lineRule="auto"/>
      </w:pPr>
      <w:r>
        <w:separator/>
      </w:r>
    </w:p>
  </w:endnote>
  <w:endnote w:type="continuationSeparator" w:id="0">
    <w:p w:rsidR="004C3896" w:rsidRDefault="004C3896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96" w:rsidRDefault="004C3896" w:rsidP="000B4D5B">
      <w:pPr>
        <w:spacing w:after="0" w:line="240" w:lineRule="auto"/>
      </w:pPr>
      <w:r>
        <w:separator/>
      </w:r>
    </w:p>
  </w:footnote>
  <w:footnote w:type="continuationSeparator" w:id="0">
    <w:p w:rsidR="004C3896" w:rsidRDefault="004C3896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076653"/>
      <w:docPartObj>
        <w:docPartGallery w:val="Page Numbers (Top of Page)"/>
        <w:docPartUnique/>
      </w:docPartObj>
    </w:sdtPr>
    <w:sdtEndPr/>
    <w:sdtContent>
      <w:p w:rsidR="000B4D5B" w:rsidRDefault="00B46B5D" w:rsidP="00B46B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601" w:rsidRPr="00FD560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3A9" w:rsidRDefault="00CF33A9">
    <w:pPr>
      <w:pStyle w:val="a7"/>
      <w:jc w:val="center"/>
    </w:pPr>
  </w:p>
  <w:p w:rsidR="00CF33A9" w:rsidRDefault="00CF33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25796"/>
    <w:multiLevelType w:val="hybridMultilevel"/>
    <w:tmpl w:val="B128EAD2"/>
    <w:lvl w:ilvl="0" w:tplc="ACBAFCF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2624F"/>
    <w:multiLevelType w:val="multilevel"/>
    <w:tmpl w:val="7EF2A22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165FD4"/>
    <w:rsid w:val="001769F2"/>
    <w:rsid w:val="00185FCB"/>
    <w:rsid w:val="00194CFC"/>
    <w:rsid w:val="001B7CE9"/>
    <w:rsid w:val="001C650D"/>
    <w:rsid w:val="002B50C1"/>
    <w:rsid w:val="002E04DA"/>
    <w:rsid w:val="002E6100"/>
    <w:rsid w:val="002F2D8B"/>
    <w:rsid w:val="00323D78"/>
    <w:rsid w:val="003510B7"/>
    <w:rsid w:val="00355170"/>
    <w:rsid w:val="00374F5C"/>
    <w:rsid w:val="003853E6"/>
    <w:rsid w:val="003A5C01"/>
    <w:rsid w:val="003D42D4"/>
    <w:rsid w:val="003D614F"/>
    <w:rsid w:val="003E0960"/>
    <w:rsid w:val="004124BE"/>
    <w:rsid w:val="00416829"/>
    <w:rsid w:val="004C31B9"/>
    <w:rsid w:val="004C3896"/>
    <w:rsid w:val="00510378"/>
    <w:rsid w:val="00521C17"/>
    <w:rsid w:val="00647890"/>
    <w:rsid w:val="00670638"/>
    <w:rsid w:val="0068100D"/>
    <w:rsid w:val="0069250B"/>
    <w:rsid w:val="00693DD6"/>
    <w:rsid w:val="0069795A"/>
    <w:rsid w:val="00753152"/>
    <w:rsid w:val="00780AB3"/>
    <w:rsid w:val="007B14E8"/>
    <w:rsid w:val="007B609C"/>
    <w:rsid w:val="007C3279"/>
    <w:rsid w:val="007E7000"/>
    <w:rsid w:val="00810409"/>
    <w:rsid w:val="0083367A"/>
    <w:rsid w:val="00842E0B"/>
    <w:rsid w:val="00850588"/>
    <w:rsid w:val="008531FD"/>
    <w:rsid w:val="00877C9C"/>
    <w:rsid w:val="008A1D66"/>
    <w:rsid w:val="008C51E1"/>
    <w:rsid w:val="008D5947"/>
    <w:rsid w:val="008E3CEE"/>
    <w:rsid w:val="009168E5"/>
    <w:rsid w:val="0092159C"/>
    <w:rsid w:val="00944846"/>
    <w:rsid w:val="009B1FA4"/>
    <w:rsid w:val="009D201E"/>
    <w:rsid w:val="009D418A"/>
    <w:rsid w:val="009E2188"/>
    <w:rsid w:val="009F475D"/>
    <w:rsid w:val="00A10668"/>
    <w:rsid w:val="00A61349"/>
    <w:rsid w:val="00A66991"/>
    <w:rsid w:val="00A71429"/>
    <w:rsid w:val="00AC33F8"/>
    <w:rsid w:val="00AC34D4"/>
    <w:rsid w:val="00B068EE"/>
    <w:rsid w:val="00B46B5D"/>
    <w:rsid w:val="00B54E68"/>
    <w:rsid w:val="00BC457C"/>
    <w:rsid w:val="00BC606A"/>
    <w:rsid w:val="00BC786F"/>
    <w:rsid w:val="00BD0FFD"/>
    <w:rsid w:val="00C22553"/>
    <w:rsid w:val="00CB3258"/>
    <w:rsid w:val="00CD1CDF"/>
    <w:rsid w:val="00CF33A9"/>
    <w:rsid w:val="00D02049"/>
    <w:rsid w:val="00D87B08"/>
    <w:rsid w:val="00DB1CC0"/>
    <w:rsid w:val="00DD32C0"/>
    <w:rsid w:val="00DF31BC"/>
    <w:rsid w:val="00E315D4"/>
    <w:rsid w:val="00E42EC7"/>
    <w:rsid w:val="00E54927"/>
    <w:rsid w:val="00E77253"/>
    <w:rsid w:val="00E82D93"/>
    <w:rsid w:val="00EA1463"/>
    <w:rsid w:val="00EA4858"/>
    <w:rsid w:val="00EC049E"/>
    <w:rsid w:val="00EE1E63"/>
    <w:rsid w:val="00F75224"/>
    <w:rsid w:val="00FA2CB7"/>
    <w:rsid w:val="00FA4D9E"/>
    <w:rsid w:val="00FD5498"/>
    <w:rsid w:val="00F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ECBD-6B6C-433F-943F-9F5883C5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Кириченко Ольга Іванівна</cp:lastModifiedBy>
  <cp:revision>67</cp:revision>
  <dcterms:created xsi:type="dcterms:W3CDTF">2020-08-20T05:13:00Z</dcterms:created>
  <dcterms:modified xsi:type="dcterms:W3CDTF">2020-10-12T08:29:00Z</dcterms:modified>
</cp:coreProperties>
</file>