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20" w:rsidRDefault="00323D20" w:rsidP="006510A2">
      <w:pPr>
        <w:jc w:val="center"/>
      </w:pPr>
    </w:p>
    <w:p w:rsidR="00323D20" w:rsidRDefault="00323D20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D224E" w:rsidRDefault="009B7B75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D224E">
        <w:rPr>
          <w:rFonts w:ascii="Times New Roman" w:eastAsia="Times New Roman" w:hAnsi="Times New Roman"/>
          <w:sz w:val="27"/>
          <w:szCs w:val="27"/>
          <w:lang w:eastAsia="ru-RU"/>
        </w:rPr>
        <w:t>10</w:t>
      </w:r>
      <w:r w:rsidR="002A1FB5" w:rsidRPr="008D224E">
        <w:rPr>
          <w:rFonts w:ascii="Times New Roman" w:eastAsia="Times New Roman" w:hAnsi="Times New Roman"/>
          <w:sz w:val="27"/>
          <w:szCs w:val="27"/>
          <w:lang w:eastAsia="ru-RU"/>
        </w:rPr>
        <w:t xml:space="preserve"> травня </w:t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8D224E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8D224E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2A1FB5" w:rsidRPr="008D224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91A3E" w:rsidRPr="008D224E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8D224E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25F0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206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25F0B" w:rsidRPr="00125F0B" w:rsidRDefault="00125F0B" w:rsidP="00D278E8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125F0B" w:rsidRPr="00125F0B" w:rsidRDefault="00CA4B38" w:rsidP="00D278E8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r w:rsidR="00125F0B" w:rsidRPr="00125F0B">
        <w:rPr>
          <w:rFonts w:ascii="Times New Roman" w:eastAsia="Times New Roman" w:hAnsi="Times New Roman"/>
          <w:color w:val="000000"/>
          <w:sz w:val="27"/>
          <w:szCs w:val="27"/>
        </w:rPr>
        <w:t>Макарчука М.А.,</w:t>
      </w:r>
    </w:p>
    <w:p w:rsidR="00125F0B" w:rsidRPr="00125F0B" w:rsidRDefault="00125F0B" w:rsidP="00D278E8">
      <w:pPr>
        <w:widowControl w:val="0"/>
        <w:spacing w:after="0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членів Комісії: Весельської Т.Ф., Лукаша Т.В.,</w:t>
      </w:r>
    </w:p>
    <w:p w:rsidR="002977DC" w:rsidRDefault="002977DC" w:rsidP="00D278E8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25F0B" w:rsidRPr="00125F0B" w:rsidRDefault="00125F0B" w:rsidP="00D278E8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провівши кваліфікаційне оцінювання судді Донецького окружного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адміністративного суду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Циганенка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Андрія Івановича на відповідність займаній 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посаді,</w:t>
      </w:r>
    </w:p>
    <w:p w:rsidR="00D278E8" w:rsidRDefault="00D278E8" w:rsidP="00D278E8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25F0B" w:rsidRPr="00125F0B" w:rsidRDefault="00125F0B" w:rsidP="00D278E8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D278E8" w:rsidRDefault="00D278E8" w:rsidP="00D278E8">
      <w:pPr>
        <w:widowControl w:val="0"/>
        <w:spacing w:after="0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25F0B" w:rsidRPr="00125F0B" w:rsidRDefault="00125F0B" w:rsidP="00D278E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підпункту 4 пункту </w:t>
      </w:r>
      <w:r w:rsidR="00D278E8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</w:t>
      </w:r>
      <w:r w:rsidR="00D278E8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Конституції України, відповідність займаній посаді судді, якого призначено на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посаду строком на п’ять років або обрано суддею безстроково до набрання 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125F0B" w:rsidRPr="00125F0B" w:rsidRDefault="00125F0B" w:rsidP="00D278E8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від 2 червня 2016 року № 1402-</w:t>
      </w:r>
      <w:r w:rsidR="00323D20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V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ІІІ «Про судоустрій і статус суддів» 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(далі –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Закон) визначено, що таке оцінювання здійснюється колегіями Вищої кваліфікаційно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ї комісії суддів України (далі –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Комісія) в порядку, визначеному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цим Законом.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26 червня 2018 року № 99/зп-18 призначено кваліфікаційне оцінювання суддів місцевих та апеляційних судів на 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серед яких суддя Донецького окружного адміністративного суду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Циганенко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А.І.</w:t>
      </w:r>
    </w:p>
    <w:p w:rsid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другою статті 83 Закону передбачено, що кваліфікаційне 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оцінювання проводиться Комісією за критеріями компетентності (професійної, особистої, соціальної тощо), професійної етики, доброчесності та, згідно з</w:t>
      </w:r>
      <w:r w:rsidR="00323D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частиною першою статті 85 цього ж Закону, включає такі етапи:</w:t>
      </w:r>
    </w:p>
    <w:p w:rsidR="00323D20" w:rsidRDefault="00323D20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23D20" w:rsidRDefault="00323D20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23D20" w:rsidRDefault="00323D20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23D20" w:rsidRPr="00125F0B" w:rsidRDefault="00323D20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</w:p>
    <w:p w:rsidR="00125F0B" w:rsidRPr="00125F0B" w:rsidRDefault="00125F0B" w:rsidP="00125F0B">
      <w:pPr>
        <w:widowControl w:val="0"/>
        <w:numPr>
          <w:ilvl w:val="0"/>
          <w:numId w:val="7"/>
        </w:numPr>
        <w:tabs>
          <w:tab w:val="left" w:pos="1114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складення іспиту (складення анонімного письмового тестування та виконання практичного завдання);</w:t>
      </w:r>
    </w:p>
    <w:p w:rsidR="00125F0B" w:rsidRPr="00125F0B" w:rsidRDefault="00125F0B" w:rsidP="00125F0B">
      <w:pPr>
        <w:widowControl w:val="0"/>
        <w:numPr>
          <w:ilvl w:val="0"/>
          <w:numId w:val="7"/>
        </w:numPr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Суддя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Циганенко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А.І. склав іспит і рішенням Комісії від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18 жовтня 2018 року № 233/зп-18 допущений до другого етапу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кваліфікаційного оцінювання –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«Дослідження досьє та проведення співбесіди».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Колегією Комісії 10 травня 2019 року проведено співбесіду із суддею, під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час якої обговорено дані щодо його відповідності критеріям компетентності, професійної етики та доброчесності, за результатами дослідження суддівського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досьє.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Заслухавши доповідача </w:t>
      </w:r>
      <w:r w:rsidR="009F08A2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 Комісії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Весельську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Т.Ф., пояснення судді, дослідивши його досьє та, з урахуванням інформації, отриманої під час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співбесіди, колегія Комісії дійшла висновку про необхідність зупинення кваліфікаційного оцінювання стосовно судді, з огляду на таке.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9 травня 2019 року до Комісії надійшов висновок Громадської ради доброчесності про невідповідність судді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Циганенка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А.І. критеріям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доброчесності та професійної етики.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вивчення цього висновку та декларацій судді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Циганенка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А.І. за 2012-2018 роки виявлено, що у 2017-2018 роках він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задекларував набуте 4 квітня 2017 року право власності дружини на квартиру у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м. Києві загальною площею 73,5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кв.м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, не зазначаючи її вартості (в декларації за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2015 рік суддя розмістив інформацію про цю квартиру у розділі «Об’єкти незавершеного будівництва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», а в декларації за 2016 рік –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ще й у розділі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«Об’єкти нерухомості», вказуючи власником ТОВ «КУА «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Будкепітал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», також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без зазначення вартості).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За висновками Громадської ради доброчесності, ціна цієї квартири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залежить від того, коли саме інвестувались кошти в будівництво. При ціні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1 400 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дол. США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за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кв</w:t>
      </w:r>
      <w:proofErr w:type="gram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.м</w:t>
      </w:r>
      <w:proofErr w:type="spellEnd"/>
      <w:proofErr w:type="gram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, вартість квартири 73,5 </w:t>
      </w:r>
      <w:proofErr w:type="spellStart"/>
      <w:r w:rsidR="00EB58BF">
        <w:rPr>
          <w:rFonts w:ascii="Times New Roman" w:eastAsia="Times New Roman" w:hAnsi="Times New Roman"/>
          <w:color w:val="000000"/>
          <w:sz w:val="27"/>
          <w:szCs w:val="27"/>
        </w:rPr>
        <w:t>кв.м</w:t>
      </w:r>
      <w:proofErr w:type="spellEnd"/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становить                                                        102 900 </w:t>
      </w:r>
      <w:proofErr w:type="spellStart"/>
      <w:r w:rsidR="00EB58BF">
        <w:rPr>
          <w:rFonts w:ascii="Times New Roman" w:eastAsia="Times New Roman" w:hAnsi="Times New Roman"/>
          <w:color w:val="000000"/>
          <w:sz w:val="27"/>
          <w:szCs w:val="27"/>
        </w:rPr>
        <w:t>дол</w:t>
      </w:r>
      <w:proofErr w:type="spellEnd"/>
      <w:r w:rsidR="00EB58BF">
        <w:rPr>
          <w:rFonts w:ascii="Times New Roman" w:eastAsia="Times New Roman" w:hAnsi="Times New Roman"/>
          <w:color w:val="000000"/>
          <w:sz w:val="27"/>
          <w:szCs w:val="27"/>
        </w:rPr>
        <w:t>. США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. Якщо основна сума коштів інвестувалась у 2015 році, то, враховуючи архівні дані динаміки готівкового курсу 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дол. США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у 2015 році, мінімальна вартість квартири становить 2 366 700 грн.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Крім того, згідно з декларацією судді за 2017 рік, його дружина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20 листопада 2017 року набула право власності на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машиномісце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у м. Києві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загальною площею 14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кв.м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, вартість якого, за даними ринку нерухомості, 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становить 285 000 грн.</w:t>
      </w: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  <w:lang w:val="ru-RU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Відповідно до декларації судді за 2018 рік, 11 серпня 2012 року дружина</w:t>
      </w:r>
      <w:r w:rsidR="00EB58B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 придбала легковий автомобіль </w:t>
      </w:r>
      <w:r w:rsidR="00286D9D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L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exus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RX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-350,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2012 року випуску, а</w:t>
      </w:r>
      <w:r w:rsidR="00286D9D" w:rsidRPr="00286D9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         </w:t>
      </w:r>
      <w:r w:rsidR="00286D9D">
        <w:rPr>
          <w:rFonts w:ascii="Times New Roman" w:eastAsia="Times New Roman" w:hAnsi="Times New Roman"/>
          <w:color w:val="000000"/>
          <w:sz w:val="27"/>
          <w:szCs w:val="27"/>
        </w:rPr>
        <w:t xml:space="preserve"> 6 квітня 2013 року</w:t>
      </w:r>
      <w:r w:rsidR="00286D9D" w:rsidRPr="00286D9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–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легковий автомобіль 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BMW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Х-1, 2012 року випуску. </w:t>
      </w:r>
      <w:r w:rsidR="00286D9D" w:rsidRPr="00286D9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Відомостей про їх вартість на дату набуття декларація судді не містить. За</w:t>
      </w:r>
      <w:r w:rsidR="00286D9D" w:rsidRPr="00286D9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даними Громадської ради доброчесності, середня вартість цих автомобілів</w:t>
      </w:r>
      <w:r w:rsidR="00286D9D" w:rsidRPr="00286D9D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становить 33 000 та 17 000 </w:t>
      </w:r>
      <w:r w:rsidRPr="00125F0B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>дол. США.</w:t>
      </w:r>
    </w:p>
    <w:p w:rsidR="00286D9D" w:rsidRDefault="00286D9D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286D9D" w:rsidRDefault="00286D9D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286D9D" w:rsidRDefault="00286D9D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286D9D" w:rsidRDefault="00286D9D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286D9D" w:rsidRDefault="00286D9D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</w:p>
    <w:p w:rsidR="00125F0B" w:rsidRPr="00125F0B" w:rsidRDefault="00125F0B" w:rsidP="00125F0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Отже, загальна вартість майна, придбаного дружиною судді протягом </w:t>
      </w:r>
      <w:r w:rsidR="00442E08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 xml:space="preserve"> 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2012-2017 років (квартира,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машиномісце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та два автомобіля), перевищує </w:t>
      </w:r>
      <w:r w:rsidR="00442E08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 xml:space="preserve">                                       3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300 000 грн, тоді як сукупний дохід сім’ї у ці роки, згідно з деклараціями</w:t>
      </w:r>
      <w:r w:rsidR="00442E08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 xml:space="preserve">    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судді, становив 3 089 689 грн.</w:t>
      </w:r>
    </w:p>
    <w:p w:rsidR="00125F0B" w:rsidRPr="00125F0B" w:rsidRDefault="00125F0B" w:rsidP="00125F0B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Наведені обставини можуть свідчити про порушення суддею </w:t>
      </w:r>
      <w:r w:rsidR="00442E08" w:rsidRPr="00442E08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      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Циганенком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А.І. законодавства у сфері запобігання корупції.</w:t>
      </w:r>
    </w:p>
    <w:p w:rsidR="00125F0B" w:rsidRPr="00125F0B" w:rsidRDefault="00125F0B" w:rsidP="00125F0B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частини шостої статті 84 Закону, якщо в процесі </w:t>
      </w:r>
      <w:r w:rsidR="00442E08" w:rsidRPr="00442E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судді Комісії стане відомо про обставини, що</w:t>
      </w:r>
      <w:r w:rsidR="00442E08" w:rsidRPr="00442E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можуть свідчити про порушення ним законодавства у сфері запобігання </w:t>
      </w:r>
      <w:r w:rsidR="00442E08" w:rsidRPr="00442E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корупції, Комісія повідомляє про це спеціально уповноважені суб’єкти у сфері протидії корупції та має право зупинити проведення кваліфікаційного </w:t>
      </w:r>
      <w:r w:rsidR="00442E08" w:rsidRPr="00442E08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оцінювання цього судді до отримання відповіді.</w:t>
      </w:r>
    </w:p>
    <w:p w:rsidR="00125F0B" w:rsidRPr="00125F0B" w:rsidRDefault="00125F0B" w:rsidP="00125F0B">
      <w:pPr>
        <w:widowControl w:val="0"/>
        <w:spacing w:after="341" w:line="322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З огляду на викладене, керуючись статтями 83</w:t>
      </w:r>
      <w:r w:rsidR="009F08A2">
        <w:rPr>
          <w:rFonts w:ascii="Times New Roman" w:eastAsia="Times New Roman" w:hAnsi="Times New Roman"/>
          <w:color w:val="000000"/>
          <w:sz w:val="27"/>
          <w:szCs w:val="27"/>
        </w:rPr>
        <w:t>–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86, 88, 93, 101 Закону, </w:t>
      </w:r>
      <w:r w:rsidR="00442E08" w:rsidRPr="00442E08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                     </w:t>
      </w: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колегія Комісії, -</w:t>
      </w:r>
    </w:p>
    <w:p w:rsidR="00125F0B" w:rsidRPr="00125F0B" w:rsidRDefault="00125F0B" w:rsidP="00125F0B">
      <w:pPr>
        <w:widowControl w:val="0"/>
        <w:spacing w:after="297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125F0B" w:rsidRPr="00125F0B" w:rsidRDefault="00125F0B" w:rsidP="00125F0B">
      <w:pPr>
        <w:widowControl w:val="0"/>
        <w:spacing w:after="0" w:line="326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Зупинити кваліфікаційне оцінювання судді Донецького окружного адміністративного суду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Циганенка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Андрія Івановича.</w:t>
      </w:r>
    </w:p>
    <w:p w:rsidR="00EA6FB9" w:rsidRPr="00125F0B" w:rsidRDefault="00125F0B" w:rsidP="00125F0B">
      <w:pPr>
        <w:widowControl w:val="0"/>
        <w:spacing w:after="345" w:line="326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Повідомити Національне агентство з питань запобігання корупції про обставини, що можуть свідчити про порушення суддею Донецького окружного адміністративного суду </w:t>
      </w:r>
      <w:proofErr w:type="spellStart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>Циганенком</w:t>
      </w:r>
      <w:proofErr w:type="spellEnd"/>
      <w:r w:rsidRPr="00125F0B">
        <w:rPr>
          <w:rFonts w:ascii="Times New Roman" w:eastAsia="Times New Roman" w:hAnsi="Times New Roman"/>
          <w:color w:val="000000"/>
          <w:sz w:val="27"/>
          <w:szCs w:val="27"/>
        </w:rPr>
        <w:t xml:space="preserve"> Андрієм Івановичем законодавства у сфері запобігання корупції.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125F0B" w:rsidRDefault="009F08A2" w:rsidP="009F08A2">
      <w:pPr>
        <w:widowControl w:val="0"/>
        <w:spacing w:before="20" w:after="3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25F0B">
        <w:rPr>
          <w:rFonts w:ascii="Times New Roman" w:eastAsia="Times New Roman" w:hAnsi="Times New Roman"/>
          <w:sz w:val="27"/>
          <w:szCs w:val="27"/>
          <w:lang w:eastAsia="uk-UA"/>
        </w:rPr>
        <w:t>М.А. Макарчук</w:t>
      </w:r>
    </w:p>
    <w:p w:rsidR="00AA7ED7" w:rsidRPr="00125F0B" w:rsidRDefault="009F08A2" w:rsidP="009F08A2">
      <w:pPr>
        <w:widowControl w:val="0"/>
        <w:spacing w:before="20" w:after="32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125F0B">
        <w:rPr>
          <w:rFonts w:ascii="Times New Roman" w:eastAsia="Times New Roman" w:hAnsi="Times New Roman"/>
          <w:sz w:val="27"/>
          <w:szCs w:val="27"/>
          <w:lang w:eastAsia="uk-UA"/>
        </w:rPr>
        <w:t>Т.Ф. Весельська</w:t>
      </w:r>
    </w:p>
    <w:p w:rsidR="00183091" w:rsidRPr="00125F0B" w:rsidRDefault="00125F0B" w:rsidP="009F08A2">
      <w:pPr>
        <w:widowControl w:val="0"/>
        <w:spacing w:before="20" w:after="320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7"/>
          <w:szCs w:val="27"/>
          <w:lang w:eastAsia="uk-UA"/>
        </w:rPr>
        <w:t>Т.В. Лукаш</w:t>
      </w:r>
    </w:p>
    <w:sectPr w:rsidR="00183091" w:rsidRPr="00125F0B" w:rsidSect="002977DC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521" w:rsidRDefault="00905521" w:rsidP="002F156E">
      <w:pPr>
        <w:spacing w:after="0" w:line="240" w:lineRule="auto"/>
      </w:pPr>
      <w:r>
        <w:separator/>
      </w:r>
    </w:p>
  </w:endnote>
  <w:endnote w:type="continuationSeparator" w:id="0">
    <w:p w:rsidR="00905521" w:rsidRDefault="0090552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521" w:rsidRDefault="00905521" w:rsidP="002F156E">
      <w:pPr>
        <w:spacing w:after="0" w:line="240" w:lineRule="auto"/>
      </w:pPr>
      <w:r>
        <w:separator/>
      </w:r>
    </w:p>
  </w:footnote>
  <w:footnote w:type="continuationSeparator" w:id="0">
    <w:p w:rsidR="00905521" w:rsidRDefault="0090552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8A2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5F455C4"/>
    <w:multiLevelType w:val="multilevel"/>
    <w:tmpl w:val="EF8A165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5F0B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86D9D"/>
    <w:rsid w:val="002977DC"/>
    <w:rsid w:val="002A1FB5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23D20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42E08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224E"/>
    <w:rsid w:val="008D53F2"/>
    <w:rsid w:val="008D7004"/>
    <w:rsid w:val="008F3077"/>
    <w:rsid w:val="00905521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B7B75"/>
    <w:rsid w:val="009C7439"/>
    <w:rsid w:val="009E6DE5"/>
    <w:rsid w:val="009F08A2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5B34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A4B38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278E8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B58BF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F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8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9F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08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4100</Words>
  <Characters>2338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283</cp:revision>
  <dcterms:created xsi:type="dcterms:W3CDTF">2020-08-21T08:05:00Z</dcterms:created>
  <dcterms:modified xsi:type="dcterms:W3CDTF">2020-11-05T12:15:00Z</dcterms:modified>
</cp:coreProperties>
</file>