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90" w:rsidRDefault="00777A90" w:rsidP="00787706">
      <w:pPr>
        <w:widowControl/>
        <w:ind w:left="426" w:right="-2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77A90" w:rsidRDefault="00777A90" w:rsidP="00787706">
      <w:pPr>
        <w:widowControl/>
        <w:ind w:left="426" w:right="-2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960A7" w:rsidRPr="00787706" w:rsidRDefault="00F960A7" w:rsidP="00787706">
      <w:pPr>
        <w:widowControl/>
        <w:ind w:left="426" w:right="-2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87706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34D9CF07" wp14:editId="22E81484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0A7" w:rsidRPr="00787706" w:rsidRDefault="00F960A7" w:rsidP="00787706">
      <w:pPr>
        <w:widowControl/>
        <w:ind w:left="426" w:right="-27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960A7" w:rsidRPr="00787706" w:rsidRDefault="00F960A7" w:rsidP="002B0DDA">
      <w:pPr>
        <w:widowControl/>
        <w:ind w:left="426" w:right="-270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87706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F960A7" w:rsidRPr="00787706" w:rsidRDefault="00F960A7" w:rsidP="00787706">
      <w:pPr>
        <w:pStyle w:val="a5"/>
        <w:ind w:left="426" w:right="-270"/>
        <w:rPr>
          <w:rFonts w:ascii="Times New Roman" w:hAnsi="Times New Roman" w:cs="Times New Roman"/>
          <w:sz w:val="40"/>
          <w:szCs w:val="40"/>
          <w:lang w:eastAsia="ru-RU"/>
        </w:rPr>
      </w:pPr>
    </w:p>
    <w:p w:rsidR="00F960A7" w:rsidRPr="00787706" w:rsidRDefault="00F960A7" w:rsidP="00787706">
      <w:pPr>
        <w:widowControl/>
        <w:ind w:left="426" w:right="-27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22 жовтня 2018 року</w:t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</w:t>
      </w:r>
      <w:r w:rsid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</w:t>
      </w:r>
      <w:r w:rsidR="002B0DDA">
        <w:rPr>
          <w:rFonts w:ascii="Times New Roman" w:eastAsia="Times New Roman" w:hAnsi="Times New Roman" w:cs="Times New Roman"/>
          <w:color w:val="auto"/>
          <w:sz w:val="26"/>
          <w:szCs w:val="26"/>
          <w:lang w:val="ru-RU" w:eastAsia="ru-RU"/>
        </w:rPr>
        <w:t xml:space="preserve">       </w:t>
      </w:r>
      <w:r w:rsidRPr="0078770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F960A7" w:rsidRPr="00787706" w:rsidRDefault="00F960A7" w:rsidP="00787706">
      <w:pPr>
        <w:pStyle w:val="a5"/>
        <w:ind w:left="426" w:right="-27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1B6C" w:rsidRPr="00787706" w:rsidRDefault="00F960A7" w:rsidP="00787706">
      <w:pPr>
        <w:spacing w:line="480" w:lineRule="auto"/>
        <w:ind w:left="426" w:right="-270"/>
        <w:jc w:val="center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787706">
        <w:rPr>
          <w:rFonts w:ascii="Times New Roman" w:hAnsi="Times New Roman" w:cs="Times New Roman"/>
          <w:sz w:val="26"/>
          <w:szCs w:val="26"/>
          <w:lang w:eastAsia="ru-RU"/>
        </w:rPr>
        <w:t xml:space="preserve">Р І Ш Е Н </w:t>
      </w:r>
      <w:proofErr w:type="spellStart"/>
      <w:r w:rsidRPr="00787706">
        <w:rPr>
          <w:rFonts w:ascii="Times New Roman" w:hAnsi="Times New Roman" w:cs="Times New Roman"/>
          <w:sz w:val="26"/>
          <w:szCs w:val="26"/>
          <w:lang w:eastAsia="ru-RU"/>
        </w:rPr>
        <w:t>Н</w:t>
      </w:r>
      <w:proofErr w:type="spellEnd"/>
      <w:r w:rsidRPr="00787706">
        <w:rPr>
          <w:rFonts w:ascii="Times New Roman" w:hAnsi="Times New Roman" w:cs="Times New Roman"/>
          <w:sz w:val="26"/>
          <w:szCs w:val="26"/>
          <w:lang w:eastAsia="ru-RU"/>
        </w:rPr>
        <w:t xml:space="preserve"> Я № </w:t>
      </w:r>
      <w:r w:rsidRPr="00787706">
        <w:rPr>
          <w:rFonts w:ascii="Times New Roman" w:hAnsi="Times New Roman" w:cs="Times New Roman"/>
          <w:sz w:val="26"/>
          <w:szCs w:val="26"/>
          <w:u w:val="single"/>
          <w:lang w:eastAsia="ru-RU"/>
        </w:rPr>
        <w:t>51</w:t>
      </w:r>
      <w:r w:rsidR="00734D5D" w:rsidRPr="00787706">
        <w:rPr>
          <w:rFonts w:ascii="Times New Roman" w:hAnsi="Times New Roman" w:cs="Times New Roman"/>
          <w:sz w:val="26"/>
          <w:szCs w:val="26"/>
          <w:u w:val="single"/>
          <w:lang w:eastAsia="ru-RU"/>
        </w:rPr>
        <w:t>7</w:t>
      </w:r>
      <w:r w:rsidRPr="00787706">
        <w:rPr>
          <w:rFonts w:ascii="Times New Roman" w:hAnsi="Times New Roman" w:cs="Times New Roman"/>
          <w:sz w:val="26"/>
          <w:szCs w:val="26"/>
          <w:u w:val="single"/>
          <w:lang w:eastAsia="ru-RU"/>
        </w:rPr>
        <w:t>/дс-18</w:t>
      </w:r>
    </w:p>
    <w:p w:rsidR="00787706" w:rsidRDefault="00734D5D" w:rsidP="00787706">
      <w:pPr>
        <w:spacing w:line="480" w:lineRule="auto"/>
        <w:ind w:left="426" w:right="-270" w:hanging="20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Вища кваліфікаційна комісія суддів України у складі колегії: </w:t>
      </w:r>
    </w:p>
    <w:p w:rsidR="00734D5D" w:rsidRPr="00734D5D" w:rsidRDefault="00734D5D" w:rsidP="00787706">
      <w:pPr>
        <w:spacing w:line="480" w:lineRule="auto"/>
        <w:ind w:left="426" w:right="-270" w:hanging="20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головуючого </w:t>
      </w:r>
      <w:r w:rsidR="002B0DD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Устименко В.Є., </w:t>
      </w:r>
    </w:p>
    <w:p w:rsidR="00734D5D" w:rsidRPr="00734D5D" w:rsidRDefault="00734D5D" w:rsidP="00787706">
      <w:pPr>
        <w:spacing w:line="480" w:lineRule="auto"/>
        <w:ind w:left="426" w:right="-270" w:hanging="20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членів Комісії: Луцюка П.С., Тітова Ю.Г.,</w:t>
      </w:r>
    </w:p>
    <w:p w:rsidR="00734D5D" w:rsidRPr="00734D5D" w:rsidRDefault="00734D5D" w:rsidP="00787706">
      <w:pPr>
        <w:spacing w:after="349" w:line="331" w:lineRule="exact"/>
        <w:ind w:left="426" w:right="-2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розглянувши питання про визначення результатів спеціальної перевірки в межах процедури добору кандидатів на посаду суд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і місцевого суду, оголошеного Комісією 03 квітня 2017 року,</w:t>
      </w:r>
    </w:p>
    <w:p w:rsidR="00734D5D" w:rsidRPr="00734D5D" w:rsidRDefault="00734D5D" w:rsidP="00787706">
      <w:pPr>
        <w:spacing w:after="315" w:line="270" w:lineRule="exact"/>
        <w:ind w:left="426" w:right="-2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734D5D" w:rsidRPr="00734D5D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Рішенням Вищої кваліфікаційної комісії суддів України від 03 квітня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2017 року № 28/зп-17 оголошено добір кандидатів на посаду судді місцевого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суду з урахуванням 600 прогнозованих вакантних посад суддів місцевого суду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й затверджено Умови подання документів та допуску до добору і відбіркового іспиту кандидатів на посаду судді місцевого суду (далі </w:t>
      </w:r>
      <w:r w:rsidR="002B0DD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Умови).</w:t>
      </w:r>
    </w:p>
    <w:p w:rsidR="00734D5D" w:rsidRPr="00734D5D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Згідно зі статтями 70, 71 Закону України «Про судоустрій і статус суддів»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від 02 червня 2016 року № 1402-VIII (далі </w:t>
      </w:r>
      <w:r w:rsidR="002B0DD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Закон) Комісією здійснено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перевірку відповідності осіб, які звернулися із заявами про участь у доборі,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вимогам до кандидата на посаду судді та перевірку поданих кандидатами документів на предмет відповідності встановленому Законом переліку, а також вимогам до їх оформлення.</w:t>
      </w:r>
    </w:p>
    <w:p w:rsidR="00734D5D" w:rsidRPr="00734D5D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За результатами такої перевірки Комісією допущено до участі у доборі, оголошеному 03 квітня 2017 року, осіб, які відповідають вимогам до кандидата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на посаду судді та подали усі необхідні документи.</w:t>
      </w:r>
    </w:p>
    <w:p w:rsidR="00734D5D" w:rsidRPr="00734D5D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Відповідно до вимог пунктів 6, 7 частини першої статті 70 Закону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Комісією 31 жовтня 2017 року проведено відбірковий іспит. Рішенням Комісії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від 03 листопада 2017 року № 117/зп-17 затверджено результати іспиту та оприлюднено їх на офіційному веб-сайті Комісії.</w:t>
      </w:r>
    </w:p>
    <w:p w:rsidR="00787706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Окрім того, пунктом 29 розділу XII «Прикінцеві та перехідні положення» Закону визначено, що кандидати на посаду судді, які були зараховані до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резерву на заміщення вакантних посад суддів та включені до </w:t>
      </w:r>
      <w:r w:rsidRPr="00734D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рейтингового </w:t>
      </w:r>
      <w:r w:rsidR="0078770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списку,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у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разі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якщо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закінчення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трирічного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строку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припало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період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одного </w:t>
      </w:r>
      <w:r w:rsidR="00787706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p w:rsidR="00787706" w:rsidRDefault="00787706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7706" w:rsidRDefault="00787706" w:rsidP="009118E6">
      <w:pPr>
        <w:spacing w:line="322" w:lineRule="exact"/>
        <w:ind w:right="-2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34D5D" w:rsidRPr="00734D5D" w:rsidRDefault="00734D5D" w:rsidP="009118E6">
      <w:pPr>
        <w:spacing w:line="322" w:lineRule="exact"/>
        <w:ind w:left="426" w:right="-2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року до набрання чинності цим Законом, а також кандидати, щодо яких на день </w:t>
      </w:r>
      <w:r w:rsidRPr="00787706">
        <w:rPr>
          <w:rFonts w:ascii="Times New Roman" w:eastAsia="Times New Roman" w:hAnsi="Times New Roman" w:cs="Times New Roman"/>
          <w:sz w:val="26"/>
          <w:szCs w:val="26"/>
        </w:rPr>
        <w:t xml:space="preserve">набрання чинності цим Законом внесені рекомендації Вищої кваліфікаційної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комісії суддів України, але яких не призначено на посаду судді, мають право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взяти участь у доборі на посаду судді у порядку, встановленому цим Законом,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без складання відбіркового іспиту та проходження спеціальної підготовки. Такі кандидати повторно складають кваліфікаційний іспит та беруть участь у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конкурсі на зайняття посади судді відповідно до результатів такого іспиту.</w:t>
      </w:r>
    </w:p>
    <w:p w:rsidR="00734D5D" w:rsidRPr="00734D5D" w:rsidRDefault="00734D5D" w:rsidP="0078770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Перехідними положеннями Умов передбачено, що кандидати, які бажають скористатися правом, визначеним у пункті 29 розділу XII «Прикінцеві та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перехідні положення» Закону, одночасно з поданням заяви про участь в оголошеному Комісією 03 квітня 2017 року доборі кандидатів на посаду судді місцевого суду та документів, визначених статтею 71 цього ж Закону,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інформують Комісію про реалізацію цього права шляхом подання заяви за затвердженою формою.</w:t>
      </w:r>
    </w:p>
    <w:p w:rsidR="00734D5D" w:rsidRPr="00734D5D" w:rsidRDefault="00734D5D" w:rsidP="009118E6">
      <w:pPr>
        <w:spacing w:line="322" w:lineRule="exact"/>
        <w:ind w:left="426" w:right="-270"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Верховною Радою України 03 жовтня 2017 року прийнято Закон України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№ 2147-</w:t>
      </w:r>
      <w:r w:rsidR="009118E6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ІІІ «Про внесення змін до Господарського процесуального кодексу України, Цивільного процесуального кодексу України, Кодексу 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адміністративного судочинства України та інших законодавчих актів», яким 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внесено зміни до пункту 29 розділу XII «Прикінцеві та перехідні положення»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Закону України «Про судоустрій і статус суддів» та надано право кандидатам 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на посаду судді, які були зараховані до резерву на заміщення вакантних посад 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суддів та включені до рейтингового списку, у разі якщо закінчення трирічного строку припало на період одного року до набрання або дев’яноста днів після набрання чинності Законом України «Про судоустрій і статус суддів» від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9118E6" w:rsidRPr="009118E6">
        <w:rPr>
          <w:rFonts w:ascii="Times New Roman" w:eastAsia="Times New Roman" w:hAnsi="Times New Roman" w:cs="Times New Roman"/>
          <w:sz w:val="26"/>
          <w:szCs w:val="26"/>
        </w:rPr>
        <w:t xml:space="preserve">02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червня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2016 року, взяти участь у процедурі добору без складення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відбіркового іспиту та проходження спеціальної підготовки. Зазначений закон </w:t>
      </w:r>
      <w:r w:rsidR="009118E6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щодо вказаних змін набрав чинності 29 листопада 2017 року.</w:t>
      </w:r>
    </w:p>
    <w:p w:rsidR="00734D5D" w:rsidRPr="00734D5D" w:rsidRDefault="00734D5D" w:rsidP="00787706">
      <w:pPr>
        <w:spacing w:line="322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Комісією 21 грудня 2017 року (рішення № 132/зп-17) оголошено про приймання заяв і документів для участі в оголошеному 03 квітня 2017 року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доборі кандидатів на посаду судді місцевого суду від кандидатів, які бажають скористатися правом участі у доборі з особливостями, передбаченими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оновленим пунктом 29 розділу XII «Прикінцеві та перехідні положення»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Закону, та які були зараховані до резерву на заміщення вакантних посад суддів і включені до </w:t>
      </w:r>
      <w:r w:rsidRPr="00734D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рейтингового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списку, закінчення трирічного строку перебування в якому припало на період одного року до набрання або дев’яноста днів після набрання чинності Законом (30 вересня 2016 року).</w:t>
      </w:r>
    </w:p>
    <w:p w:rsidR="00734D5D" w:rsidRPr="00734D5D" w:rsidRDefault="00734D5D" w:rsidP="00787706">
      <w:pPr>
        <w:spacing w:line="322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За результатами розгляду заяв таких кандидатів (відповідно до рішення Комісії від 21 грудня 2017 року) разом з доданими документами, Комісією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ухвалено рішення щодо відповідності осіб вимогам до кандидата на посаду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судді та наявності у них права на участь у доборі, оголошеному 03 квітня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2017 року, на умовах, визначених пунктом 29 розділу XII «Прикінцеві та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перехідні положення» Закону.</w:t>
      </w:r>
    </w:p>
    <w:p w:rsidR="00734D5D" w:rsidRPr="00734D5D" w:rsidRDefault="00734D5D" w:rsidP="00787706">
      <w:pPr>
        <w:spacing w:line="322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Комісією на виконання вимог частини першої статті 72, статті 74 Закону проведено спеціальну перевірку шляхом направлення запитів до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уповноважених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органів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про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перевірку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відповідних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відомостей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щодо </w:t>
      </w:r>
      <w:r w:rsidR="00615D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кандидатів, </w:t>
      </w:r>
    </w:p>
    <w:p w:rsidR="00615DDF" w:rsidRDefault="00615DDF" w:rsidP="00787706">
      <w:pPr>
        <w:spacing w:line="326" w:lineRule="exact"/>
        <w:ind w:left="426" w:right="-270"/>
        <w:jc w:val="both"/>
        <w:rPr>
          <w:rFonts w:ascii="Impact" w:eastAsia="Impact" w:hAnsi="Impact" w:cs="Impact"/>
          <w:sz w:val="26"/>
          <w:szCs w:val="26"/>
        </w:rPr>
      </w:pPr>
    </w:p>
    <w:p w:rsidR="00615DDF" w:rsidRDefault="00615DDF" w:rsidP="00615DDF">
      <w:pPr>
        <w:pStyle w:val="a5"/>
      </w:pPr>
    </w:p>
    <w:p w:rsidR="00734D5D" w:rsidRPr="00734D5D" w:rsidRDefault="00734D5D" w:rsidP="00787706">
      <w:pPr>
        <w:spacing w:line="326" w:lineRule="exact"/>
        <w:ind w:left="426" w:right="-2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які успішно склали відбірковий іспит та, які мають право на участь у доборі з </w:t>
      </w:r>
      <w:r w:rsidRPr="00787706">
        <w:rPr>
          <w:rFonts w:ascii="Times New Roman" w:eastAsia="Times New Roman" w:hAnsi="Times New Roman" w:cs="Times New Roman"/>
          <w:sz w:val="26"/>
          <w:szCs w:val="26"/>
        </w:rPr>
        <w:t xml:space="preserve">особливостями, визначеними пунктом 29 розділу XII «Прикінцеві та перехідні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положення» Закону.</w:t>
      </w:r>
    </w:p>
    <w:p w:rsidR="00734D5D" w:rsidRPr="00734D5D" w:rsidRDefault="00734D5D" w:rsidP="00787706">
      <w:pPr>
        <w:spacing w:line="326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За результатами спеціальної перевірки Комісією не отримано інформації,</w:t>
      </w:r>
      <w:r w:rsidR="00CE5E3A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 що могла б свідчити про невідповідність зазначених кандидатів на посаду судді установленим Законом вимогам.</w:t>
      </w:r>
    </w:p>
    <w:p w:rsidR="00734D5D" w:rsidRPr="00734D5D" w:rsidRDefault="00CE5E3A" w:rsidP="00787706">
      <w:pPr>
        <w:tabs>
          <w:tab w:val="left" w:pos="951"/>
        </w:tabs>
        <w:spacing w:line="326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</w:t>
      </w:r>
      <w:r w:rsidR="00734D5D" w:rsidRPr="00734D5D">
        <w:rPr>
          <w:rFonts w:ascii="Times New Roman" w:eastAsia="Times New Roman" w:hAnsi="Times New Roman" w:cs="Times New Roman"/>
          <w:sz w:val="26"/>
          <w:szCs w:val="26"/>
        </w:rPr>
        <w:tab/>
        <w:t>огляду на викладене Комісія дійшла висновку про наявність підстав для визначення результатів спеціальної перевірки.</w:t>
      </w:r>
    </w:p>
    <w:p w:rsidR="00734D5D" w:rsidRPr="00734D5D" w:rsidRDefault="00734D5D" w:rsidP="00787706">
      <w:pPr>
        <w:spacing w:after="345" w:line="326" w:lineRule="exact"/>
        <w:ind w:left="426" w:right="-27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Керуючись статтями 70</w:t>
      </w:r>
      <w:r w:rsidR="002B0DD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 xml:space="preserve">72, 74, 93, 101, пунктом 29 розділу XII </w:t>
      </w:r>
      <w:r w:rsidR="00CE5E3A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734D5D">
        <w:rPr>
          <w:rFonts w:ascii="Times New Roman" w:eastAsia="Times New Roman" w:hAnsi="Times New Roman" w:cs="Times New Roman"/>
          <w:sz w:val="26"/>
          <w:szCs w:val="26"/>
        </w:rPr>
        <w:t>«Прикінцеві та перехідні положення» Закону, Комісія</w:t>
      </w:r>
    </w:p>
    <w:p w:rsidR="00734D5D" w:rsidRPr="00734D5D" w:rsidRDefault="00734D5D" w:rsidP="00CE5E3A">
      <w:pPr>
        <w:spacing w:after="311" w:line="270" w:lineRule="exact"/>
        <w:ind w:left="426" w:right="-2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34D5D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F860D3" w:rsidRDefault="00734D5D" w:rsidP="00787706">
      <w:pPr>
        <w:pStyle w:val="12"/>
        <w:shd w:val="clear" w:color="auto" w:fill="auto"/>
        <w:spacing w:before="0" w:after="270" w:line="288" w:lineRule="exact"/>
        <w:ind w:left="426" w:right="-270"/>
        <w:rPr>
          <w:rFonts w:eastAsia="Courier New"/>
          <w:sz w:val="26"/>
          <w:szCs w:val="26"/>
        </w:rPr>
      </w:pPr>
      <w:r w:rsidRPr="00787706">
        <w:rPr>
          <w:rFonts w:eastAsia="Courier New"/>
          <w:sz w:val="26"/>
          <w:szCs w:val="26"/>
        </w:rPr>
        <w:t xml:space="preserve">визнати </w:t>
      </w:r>
      <w:proofErr w:type="spellStart"/>
      <w:r w:rsidRPr="00787706">
        <w:rPr>
          <w:rFonts w:eastAsia="Courier New"/>
          <w:sz w:val="26"/>
          <w:szCs w:val="26"/>
        </w:rPr>
        <w:t>Чоху</w:t>
      </w:r>
      <w:proofErr w:type="spellEnd"/>
      <w:r w:rsidRPr="00787706">
        <w:rPr>
          <w:rFonts w:eastAsia="Courier New"/>
          <w:sz w:val="26"/>
          <w:szCs w:val="26"/>
        </w:rPr>
        <w:t xml:space="preserve"> Костянтина Олексійовича таким, що за результатами спеціальної перевірки відповідає установленим Законом вимогам до кандидата на посаду </w:t>
      </w:r>
      <w:r w:rsidR="00CE5E3A">
        <w:rPr>
          <w:rFonts w:eastAsia="Courier New"/>
          <w:sz w:val="26"/>
          <w:szCs w:val="26"/>
        </w:rPr>
        <w:t xml:space="preserve">                           </w:t>
      </w:r>
      <w:r w:rsidRPr="00787706">
        <w:rPr>
          <w:rFonts w:eastAsia="Courier New"/>
          <w:sz w:val="26"/>
          <w:szCs w:val="26"/>
        </w:rPr>
        <w:t>судді.</w:t>
      </w:r>
    </w:p>
    <w:p w:rsidR="00CE5E3A" w:rsidRDefault="00CE5E3A" w:rsidP="00787706">
      <w:pPr>
        <w:pStyle w:val="12"/>
        <w:shd w:val="clear" w:color="auto" w:fill="auto"/>
        <w:spacing w:before="0" w:after="270" w:line="288" w:lineRule="exact"/>
        <w:ind w:left="426" w:right="-270"/>
        <w:rPr>
          <w:rFonts w:eastAsia="Courier New"/>
          <w:sz w:val="26"/>
          <w:szCs w:val="26"/>
        </w:rPr>
      </w:pPr>
    </w:p>
    <w:p w:rsidR="00CE5E3A" w:rsidRPr="00787706" w:rsidRDefault="00CE5E3A" w:rsidP="007716FF">
      <w:pPr>
        <w:pStyle w:val="12"/>
        <w:shd w:val="clear" w:color="auto" w:fill="auto"/>
        <w:spacing w:before="0" w:after="270" w:line="288" w:lineRule="exact"/>
        <w:ind w:right="-270"/>
        <w:rPr>
          <w:sz w:val="26"/>
          <w:szCs w:val="2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F960A7" w:rsidRPr="002B0DDA" w:rsidTr="008F14CF">
        <w:tc>
          <w:tcPr>
            <w:tcW w:w="3284" w:type="dxa"/>
            <w:shd w:val="clear" w:color="auto" w:fill="auto"/>
          </w:tcPr>
          <w:p w:rsidR="00F960A7" w:rsidRPr="002B0DDA" w:rsidRDefault="00F960A7" w:rsidP="00CE5E3A">
            <w:pPr>
              <w:suppressAutoHyphens/>
              <w:autoSpaceDE w:val="0"/>
              <w:spacing w:line="720" w:lineRule="auto"/>
              <w:ind w:left="426" w:right="-27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2B0DD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F960A7" w:rsidRPr="002B0DDA" w:rsidRDefault="00F960A7" w:rsidP="00CE5E3A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F960A7" w:rsidRPr="002B0DDA" w:rsidRDefault="00CE5E3A" w:rsidP="003C7702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 w:firstLine="17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2B0DDA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В.Є. Устименко</w:t>
            </w:r>
          </w:p>
        </w:tc>
      </w:tr>
      <w:tr w:rsidR="00F960A7" w:rsidRPr="002B0DDA" w:rsidTr="008F14CF">
        <w:tc>
          <w:tcPr>
            <w:tcW w:w="3284" w:type="dxa"/>
            <w:shd w:val="clear" w:color="auto" w:fill="auto"/>
          </w:tcPr>
          <w:p w:rsidR="00F960A7" w:rsidRPr="002B0DDA" w:rsidRDefault="00F960A7" w:rsidP="00CE5E3A">
            <w:pPr>
              <w:suppressAutoHyphens/>
              <w:autoSpaceDE w:val="0"/>
              <w:spacing w:line="720" w:lineRule="auto"/>
              <w:ind w:left="426" w:right="-27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2B0DD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F960A7" w:rsidRPr="002B0DDA" w:rsidRDefault="00F960A7" w:rsidP="00CE5E3A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F960A7" w:rsidRPr="002B0DDA" w:rsidRDefault="00F960A7" w:rsidP="003C7702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 w:firstLine="17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2B0DDA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П.С. Луцюк</w:t>
            </w:r>
          </w:p>
          <w:p w:rsidR="00F960A7" w:rsidRPr="002B0DDA" w:rsidRDefault="00CE5E3A" w:rsidP="003C7702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 w:firstLine="17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2B0DDA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  <w:t>Ю.Г. Тітов</w:t>
            </w:r>
          </w:p>
          <w:p w:rsidR="00F960A7" w:rsidRPr="002B0DDA" w:rsidRDefault="00F960A7" w:rsidP="003C7702">
            <w:pPr>
              <w:tabs>
                <w:tab w:val="left" w:pos="2386"/>
              </w:tabs>
              <w:suppressAutoHyphens/>
              <w:autoSpaceDE w:val="0"/>
              <w:spacing w:line="720" w:lineRule="auto"/>
              <w:ind w:left="426" w:right="-270" w:firstLine="17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F860D3" w:rsidRPr="00787706" w:rsidRDefault="00F860D3" w:rsidP="00787706">
      <w:pPr>
        <w:ind w:left="426" w:right="-270" w:firstLine="56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860D3" w:rsidRPr="00787706" w:rsidSect="00FC33B0">
      <w:headerReference w:type="default" r:id="rId9"/>
      <w:type w:val="continuous"/>
      <w:pgSz w:w="11909" w:h="16838"/>
      <w:pgMar w:top="696" w:right="1123" w:bottom="730" w:left="113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B5" w:rsidRDefault="00106DB5">
      <w:r>
        <w:separator/>
      </w:r>
    </w:p>
  </w:endnote>
  <w:endnote w:type="continuationSeparator" w:id="0">
    <w:p w:rsidR="00106DB5" w:rsidRDefault="0010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B5" w:rsidRDefault="00106DB5"/>
  </w:footnote>
  <w:footnote w:type="continuationSeparator" w:id="0">
    <w:p w:rsidR="00106DB5" w:rsidRDefault="00106D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2241"/>
      <w:docPartObj>
        <w:docPartGallery w:val="Page Numbers (Top of Page)"/>
        <w:docPartUnique/>
      </w:docPartObj>
    </w:sdtPr>
    <w:sdtEndPr/>
    <w:sdtContent>
      <w:p w:rsidR="00FC33B0" w:rsidRDefault="00FC33B0">
        <w:pPr>
          <w:pStyle w:val="a8"/>
          <w:jc w:val="center"/>
        </w:pPr>
      </w:p>
      <w:p w:rsidR="00FC33B0" w:rsidRDefault="00FC33B0">
        <w:pPr>
          <w:pStyle w:val="a8"/>
          <w:jc w:val="center"/>
        </w:pPr>
      </w:p>
      <w:p w:rsidR="00FC33B0" w:rsidRDefault="00FC33B0" w:rsidP="00FC33B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DDA" w:rsidRPr="002B0DDA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6616"/>
    <w:multiLevelType w:val="multilevel"/>
    <w:tmpl w:val="4398A59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60D3"/>
    <w:rsid w:val="000A5B95"/>
    <w:rsid w:val="00106DB5"/>
    <w:rsid w:val="002B0DDA"/>
    <w:rsid w:val="003C7702"/>
    <w:rsid w:val="00615DDF"/>
    <w:rsid w:val="00734D5D"/>
    <w:rsid w:val="007716FF"/>
    <w:rsid w:val="00777A90"/>
    <w:rsid w:val="00787706"/>
    <w:rsid w:val="007E4D1D"/>
    <w:rsid w:val="009118E6"/>
    <w:rsid w:val="009F33F0"/>
    <w:rsid w:val="00C41B6C"/>
    <w:rsid w:val="00CE5E3A"/>
    <w:rsid w:val="00F860D3"/>
    <w:rsid w:val="00F960A7"/>
    <w:rsid w:val="00FC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3"/>
      <w:szCs w:val="33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MS Gothic" w:eastAsia="MS Gothic" w:hAnsi="MS Gothic" w:cs="MS Gothic"/>
      <w:b w:val="0"/>
      <w:bCs w:val="0"/>
      <w:i/>
      <w:iCs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240" w:line="576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MS Gothic" w:eastAsia="MS Gothic" w:hAnsi="MS Gothic" w:cs="MS Gothic"/>
      <w:i/>
      <w:iCs/>
      <w:sz w:val="8"/>
      <w:szCs w:val="8"/>
    </w:rPr>
  </w:style>
  <w:style w:type="paragraph" w:styleId="a5">
    <w:name w:val="No Spacing"/>
    <w:uiPriority w:val="1"/>
    <w:qFormat/>
    <w:rsid w:val="00F960A7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96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60A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C33B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33B0"/>
    <w:rPr>
      <w:color w:val="000000"/>
    </w:rPr>
  </w:style>
  <w:style w:type="paragraph" w:styleId="aa">
    <w:name w:val="footer"/>
    <w:basedOn w:val="a"/>
    <w:link w:val="ab"/>
    <w:uiPriority w:val="99"/>
    <w:unhideWhenUsed/>
    <w:rsid w:val="00FC33B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C33B0"/>
    <w:rPr>
      <w:color w:val="000000"/>
    </w:rPr>
  </w:style>
  <w:style w:type="character" w:customStyle="1" w:styleId="15pt">
    <w:name w:val="Основной текст + 15 pt;Курсив"/>
    <w:basedOn w:val="a4"/>
    <w:rsid w:val="00734D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4216</Words>
  <Characters>2404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2020-10-29T11:58:00Z</dcterms:created>
  <dcterms:modified xsi:type="dcterms:W3CDTF">2020-11-11T13:55:00Z</dcterms:modified>
</cp:coreProperties>
</file>