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C7" w:rsidRDefault="0014073B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6.25pt">
            <v:imagedata r:id="rId8" r:href="rId9"/>
          </v:shape>
        </w:pict>
      </w:r>
      <w:r>
        <w:fldChar w:fldCharType="end"/>
      </w:r>
    </w:p>
    <w:p w:rsidR="00260B54" w:rsidRPr="00260B54" w:rsidRDefault="00260B54" w:rsidP="00260B54">
      <w:pPr>
        <w:pStyle w:val="10"/>
        <w:keepNext/>
        <w:keepLines/>
        <w:shd w:val="clear" w:color="auto" w:fill="auto"/>
        <w:spacing w:before="360" w:after="329" w:line="350" w:lineRule="exact"/>
        <w:ind w:left="23"/>
        <w:jc w:val="center"/>
        <w:rPr>
          <w:sz w:val="37"/>
          <w:szCs w:val="37"/>
        </w:rPr>
      </w:pPr>
      <w:r w:rsidRPr="00260B54">
        <w:rPr>
          <w:sz w:val="37"/>
          <w:szCs w:val="37"/>
        </w:rPr>
        <w:t>ВИЩА КВАЛІФІКАЦІЙНА КОМІСІЯ СУДДІВ УКРАЇНИ</w:t>
      </w:r>
    </w:p>
    <w:p w:rsidR="00260B54" w:rsidRPr="00EE2206" w:rsidRDefault="00260B54" w:rsidP="00260B54">
      <w:pPr>
        <w:tabs>
          <w:tab w:val="left" w:pos="9639"/>
        </w:tabs>
        <w:spacing w:after="360"/>
        <w:ind w:left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Pr="00EE22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травня 2019 року                                                                                                  </w:t>
      </w:r>
      <w:r w:rsidRPr="00EE2206">
        <w:rPr>
          <w:rFonts w:ascii="Times New Roman" w:hAnsi="Times New Roman" w:cs="Times New Roman"/>
          <w:sz w:val="26"/>
          <w:szCs w:val="26"/>
        </w:rPr>
        <w:t>м. Київ</w:t>
      </w:r>
    </w:p>
    <w:p w:rsidR="00260B54" w:rsidRPr="007F60AD" w:rsidRDefault="00260B54" w:rsidP="00D30BE2">
      <w:pPr>
        <w:spacing w:after="360"/>
        <w:ind w:left="23" w:right="2841" w:firstLine="3402"/>
        <w:rPr>
          <w:rStyle w:val="185pt"/>
          <w:rFonts w:eastAsia="Courier New"/>
          <w:sz w:val="29"/>
          <w:szCs w:val="29"/>
        </w:rPr>
      </w:pPr>
      <w:r w:rsidRPr="007F60AD">
        <w:rPr>
          <w:rStyle w:val="3pt"/>
          <w:rFonts w:eastAsia="Courier New"/>
          <w:sz w:val="29"/>
          <w:szCs w:val="29"/>
        </w:rPr>
        <w:t>РІШЕННЯ</w:t>
      </w:r>
      <w:r w:rsidRPr="007F60AD">
        <w:rPr>
          <w:rFonts w:ascii="Times New Roman" w:hAnsi="Times New Roman" w:cs="Times New Roman"/>
          <w:sz w:val="29"/>
          <w:szCs w:val="29"/>
        </w:rPr>
        <w:t xml:space="preserve"> № </w:t>
      </w:r>
      <w:r w:rsidRPr="00260B54">
        <w:rPr>
          <w:rStyle w:val="185pt"/>
          <w:rFonts w:eastAsia="Courier New"/>
          <w:i w:val="0"/>
          <w:sz w:val="29"/>
          <w:szCs w:val="29"/>
        </w:rPr>
        <w:t>7</w:t>
      </w:r>
      <w:r w:rsidRPr="00260B54">
        <w:rPr>
          <w:rStyle w:val="185pt"/>
          <w:rFonts w:eastAsia="Courier New"/>
          <w:i w:val="0"/>
          <w:sz w:val="29"/>
          <w:szCs w:val="29"/>
        </w:rPr>
        <w:t>7</w:t>
      </w:r>
      <w:r w:rsidRPr="00260B54">
        <w:rPr>
          <w:rStyle w:val="185pt"/>
          <w:rFonts w:eastAsia="Courier New"/>
          <w:i w:val="0"/>
          <w:sz w:val="29"/>
          <w:szCs w:val="29"/>
        </w:rPr>
        <w:t>/зп-19</w:t>
      </w:r>
    </w:p>
    <w:p w:rsidR="00260B54" w:rsidRDefault="00D30BE2" w:rsidP="0039568E">
      <w:pPr>
        <w:pStyle w:val="11"/>
        <w:shd w:val="clear" w:color="auto" w:fill="auto"/>
        <w:spacing w:before="0" w:after="304" w:line="317" w:lineRule="exact"/>
        <w:ind w:left="23" w:right="-186"/>
        <w:jc w:val="both"/>
      </w:pPr>
      <w:r>
        <w:t>Вища кваліфікаційна комісія суддів України в складі кваліфікаційної палати із залученням палати з питань добору і публічної служби суддів:</w:t>
      </w:r>
    </w:p>
    <w:p w:rsidR="006547C7" w:rsidRDefault="0014073B" w:rsidP="0039568E">
      <w:pPr>
        <w:pStyle w:val="11"/>
        <w:shd w:val="clear" w:color="auto" w:fill="auto"/>
        <w:spacing w:before="0" w:after="304" w:line="280" w:lineRule="exact"/>
        <w:ind w:left="20" w:right="-186"/>
        <w:jc w:val="both"/>
      </w:pPr>
      <w:r>
        <w:t>головуючого - Козьякова С.Ю.,</w:t>
      </w:r>
    </w:p>
    <w:p w:rsidR="006547C7" w:rsidRDefault="0014073B" w:rsidP="0039568E">
      <w:pPr>
        <w:pStyle w:val="11"/>
        <w:shd w:val="clear" w:color="auto" w:fill="auto"/>
        <w:spacing w:before="0" w:after="304" w:line="322" w:lineRule="exact"/>
        <w:ind w:left="20" w:right="-186"/>
        <w:jc w:val="both"/>
      </w:pPr>
      <w:r>
        <w:t xml:space="preserve">членів Комісії: </w:t>
      </w:r>
      <w:r>
        <w:t xml:space="preserve">Бутенка В.І., Весельської Т.Ф., Гладія С.В., Козлова А.Г., </w:t>
      </w:r>
      <w:r w:rsidR="0039568E">
        <w:t xml:space="preserve"> </w:t>
      </w:r>
      <w:r>
        <w:t>Лукаша Т.В., Луцюка П.С., Макарчука М.А., Мішина М.І., Прилипка С.М., Тітова Ю.Г., Устименко В.Є., Шилової Т.С.,</w:t>
      </w:r>
    </w:p>
    <w:p w:rsidR="006547C7" w:rsidRDefault="0014073B" w:rsidP="0039568E">
      <w:pPr>
        <w:pStyle w:val="11"/>
        <w:shd w:val="clear" w:color="auto" w:fill="auto"/>
        <w:spacing w:before="0" w:after="330" w:line="317" w:lineRule="exact"/>
        <w:ind w:left="20" w:right="-186"/>
        <w:jc w:val="both"/>
      </w:pPr>
      <w:r>
        <w:t>розглянувши питання про визначення результатів першого етапу кваліфікаційного оцінюв</w:t>
      </w:r>
      <w:r>
        <w:t>ання суддів на відповідність займаній посаді «Іспит»</w:t>
      </w:r>
      <w:r w:rsidR="0039568E">
        <w:t xml:space="preserve">  </w:t>
      </w:r>
      <w:r>
        <w:t xml:space="preserve"> та допуску до другого етапу кваліфікаційного оцінювання «Дослідження досьє та проведення співбесіди» за результатами іспиту,</w:t>
      </w:r>
    </w:p>
    <w:p w:rsidR="006547C7" w:rsidRDefault="0014073B">
      <w:pPr>
        <w:pStyle w:val="11"/>
        <w:shd w:val="clear" w:color="auto" w:fill="auto"/>
        <w:spacing w:before="0" w:after="308" w:line="280" w:lineRule="exact"/>
        <w:jc w:val="center"/>
      </w:pPr>
      <w:r>
        <w:t>встановила: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20" w:right="-186" w:firstLine="700"/>
        <w:jc w:val="both"/>
      </w:pPr>
      <w:r>
        <w:t xml:space="preserve">Рішенням Комісії від 26 березня 2019 року № 39/зп-19 призначено </w:t>
      </w:r>
      <w:r>
        <w:t xml:space="preserve">проведення 17 квітня 2019 року іспиту для 44 суддів місцевих судів (адміністративна спеціалізація) під час процедури кваліфікаційного </w:t>
      </w:r>
      <w:r w:rsidR="0039568E">
        <w:t xml:space="preserve">   </w:t>
      </w:r>
      <w:r>
        <w:t>оцінювання на відповідність займаній посаді.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20" w:right="-186" w:firstLine="700"/>
        <w:jc w:val="both"/>
      </w:pPr>
      <w:r>
        <w:t xml:space="preserve">В іспиті взяли участь 10 суддів. Судді </w:t>
      </w:r>
      <w:proofErr w:type="spellStart"/>
      <w:r>
        <w:t>Аблов</w:t>
      </w:r>
      <w:proofErr w:type="spellEnd"/>
      <w:r>
        <w:t xml:space="preserve"> Євгеній Валерійович, </w:t>
      </w:r>
      <w:proofErr w:type="spellStart"/>
      <w:r>
        <w:t>Аверкова</w:t>
      </w:r>
      <w:proofErr w:type="spellEnd"/>
      <w:r>
        <w:t xml:space="preserve"> Ві</w:t>
      </w:r>
      <w:r>
        <w:t xml:space="preserve">кторія Вікторівна, </w:t>
      </w:r>
      <w:proofErr w:type="spellStart"/>
      <w:r>
        <w:t>Амельохін</w:t>
      </w:r>
      <w:proofErr w:type="spellEnd"/>
      <w:r>
        <w:t xml:space="preserve"> Віталій В’ячеславович, </w:t>
      </w:r>
      <w:proofErr w:type="spellStart"/>
      <w:r>
        <w:t>Арсірій</w:t>
      </w:r>
      <w:proofErr w:type="spellEnd"/>
      <w:r>
        <w:t xml:space="preserve"> </w:t>
      </w:r>
      <w:r w:rsidR="0039568E">
        <w:t xml:space="preserve"> </w:t>
      </w:r>
      <w:r>
        <w:t xml:space="preserve">Руслан Олександрович, </w:t>
      </w:r>
      <w:proofErr w:type="spellStart"/>
      <w:r>
        <w:t>Бояринцева</w:t>
      </w:r>
      <w:proofErr w:type="spellEnd"/>
      <w:r>
        <w:t xml:space="preserve"> Марина Анатоліївна, </w:t>
      </w:r>
      <w:proofErr w:type="spellStart"/>
      <w:r>
        <w:t>Брагіна</w:t>
      </w:r>
      <w:proofErr w:type="spellEnd"/>
      <w:r>
        <w:t xml:space="preserve"> Олександра Євгенівна, </w:t>
      </w:r>
      <w:proofErr w:type="spellStart"/>
      <w:r>
        <w:t>Варняк</w:t>
      </w:r>
      <w:proofErr w:type="spellEnd"/>
      <w:r>
        <w:t xml:space="preserve"> Сергій Олександрович, Васильченко Ірина Петрівна, </w:t>
      </w:r>
      <w:proofErr w:type="spellStart"/>
      <w:r>
        <w:t>Вєкуа</w:t>
      </w:r>
      <w:proofErr w:type="spellEnd"/>
      <w:r>
        <w:t xml:space="preserve"> </w:t>
      </w:r>
      <w:proofErr w:type="spellStart"/>
      <w:r>
        <w:t>Нана</w:t>
      </w:r>
      <w:proofErr w:type="spellEnd"/>
      <w:r>
        <w:t xml:space="preserve"> </w:t>
      </w:r>
      <w:proofErr w:type="spellStart"/>
      <w:r>
        <w:t>Гуриєлівна</w:t>
      </w:r>
      <w:proofErr w:type="spellEnd"/>
      <w:r>
        <w:t xml:space="preserve">, Вовк Павло </w:t>
      </w:r>
      <w:proofErr w:type="spellStart"/>
      <w:r>
        <w:t>Вячеславович</w:t>
      </w:r>
      <w:proofErr w:type="spellEnd"/>
      <w:r>
        <w:t xml:space="preserve">, </w:t>
      </w:r>
      <w:proofErr w:type="spellStart"/>
      <w:r>
        <w:t>Гарань</w:t>
      </w:r>
      <w:proofErr w:type="spellEnd"/>
      <w:r>
        <w:t xml:space="preserve"> С</w:t>
      </w:r>
      <w:r>
        <w:t xml:space="preserve">ергій Миколайович, Григорович Павло Олександрович, </w:t>
      </w:r>
      <w:proofErr w:type="spellStart"/>
      <w:r>
        <w:t>Добрівська</w:t>
      </w:r>
      <w:proofErr w:type="spellEnd"/>
      <w:r>
        <w:t xml:space="preserve"> Наталія Анатоліївна, </w:t>
      </w:r>
      <w:r w:rsidR="0028497B">
        <w:t xml:space="preserve"> </w:t>
      </w:r>
      <w:proofErr w:type="spellStart"/>
      <w:r>
        <w:t>Каракашьян</w:t>
      </w:r>
      <w:proofErr w:type="spellEnd"/>
      <w:r>
        <w:t xml:space="preserve"> Сергій Костянтинович, Кармазін Олександр Анатолійович, </w:t>
      </w:r>
      <w:proofErr w:type="spellStart"/>
      <w:r>
        <w:t>Катющенко</w:t>
      </w:r>
      <w:proofErr w:type="spellEnd"/>
      <w:r>
        <w:t xml:space="preserve"> Віталій Петрович, Качур Ігор Анатолійович, </w:t>
      </w:r>
      <w:proofErr w:type="spellStart"/>
      <w:r>
        <w:t>Келеберда</w:t>
      </w:r>
      <w:proofErr w:type="spellEnd"/>
      <w:r>
        <w:t xml:space="preserve"> </w:t>
      </w:r>
      <w:r w:rsidR="0028497B">
        <w:t xml:space="preserve">   </w:t>
      </w:r>
      <w:r>
        <w:t xml:space="preserve">Володимир Іванович, </w:t>
      </w:r>
      <w:proofErr w:type="spellStart"/>
      <w:r>
        <w:t>Клименчук</w:t>
      </w:r>
      <w:proofErr w:type="spellEnd"/>
      <w:r>
        <w:t xml:space="preserve"> Наталія Микола</w:t>
      </w:r>
      <w:r>
        <w:t xml:space="preserve">ївна, Клочкова Наталія Вікторівна, Кузьменко Анна Ігорівна, Кузьменко Валерій Анатолійович, </w:t>
      </w:r>
      <w:proofErr w:type="spellStart"/>
      <w:r>
        <w:t>Літвінова</w:t>
      </w:r>
      <w:proofErr w:type="spellEnd"/>
      <w:r>
        <w:t xml:space="preserve"> </w:t>
      </w:r>
      <w:proofErr w:type="spellStart"/>
      <w:r>
        <w:t>Аріна</w:t>
      </w:r>
      <w:proofErr w:type="spellEnd"/>
      <w:r>
        <w:t xml:space="preserve"> Володимирівна, </w:t>
      </w:r>
      <w:proofErr w:type="spellStart"/>
      <w:r>
        <w:t>Лозовський</w:t>
      </w:r>
      <w:proofErr w:type="spellEnd"/>
      <w:r>
        <w:t xml:space="preserve"> Олександр Анатолійович, Мазур Альона Сергіївна, </w:t>
      </w:r>
      <w:proofErr w:type="spellStart"/>
      <w:r>
        <w:t>Маруліна</w:t>
      </w:r>
      <w:proofErr w:type="spellEnd"/>
      <w:r>
        <w:t xml:space="preserve"> Любов Олександрівна, </w:t>
      </w:r>
      <w:proofErr w:type="spellStart"/>
      <w:r>
        <w:t>Огурцов</w:t>
      </w:r>
      <w:proofErr w:type="spellEnd"/>
      <w:r>
        <w:t xml:space="preserve"> Олексій </w:t>
      </w:r>
      <w:r w:rsidR="0028497B">
        <w:t xml:space="preserve">   </w:t>
      </w:r>
      <w:r>
        <w:t xml:space="preserve">Петрович, </w:t>
      </w:r>
      <w:r w:rsidR="009E5A99">
        <w:t xml:space="preserve">  </w:t>
      </w:r>
      <w:r w:rsidR="00B55289">
        <w:t xml:space="preserve"> </w:t>
      </w:r>
      <w:proofErr w:type="spellStart"/>
      <w:r>
        <w:t>Патратій</w:t>
      </w:r>
      <w:proofErr w:type="spellEnd"/>
      <w:r>
        <w:t xml:space="preserve"> </w:t>
      </w:r>
      <w:r w:rsidR="009E5A99">
        <w:t xml:space="preserve">  </w:t>
      </w:r>
      <w:r w:rsidR="00B55289">
        <w:t xml:space="preserve"> </w:t>
      </w:r>
      <w:r>
        <w:t xml:space="preserve">Олена </w:t>
      </w:r>
      <w:r w:rsidR="009E5A99">
        <w:t xml:space="preserve">  </w:t>
      </w:r>
      <w:r w:rsidR="00B55289">
        <w:t xml:space="preserve"> </w:t>
      </w:r>
      <w:r>
        <w:t>Вал</w:t>
      </w:r>
      <w:r>
        <w:t xml:space="preserve">еріївна, </w:t>
      </w:r>
      <w:r w:rsidR="009E5A99">
        <w:t xml:space="preserve">  </w:t>
      </w:r>
      <w:r w:rsidR="00B55289">
        <w:t xml:space="preserve"> </w:t>
      </w:r>
      <w:r>
        <w:t xml:space="preserve">Пащенко </w:t>
      </w:r>
      <w:r w:rsidR="009E5A99">
        <w:t xml:space="preserve">  </w:t>
      </w:r>
      <w:r>
        <w:t xml:space="preserve">Костянтин </w:t>
      </w:r>
      <w:r w:rsidR="009E5A99">
        <w:t xml:space="preserve">  </w:t>
      </w:r>
      <w:r>
        <w:t>Сергійович,</w:t>
      </w:r>
      <w:r>
        <w:br w:type="page"/>
      </w:r>
    </w:p>
    <w:p w:rsidR="00EF5F43" w:rsidRPr="00EF5F43" w:rsidRDefault="00EF5F43" w:rsidP="0039568E">
      <w:pPr>
        <w:pStyle w:val="11"/>
        <w:shd w:val="clear" w:color="auto" w:fill="auto"/>
        <w:spacing w:before="0" w:line="317" w:lineRule="exact"/>
        <w:ind w:left="40" w:right="-186"/>
        <w:jc w:val="center"/>
        <w:rPr>
          <w:sz w:val="22"/>
          <w:szCs w:val="22"/>
        </w:rPr>
      </w:pPr>
      <w:r w:rsidRPr="00EF5F43">
        <w:rPr>
          <w:sz w:val="22"/>
          <w:szCs w:val="22"/>
        </w:rPr>
        <w:lastRenderedPageBreak/>
        <w:t>2</w:t>
      </w:r>
    </w:p>
    <w:p w:rsidR="00EF5F43" w:rsidRDefault="00EF5F43" w:rsidP="0039568E">
      <w:pPr>
        <w:pStyle w:val="11"/>
        <w:shd w:val="clear" w:color="auto" w:fill="auto"/>
        <w:spacing w:before="0" w:line="317" w:lineRule="exact"/>
        <w:ind w:left="40" w:right="-186"/>
        <w:jc w:val="both"/>
      </w:pP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/>
        <w:jc w:val="both"/>
      </w:pPr>
      <w:proofErr w:type="spellStart"/>
      <w:r>
        <w:t>Скочок</w:t>
      </w:r>
      <w:proofErr w:type="spellEnd"/>
      <w:r>
        <w:t xml:space="preserve"> Тетяна Олександрівна, Чудак Олеся Миколаївна, Шевченко Наталія Миколаївна, </w:t>
      </w:r>
      <w:proofErr w:type="spellStart"/>
      <w:r>
        <w:t>Шейко</w:t>
      </w:r>
      <w:proofErr w:type="spellEnd"/>
      <w:r>
        <w:t xml:space="preserve"> Тетяна Іванівна, </w:t>
      </w:r>
      <w:proofErr w:type="spellStart"/>
      <w:r>
        <w:t>Шрамко</w:t>
      </w:r>
      <w:proofErr w:type="spellEnd"/>
      <w:r>
        <w:t xml:space="preserve"> Юлія Теодорівна не з’явилися </w:t>
      </w:r>
      <w:r w:rsidR="008D271C">
        <w:t xml:space="preserve">   </w:t>
      </w:r>
      <w:r>
        <w:t>для складення іспиту.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>Рішенням Комісії від 08 травня 2019 року № 67/зп-19 п</w:t>
      </w:r>
      <w:r>
        <w:t>ричини неявки згаданих суддів на складення іспиту в межах процедури кваліфікаційного оцінювання суддів на відповідність займаній посаді визнано поважними.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>Порушень порядку складення іспиту в день його проведення не зафіксовано.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>Кодовані результати іспиту о</w:t>
      </w:r>
      <w:r>
        <w:t xml:space="preserve">публіковано на офіційному веб-сайті </w:t>
      </w:r>
      <w:r w:rsidR="008D271C">
        <w:t xml:space="preserve">  </w:t>
      </w:r>
      <w:r>
        <w:t>Комісії.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>Відповідно до абзацу п’ятого пункту 14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</w:t>
      </w:r>
      <w:r>
        <w:t xml:space="preserve">рдженого рішенням Комісії від 03 листопада 2016 року № 143/зп-16 </w:t>
      </w:r>
      <w:r w:rsidR="008D271C">
        <w:t xml:space="preserve">         </w:t>
      </w:r>
      <w:r>
        <w:t xml:space="preserve">(зі змінами, далі - Положення), Комісія ухвалює рішення про затвердження </w:t>
      </w:r>
      <w:proofErr w:type="spellStart"/>
      <w:r>
        <w:t>деперсоніфікованих</w:t>
      </w:r>
      <w:proofErr w:type="spellEnd"/>
      <w:r>
        <w:t xml:space="preserve"> (кодованих) і персоніфікованих (декодованих) результатів анонімного письмового тестування та практи</w:t>
      </w:r>
      <w:r>
        <w:t>чного завдання.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 xml:space="preserve">Згідно з пунктом 6 глави 6 розділу II Положення під час проведення </w:t>
      </w:r>
      <w:r w:rsidR="009F224C">
        <w:t xml:space="preserve"> </w:t>
      </w:r>
      <w:r>
        <w:t>іспиту встановлюється мінімально допустимий бал, який дозволяє судді продовжувати участь у кваліфікаційному оцінюванні.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 xml:space="preserve">Рішенням Комісії від 26 березня 2019 року № 39/зп-19 </w:t>
      </w:r>
      <w:r>
        <w:t xml:space="preserve">встановлено мінімально допустимий бал іспиту - 50 відсотків від максимально можливого </w:t>
      </w:r>
      <w:proofErr w:type="spellStart"/>
      <w:r>
        <w:t>бала</w:t>
      </w:r>
      <w:proofErr w:type="spellEnd"/>
      <w:r>
        <w:t xml:space="preserve"> у разі набрання суддею: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 xml:space="preserve">50 і більше відсотків від максимально можливого </w:t>
      </w:r>
      <w:proofErr w:type="spellStart"/>
      <w:r>
        <w:t>бала</w:t>
      </w:r>
      <w:proofErr w:type="spellEnd"/>
      <w:r>
        <w:t xml:space="preserve"> за складення анонімного письмового тестування;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 xml:space="preserve">50 і більше відсотків від максимально </w:t>
      </w:r>
      <w:r>
        <w:t xml:space="preserve">можливого </w:t>
      </w:r>
      <w:proofErr w:type="spellStart"/>
      <w:r>
        <w:t>бала</w:t>
      </w:r>
      <w:proofErr w:type="spellEnd"/>
      <w:r>
        <w:t xml:space="preserve"> за виконання практичного завдання.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>Відповідно до результатів іспиту під час кваліфікаційного оцінювання на відповідність займаній посаді 10 суддів набрали мінімально допустимий і більший від нього бал за складення анонімного письмового тесту</w:t>
      </w:r>
      <w:r>
        <w:t>вання та виконання практичного завдання.</w:t>
      </w:r>
    </w:p>
    <w:p w:rsidR="006547C7" w:rsidRDefault="0014073B" w:rsidP="0039568E">
      <w:pPr>
        <w:pStyle w:val="11"/>
        <w:shd w:val="clear" w:color="auto" w:fill="auto"/>
        <w:spacing w:before="0" w:line="317" w:lineRule="exact"/>
        <w:ind w:left="40" w:right="-186" w:firstLine="700"/>
        <w:jc w:val="both"/>
      </w:pPr>
      <w:r>
        <w:t xml:space="preserve">Обговоривши питання порядку денного, Комісія дійшла висновку про необхідність затвердити кодовані результати анонімного письмового </w:t>
      </w:r>
      <w:r w:rsidR="009F224C">
        <w:t xml:space="preserve"> </w:t>
      </w:r>
      <w:r>
        <w:t xml:space="preserve">тестування та практичного завдання, а також декодовані результати іспиту. Допустити </w:t>
      </w:r>
      <w:r>
        <w:t xml:space="preserve">до другого етапу кваліфікаційного оцінювання суддів на відповідність займаній посаді «Дослідження досьє та проведення співбесіди» </w:t>
      </w:r>
      <w:r w:rsidR="009F224C">
        <w:t xml:space="preserve">  </w:t>
      </w:r>
      <w:r>
        <w:t>10 суддів.</w:t>
      </w:r>
    </w:p>
    <w:p w:rsidR="006547C7" w:rsidRDefault="0014073B" w:rsidP="0039568E">
      <w:pPr>
        <w:pStyle w:val="11"/>
        <w:shd w:val="clear" w:color="auto" w:fill="auto"/>
        <w:spacing w:before="0" w:after="270" w:line="317" w:lineRule="exact"/>
        <w:ind w:left="40" w:right="-186" w:firstLine="700"/>
        <w:jc w:val="both"/>
      </w:pPr>
      <w:r>
        <w:t>Керуючись статтями 83-85, 93 та 101 Закону України «Про судоустрій і статус суддів», Положенням, Комісія</w:t>
      </w:r>
    </w:p>
    <w:p w:rsidR="006547C7" w:rsidRDefault="0014073B" w:rsidP="0039568E">
      <w:pPr>
        <w:pStyle w:val="11"/>
        <w:shd w:val="clear" w:color="auto" w:fill="auto"/>
        <w:spacing w:before="0" w:after="249" w:line="280" w:lineRule="exact"/>
        <w:ind w:right="-186"/>
        <w:jc w:val="center"/>
      </w:pPr>
      <w:r>
        <w:t>вирішила:</w:t>
      </w:r>
    </w:p>
    <w:p w:rsidR="006547C7" w:rsidRDefault="0014073B" w:rsidP="0039568E">
      <w:pPr>
        <w:pStyle w:val="11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322" w:lineRule="exact"/>
        <w:ind w:left="40" w:right="-186" w:firstLine="700"/>
        <w:jc w:val="both"/>
        <w:sectPr w:rsidR="006547C7" w:rsidSect="006118D4">
          <w:headerReference w:type="even" r:id="rId10"/>
          <w:type w:val="continuous"/>
          <w:pgSz w:w="11909" w:h="16838"/>
          <w:pgMar w:top="709" w:right="1121" w:bottom="634" w:left="1193" w:header="0" w:footer="3" w:gutter="0"/>
          <w:cols w:space="720"/>
          <w:noEndnote/>
          <w:docGrid w:linePitch="360"/>
        </w:sectPr>
      </w:pPr>
      <w:r>
        <w:t xml:space="preserve">Затвердити кодовані результати складеного суддями 17 квітня </w:t>
      </w:r>
      <w:r w:rsidR="006118D4">
        <w:t xml:space="preserve">          </w:t>
      </w:r>
      <w:r>
        <w:t>2019 року анонімного письмового тестування в межах процедури кваліфікаційного оцінювання суддів на відповідність займаній посаді згідно з додатком 1.</w:t>
      </w:r>
    </w:p>
    <w:p w:rsidR="006547C7" w:rsidRPr="006118D4" w:rsidRDefault="006118D4" w:rsidP="0039568E">
      <w:pPr>
        <w:pStyle w:val="20"/>
        <w:shd w:val="clear" w:color="auto" w:fill="auto"/>
        <w:spacing w:after="200" w:line="220" w:lineRule="exact"/>
        <w:ind w:right="-1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</w:p>
    <w:p w:rsidR="006547C7" w:rsidRDefault="0014073B" w:rsidP="0039568E">
      <w:pPr>
        <w:pStyle w:val="11"/>
        <w:numPr>
          <w:ilvl w:val="0"/>
          <w:numId w:val="1"/>
        </w:numPr>
        <w:shd w:val="clear" w:color="auto" w:fill="auto"/>
        <w:tabs>
          <w:tab w:val="left" w:pos="989"/>
        </w:tabs>
        <w:spacing w:before="0" w:line="317" w:lineRule="exact"/>
        <w:ind w:right="-186" w:firstLine="700"/>
        <w:jc w:val="both"/>
      </w:pPr>
      <w:r>
        <w:t>Затвердити кодовані р</w:t>
      </w:r>
      <w:r>
        <w:t xml:space="preserve">езультати виконаного суддями 17 квітня </w:t>
      </w:r>
      <w:r w:rsidR="005443A6">
        <w:t xml:space="preserve">          </w:t>
      </w:r>
      <w:r>
        <w:t>2019 року практичного завдання в межах процедури кваліфікаційного оцінювання суддів на відповідність займаній посаді згідно з додатком 2.</w:t>
      </w:r>
    </w:p>
    <w:p w:rsidR="006547C7" w:rsidRDefault="0014073B" w:rsidP="0039568E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317" w:lineRule="exact"/>
        <w:ind w:right="-186" w:firstLine="700"/>
        <w:jc w:val="both"/>
      </w:pPr>
      <w:r>
        <w:t xml:space="preserve">Затвердити та оприлюднити на офіційному веб-сайті Комісії </w:t>
      </w:r>
      <w:r w:rsidR="005443A6">
        <w:t xml:space="preserve">  </w:t>
      </w:r>
      <w:r>
        <w:t>декодовані результати</w:t>
      </w:r>
      <w:r>
        <w:t xml:space="preserve"> першого етапу кваліфікаційного оцінювання суддів на відповідність займаній посаді «Іспит» згідно з додатком 3.</w:t>
      </w:r>
    </w:p>
    <w:p w:rsidR="006547C7" w:rsidRDefault="0014073B" w:rsidP="001E2F6B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600" w:line="317" w:lineRule="exact"/>
        <w:ind w:right="-187" w:firstLine="697"/>
        <w:jc w:val="both"/>
      </w:pPr>
      <w:r>
        <w:t xml:space="preserve">Допустити до другого етапу кваліфікаційного оцінювання суддів місцевих та апеляційних судів на відповідність займаній посаді «Дослідження досьє </w:t>
      </w:r>
      <w:r>
        <w:t>та проведення співбесіди» суддів згідно з додатком 4.</w:t>
      </w:r>
    </w:p>
    <w:p w:rsidR="001E2F6B" w:rsidRPr="001E2F6B" w:rsidRDefault="001E2F6B" w:rsidP="001426E7">
      <w:pPr>
        <w:spacing w:after="36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 xml:space="preserve">Головуючий </w:t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С.Ю. Козьяков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 xml:space="preserve">Члени Комісії </w:t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В.І. Бутенко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Т.Ф. Весельська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  <w:lang w:val="ru-RU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>А.Г. Козлов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П.С. Луцюк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М.А. Макарчук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М.І. Мішин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С.М. Прилипко</w:t>
      </w:r>
    </w:p>
    <w:p w:rsidR="001E2F6B" w:rsidRPr="001E2F6B" w:rsidRDefault="001E2F6B" w:rsidP="001426E7">
      <w:pPr>
        <w:spacing w:after="240" w:line="341" w:lineRule="exact"/>
        <w:ind w:left="7103" w:right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>Ю.Г. Тітов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1E2F6B" w:rsidRPr="001E2F6B" w:rsidRDefault="001E2F6B" w:rsidP="001426E7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</w:r>
      <w:r w:rsidRPr="001E2F6B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5443A6" w:rsidRDefault="005443A6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6547C7" w:rsidRDefault="006547C7">
      <w:pPr>
        <w:rPr>
          <w:sz w:val="2"/>
          <w:szCs w:val="2"/>
        </w:rPr>
      </w:pPr>
    </w:p>
    <w:p w:rsidR="006547C7" w:rsidRDefault="006547C7">
      <w:pPr>
        <w:rPr>
          <w:sz w:val="2"/>
          <w:szCs w:val="2"/>
        </w:rPr>
      </w:pPr>
    </w:p>
    <w:p w:rsidR="002746A2" w:rsidRPr="00064BD6" w:rsidRDefault="002945A5" w:rsidP="00064BD6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t>Додаток 1</w:t>
      </w:r>
    </w:p>
    <w:p w:rsidR="002945A5" w:rsidRPr="00064BD6" w:rsidRDefault="002945A5" w:rsidP="00064BD6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t>до рішення Вищої кваліфікаційної комісії суддів України</w:t>
      </w:r>
    </w:p>
    <w:p w:rsidR="002945A5" w:rsidRPr="002945A5" w:rsidRDefault="002945A5" w:rsidP="00064BD6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6"/>
          <w:szCs w:val="26"/>
          <w:u w:val="single"/>
        </w:rPr>
      </w:pPr>
      <w:r w:rsidRPr="002945A5">
        <w:rPr>
          <w:b w:val="0"/>
          <w:sz w:val="26"/>
          <w:szCs w:val="26"/>
          <w:u w:val="single"/>
        </w:rPr>
        <w:t>13.05.20</w:t>
      </w:r>
      <w:r>
        <w:rPr>
          <w:b w:val="0"/>
          <w:sz w:val="26"/>
          <w:szCs w:val="26"/>
          <w:u w:val="single"/>
        </w:rPr>
        <w:t>19</w:t>
      </w:r>
      <w:r w:rsidRPr="002945A5">
        <w:rPr>
          <w:b w:val="0"/>
          <w:sz w:val="26"/>
          <w:szCs w:val="26"/>
          <w:u w:val="single"/>
        </w:rPr>
        <w:t xml:space="preserve">  № 77/зп-19</w:t>
      </w:r>
    </w:p>
    <w:p w:rsidR="002746A2" w:rsidRDefault="002746A2">
      <w:pPr>
        <w:pStyle w:val="30"/>
        <w:shd w:val="clear" w:color="auto" w:fill="auto"/>
        <w:spacing w:before="110"/>
        <w:ind w:left="60" w:right="100"/>
      </w:pPr>
    </w:p>
    <w:p w:rsidR="006547C7" w:rsidRPr="00064BD6" w:rsidRDefault="0014073B">
      <w:pPr>
        <w:pStyle w:val="30"/>
        <w:shd w:val="clear" w:color="auto" w:fill="auto"/>
        <w:spacing w:before="110"/>
        <w:ind w:left="60" w:right="100"/>
        <w:rPr>
          <w:sz w:val="24"/>
          <w:szCs w:val="24"/>
        </w:rPr>
      </w:pPr>
      <w:r w:rsidRPr="00064BD6">
        <w:rPr>
          <w:sz w:val="24"/>
          <w:szCs w:val="24"/>
        </w:rPr>
        <w:t xml:space="preserve">Кодовані </w:t>
      </w:r>
      <w:r w:rsidRPr="00064BD6">
        <w:rPr>
          <w:sz w:val="24"/>
          <w:szCs w:val="24"/>
        </w:rPr>
        <w:t>результати складення суддями 17 квітня 2019 року анонімного письмового тестування у межах процедури кваліфікаційного оцінювання суддів на відповідність</w:t>
      </w:r>
    </w:p>
    <w:p w:rsidR="00064BD6" w:rsidRPr="00064BD6" w:rsidRDefault="0014073B" w:rsidP="00064BD6">
      <w:pPr>
        <w:pStyle w:val="30"/>
        <w:shd w:val="clear" w:color="auto" w:fill="auto"/>
        <w:spacing w:before="0" w:after="120"/>
        <w:jc w:val="center"/>
        <w:rPr>
          <w:sz w:val="24"/>
          <w:szCs w:val="24"/>
        </w:rPr>
      </w:pPr>
      <w:r w:rsidRPr="00064BD6">
        <w:rPr>
          <w:sz w:val="24"/>
          <w:szCs w:val="24"/>
        </w:rPr>
        <w:t>займаній посаді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0"/>
        <w:gridCol w:w="3989"/>
        <w:gridCol w:w="4032"/>
      </w:tblGrid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№ з/п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Код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Кількість балів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F849A5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80" w:lineRule="exact"/>
              <w:jc w:val="center"/>
              <w:rPr>
                <w:b/>
                <w:sz w:val="16"/>
                <w:szCs w:val="16"/>
              </w:rPr>
            </w:pPr>
            <w:r w:rsidRPr="00F849A5">
              <w:rPr>
                <w:rStyle w:val="9pt"/>
                <w:b w:val="0"/>
                <w:sz w:val="16"/>
                <w:szCs w:val="16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0003648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75,375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0009614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61,875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0019030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84,375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0049125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73,125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0051275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78,75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0054129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77,625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0055949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86,625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0065981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84,375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0089862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86,625</w:t>
            </w:r>
          </w:p>
        </w:tc>
      </w:tr>
      <w:tr w:rsidR="006547C7" w:rsidTr="00064BD6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10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0094787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49A5" w:rsidRDefault="0014073B" w:rsidP="00064BD6">
            <w:pPr>
              <w:pStyle w:val="11"/>
              <w:framePr w:w="9331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49A5">
              <w:rPr>
                <w:rStyle w:val="75pt"/>
                <w:sz w:val="16"/>
                <w:szCs w:val="16"/>
              </w:rPr>
              <w:t>88,875</w:t>
            </w:r>
          </w:p>
        </w:tc>
      </w:tr>
    </w:tbl>
    <w:p w:rsidR="006547C7" w:rsidRDefault="006547C7">
      <w:pPr>
        <w:rPr>
          <w:sz w:val="2"/>
          <w:szCs w:val="2"/>
        </w:rPr>
      </w:pPr>
    </w:p>
    <w:p w:rsidR="006547C7" w:rsidRDefault="006547C7">
      <w:pPr>
        <w:rPr>
          <w:sz w:val="2"/>
          <w:szCs w:val="2"/>
        </w:rPr>
        <w:sectPr w:rsidR="006547C7" w:rsidSect="005443A6">
          <w:headerReference w:type="even" r:id="rId11"/>
          <w:headerReference w:type="default" r:id="rId12"/>
          <w:pgSz w:w="11909" w:h="16838"/>
          <w:pgMar w:top="709" w:right="1121" w:bottom="634" w:left="1193" w:header="0" w:footer="3" w:gutter="0"/>
          <w:cols w:space="720"/>
          <w:noEndnote/>
          <w:docGrid w:linePitch="360"/>
        </w:sectPr>
      </w:pPr>
    </w:p>
    <w:p w:rsidR="00F849A5" w:rsidRDefault="00F849A5">
      <w:pPr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r>
        <w:lastRenderedPageBreak/>
        <w:br w:type="page"/>
      </w:r>
    </w:p>
    <w:p w:rsidR="00F849A5" w:rsidRPr="00064BD6" w:rsidRDefault="00F849A5" w:rsidP="00F849A5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lastRenderedPageBreak/>
        <w:t xml:space="preserve">Додаток </w:t>
      </w:r>
      <w:r>
        <w:rPr>
          <w:b w:val="0"/>
          <w:sz w:val="20"/>
          <w:szCs w:val="20"/>
        </w:rPr>
        <w:t>2</w:t>
      </w:r>
    </w:p>
    <w:p w:rsidR="00F849A5" w:rsidRPr="00064BD6" w:rsidRDefault="00F849A5" w:rsidP="00F849A5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t>до рішення Вищої кваліфікаційної комісії суддів України</w:t>
      </w:r>
    </w:p>
    <w:p w:rsidR="00F849A5" w:rsidRPr="002945A5" w:rsidRDefault="00F849A5" w:rsidP="00F849A5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6"/>
          <w:szCs w:val="26"/>
          <w:u w:val="single"/>
        </w:rPr>
      </w:pPr>
      <w:r w:rsidRPr="002945A5">
        <w:rPr>
          <w:b w:val="0"/>
          <w:sz w:val="26"/>
          <w:szCs w:val="26"/>
          <w:u w:val="single"/>
        </w:rPr>
        <w:t>13.05.20</w:t>
      </w:r>
      <w:r>
        <w:rPr>
          <w:b w:val="0"/>
          <w:sz w:val="26"/>
          <w:szCs w:val="26"/>
          <w:u w:val="single"/>
        </w:rPr>
        <w:t>19</w:t>
      </w:r>
      <w:r w:rsidRPr="002945A5">
        <w:rPr>
          <w:b w:val="0"/>
          <w:sz w:val="26"/>
          <w:szCs w:val="26"/>
          <w:u w:val="single"/>
        </w:rPr>
        <w:t xml:space="preserve">  № 77/зп-19</w:t>
      </w:r>
    </w:p>
    <w:p w:rsidR="00F849A5" w:rsidRDefault="00F849A5" w:rsidP="00F849A5">
      <w:pPr>
        <w:pStyle w:val="30"/>
        <w:shd w:val="clear" w:color="auto" w:fill="auto"/>
        <w:spacing w:before="0" w:after="180" w:line="302" w:lineRule="exact"/>
        <w:ind w:left="40"/>
        <w:jc w:val="left"/>
      </w:pPr>
    </w:p>
    <w:p w:rsidR="006547C7" w:rsidRPr="00E1549B" w:rsidRDefault="0014073B">
      <w:pPr>
        <w:pStyle w:val="30"/>
        <w:shd w:val="clear" w:color="auto" w:fill="auto"/>
        <w:spacing w:before="0" w:after="180" w:line="302" w:lineRule="exact"/>
        <w:ind w:left="40"/>
        <w:jc w:val="center"/>
        <w:rPr>
          <w:sz w:val="24"/>
          <w:szCs w:val="24"/>
        </w:rPr>
      </w:pPr>
      <w:r w:rsidRPr="00E1549B">
        <w:rPr>
          <w:sz w:val="24"/>
          <w:szCs w:val="24"/>
        </w:rPr>
        <w:t>Кодовані результати виконання суддями 17 квітня 2019 року практичного завдання у межах процедури кваліфікаційного оцінювання суддів на відповідність займаній посаді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7"/>
        <w:gridCol w:w="4046"/>
        <w:gridCol w:w="4584"/>
      </w:tblGrid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№ з/п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Код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Кількість балів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0003076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88,5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95pt"/>
                <w:b w:val="0"/>
                <w:sz w:val="16"/>
                <w:szCs w:val="16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0019885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93,5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95pt"/>
                <w:b w:val="0"/>
                <w:sz w:val="16"/>
                <w:szCs w:val="16"/>
              </w:rPr>
              <w:t>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0022654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95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8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9pt"/>
                <w:b w:val="0"/>
                <w:sz w:val="16"/>
                <w:szCs w:val="16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0024679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83,5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95pt"/>
                <w:b w:val="0"/>
                <w:sz w:val="16"/>
                <w:szCs w:val="16"/>
              </w:rPr>
              <w:t>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0028932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91,5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0034275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95,5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95pt"/>
                <w:b w:val="0"/>
                <w:sz w:val="16"/>
                <w:szCs w:val="16"/>
              </w:rPr>
              <w:t>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0040225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100,5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0051485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92,5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8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9pt"/>
                <w:b w:val="0"/>
                <w:sz w:val="16"/>
                <w:szCs w:val="16"/>
              </w:rPr>
              <w:t>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0076943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102</w:t>
            </w:r>
          </w:p>
        </w:tc>
      </w:tr>
      <w:tr w:rsidR="006547C7" w:rsidTr="00E1549B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95pt"/>
                <w:b w:val="0"/>
                <w:sz w:val="16"/>
                <w:szCs w:val="16"/>
              </w:rPr>
              <w:t>10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0082481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E1549B" w:rsidRDefault="0014073B" w:rsidP="00E1549B">
            <w:pPr>
              <w:pStyle w:val="11"/>
              <w:framePr w:w="10147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E1549B">
              <w:rPr>
                <w:rStyle w:val="75pt"/>
                <w:sz w:val="16"/>
                <w:szCs w:val="16"/>
              </w:rPr>
              <w:t>99,5</w:t>
            </w:r>
          </w:p>
        </w:tc>
      </w:tr>
    </w:tbl>
    <w:p w:rsidR="006547C7" w:rsidRDefault="006547C7">
      <w:pPr>
        <w:rPr>
          <w:sz w:val="2"/>
          <w:szCs w:val="2"/>
        </w:rPr>
      </w:pPr>
    </w:p>
    <w:p w:rsidR="006547C7" w:rsidRDefault="006547C7">
      <w:pPr>
        <w:rPr>
          <w:sz w:val="2"/>
          <w:szCs w:val="2"/>
        </w:rPr>
        <w:sectPr w:rsidR="006547C7" w:rsidSect="00DD0089">
          <w:type w:val="continuous"/>
          <w:pgSz w:w="11909" w:h="16838"/>
          <w:pgMar w:top="869" w:right="693" w:bottom="7655" w:left="693" w:header="0" w:footer="3" w:gutter="0"/>
          <w:cols w:space="720"/>
          <w:noEndnote/>
          <w:docGrid w:linePitch="360"/>
        </w:sectPr>
      </w:pPr>
    </w:p>
    <w:p w:rsidR="00DD0089" w:rsidRPr="00064BD6" w:rsidRDefault="00DD0089" w:rsidP="00DD0089">
      <w:pPr>
        <w:pStyle w:val="30"/>
        <w:shd w:val="clear" w:color="auto" w:fill="auto"/>
        <w:spacing w:before="0" w:line="240" w:lineRule="auto"/>
        <w:ind w:left="11624" w:right="327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lastRenderedPageBreak/>
        <w:t xml:space="preserve">Додаток </w:t>
      </w:r>
      <w:r>
        <w:rPr>
          <w:b w:val="0"/>
          <w:sz w:val="20"/>
          <w:szCs w:val="20"/>
        </w:rPr>
        <w:t>3</w:t>
      </w:r>
    </w:p>
    <w:p w:rsidR="00DD0089" w:rsidRPr="00064BD6" w:rsidRDefault="00DD0089" w:rsidP="00DD0089">
      <w:pPr>
        <w:pStyle w:val="30"/>
        <w:shd w:val="clear" w:color="auto" w:fill="auto"/>
        <w:spacing w:before="0" w:line="240" w:lineRule="auto"/>
        <w:ind w:left="11624" w:right="327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t>до рішення Вищої кваліфікаційної комісії суддів України</w:t>
      </w:r>
    </w:p>
    <w:p w:rsidR="00DD0089" w:rsidRPr="002945A5" w:rsidRDefault="00DD0089" w:rsidP="00DD0089">
      <w:pPr>
        <w:pStyle w:val="30"/>
        <w:shd w:val="clear" w:color="auto" w:fill="auto"/>
        <w:spacing w:before="0" w:line="240" w:lineRule="auto"/>
        <w:ind w:left="11624" w:right="327"/>
        <w:rPr>
          <w:b w:val="0"/>
          <w:sz w:val="26"/>
          <w:szCs w:val="26"/>
          <w:u w:val="single"/>
        </w:rPr>
      </w:pPr>
      <w:r w:rsidRPr="002945A5">
        <w:rPr>
          <w:b w:val="0"/>
          <w:sz w:val="26"/>
          <w:szCs w:val="26"/>
          <w:u w:val="single"/>
        </w:rPr>
        <w:t>13.05.20</w:t>
      </w:r>
      <w:r>
        <w:rPr>
          <w:b w:val="0"/>
          <w:sz w:val="26"/>
          <w:szCs w:val="26"/>
          <w:u w:val="single"/>
        </w:rPr>
        <w:t>19</w:t>
      </w:r>
      <w:r w:rsidRPr="002945A5">
        <w:rPr>
          <w:b w:val="0"/>
          <w:sz w:val="26"/>
          <w:szCs w:val="26"/>
          <w:u w:val="single"/>
        </w:rPr>
        <w:t xml:space="preserve">  № 77/зп-19</w:t>
      </w:r>
    </w:p>
    <w:p w:rsidR="006547C7" w:rsidRDefault="006547C7">
      <w:pPr>
        <w:pStyle w:val="40"/>
        <w:shd w:val="clear" w:color="auto" w:fill="auto"/>
        <w:tabs>
          <w:tab w:val="left" w:pos="13722"/>
        </w:tabs>
        <w:spacing w:after="335" w:line="274" w:lineRule="exact"/>
        <w:ind w:left="10760" w:right="1120"/>
      </w:pPr>
    </w:p>
    <w:p w:rsidR="006547C7" w:rsidRPr="00F87D2A" w:rsidRDefault="0014073B">
      <w:pPr>
        <w:pStyle w:val="30"/>
        <w:shd w:val="clear" w:color="auto" w:fill="auto"/>
        <w:spacing w:before="0" w:line="230" w:lineRule="exact"/>
        <w:ind w:left="180"/>
        <w:jc w:val="center"/>
        <w:rPr>
          <w:sz w:val="24"/>
          <w:szCs w:val="24"/>
        </w:rPr>
      </w:pPr>
      <w:r w:rsidRPr="00F87D2A">
        <w:rPr>
          <w:sz w:val="24"/>
          <w:szCs w:val="24"/>
        </w:rPr>
        <w:t xml:space="preserve">Декодовані результати першого етапу </w:t>
      </w:r>
      <w:r w:rsidRPr="00F87D2A">
        <w:rPr>
          <w:sz w:val="24"/>
          <w:szCs w:val="24"/>
        </w:rPr>
        <w:t>кваліфікаційного оцінювання суддів на відповідність займаній посаді «Іспит»,</w:t>
      </w:r>
    </w:p>
    <w:p w:rsidR="006547C7" w:rsidRPr="00F87D2A" w:rsidRDefault="0014073B" w:rsidP="00F87D2A">
      <w:pPr>
        <w:pStyle w:val="30"/>
        <w:shd w:val="clear" w:color="auto" w:fill="auto"/>
        <w:spacing w:before="0" w:after="120" w:line="230" w:lineRule="exact"/>
        <w:ind w:left="181"/>
        <w:jc w:val="center"/>
        <w:rPr>
          <w:sz w:val="24"/>
          <w:szCs w:val="24"/>
        </w:rPr>
      </w:pPr>
      <w:r w:rsidRPr="00F87D2A">
        <w:rPr>
          <w:sz w:val="24"/>
          <w:szCs w:val="24"/>
        </w:rPr>
        <w:t>складеного 17 квітня 2019 року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1574"/>
        <w:gridCol w:w="1325"/>
        <w:gridCol w:w="1411"/>
        <w:gridCol w:w="4594"/>
        <w:gridCol w:w="1546"/>
        <w:gridCol w:w="1498"/>
        <w:gridCol w:w="1426"/>
        <w:gridCol w:w="1517"/>
      </w:tblGrid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№ з/п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Прізвище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Ім'я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ind w:left="60"/>
              <w:jc w:val="center"/>
            </w:pPr>
            <w:r>
              <w:rPr>
                <w:rStyle w:val="9pt"/>
              </w:rPr>
              <w:t>По батькові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Найменування суду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Код тестування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Бал тестування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Код практика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Бал практика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proofErr w:type="spellStart"/>
            <w:r w:rsidRPr="00F87D2A">
              <w:rPr>
                <w:rStyle w:val="75pt0"/>
                <w:sz w:val="16"/>
                <w:szCs w:val="16"/>
              </w:rPr>
              <w:t>Балась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0"/>
                <w:sz w:val="16"/>
                <w:szCs w:val="16"/>
              </w:rPr>
              <w:t>Тетяна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Павлівна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 xml:space="preserve">Окружний </w:t>
            </w:r>
            <w:r w:rsidRPr="00F87D2A">
              <w:rPr>
                <w:rStyle w:val="75pt"/>
                <w:sz w:val="16"/>
                <w:szCs w:val="16"/>
              </w:rPr>
              <w:t>адміністративний суд міста Києва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0019030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84,375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0028932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91,5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F87D2A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0"/>
                <w:sz w:val="16"/>
                <w:szCs w:val="16"/>
              </w:rPr>
              <w:t>Г</w:t>
            </w:r>
            <w:r w:rsidR="0014073B" w:rsidRPr="00F87D2A">
              <w:rPr>
                <w:rStyle w:val="75pt0"/>
                <w:sz w:val="16"/>
                <w:szCs w:val="16"/>
              </w:rPr>
              <w:t>оловань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0"/>
                <w:sz w:val="16"/>
                <w:szCs w:val="16"/>
              </w:rPr>
              <w:t>Оксана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Вікторівна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Окружний адміністративний суд міста Києва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0054129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77,625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0022654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95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Дегтярьова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Світлана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Володимирівна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Кіровоградський окружний адміністративний суд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0051275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78,75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0040225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100,5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9pt"/>
                <w:b w:val="0"/>
                <w:sz w:val="16"/>
                <w:szCs w:val="16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Добрянська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Ярослава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Іванівна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Окружний адміністративний суд міста Києва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0003648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75,375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0051485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92,5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9pt"/>
                <w:b w:val="0"/>
                <w:sz w:val="16"/>
                <w:szCs w:val="16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Донець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Володимир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proofErr w:type="spellStart"/>
            <w:r w:rsidRPr="00F87D2A">
              <w:rPr>
                <w:rStyle w:val="75pt"/>
                <w:sz w:val="16"/>
                <w:szCs w:val="16"/>
              </w:rPr>
              <w:t>Адольфович</w:t>
            </w:r>
            <w:proofErr w:type="spellEnd"/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Окружний адміністративний суд міста Києва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0094787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88,875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0019885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93,5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0"/>
                <w:sz w:val="16"/>
                <w:szCs w:val="16"/>
              </w:rPr>
              <w:t>Костенко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0"/>
                <w:sz w:val="16"/>
                <w:szCs w:val="16"/>
              </w:rPr>
              <w:t>Дмитро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Анатолійович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Окружний адміністративний суд міста Києва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0089862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86,625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0082481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99,5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9pt"/>
                <w:b w:val="0"/>
                <w:sz w:val="16"/>
                <w:szCs w:val="16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0"/>
                <w:sz w:val="16"/>
                <w:szCs w:val="16"/>
              </w:rPr>
              <w:t>Кравчук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0"/>
                <w:sz w:val="16"/>
                <w:szCs w:val="16"/>
              </w:rPr>
              <w:t>Ольга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Володимирівна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Кіровоградський окружний адміністративний суд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0065981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84,375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0076943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102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proofErr w:type="spellStart"/>
            <w:r w:rsidRPr="00F87D2A">
              <w:rPr>
                <w:rStyle w:val="75pt"/>
                <w:sz w:val="16"/>
                <w:szCs w:val="16"/>
              </w:rPr>
              <w:t>Рейті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Сергій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Іванович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Закарпатський окружний адміністративний суд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0055949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86,625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0003076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88,5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8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9pt"/>
                <w:b w:val="0"/>
                <w:sz w:val="16"/>
                <w:szCs w:val="16"/>
              </w:rPr>
              <w:t>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Смолій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Ігор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Володимирович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Окружний адміністративний суд міста Києва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0049125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73,125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0024679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83,5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proofErr w:type="spellStart"/>
            <w:r w:rsidRPr="00F87D2A">
              <w:rPr>
                <w:rStyle w:val="75pt"/>
                <w:sz w:val="16"/>
                <w:szCs w:val="16"/>
              </w:rPr>
              <w:t>Федорчук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Андрій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60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Богданович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ind w:left="40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Окружний адміністративний суд міста Києва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0009614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61,875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0034275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5595" w:wrap="notBeside" w:vAnchor="text" w:hAnchor="text" w:xAlign="center" w:y="1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  <w:r w:rsidRPr="00F87D2A">
              <w:rPr>
                <w:rStyle w:val="75pt"/>
                <w:sz w:val="16"/>
                <w:szCs w:val="16"/>
              </w:rPr>
              <w:t>95,5</w:t>
            </w:r>
          </w:p>
        </w:tc>
      </w:tr>
    </w:tbl>
    <w:p w:rsidR="006547C7" w:rsidRDefault="006547C7">
      <w:pPr>
        <w:rPr>
          <w:sz w:val="2"/>
          <w:szCs w:val="2"/>
        </w:rPr>
      </w:pPr>
    </w:p>
    <w:p w:rsidR="006547C7" w:rsidRDefault="006547C7">
      <w:pPr>
        <w:rPr>
          <w:sz w:val="2"/>
          <w:szCs w:val="2"/>
        </w:rPr>
        <w:sectPr w:rsidR="006547C7" w:rsidSect="00DD0089">
          <w:headerReference w:type="even" r:id="rId13"/>
          <w:headerReference w:type="default" r:id="rId14"/>
          <w:type w:val="continuous"/>
          <w:pgSz w:w="16838" w:h="16834" w:orient="landscape"/>
          <w:pgMar w:top="1134" w:right="530" w:bottom="5438" w:left="530" w:header="0" w:footer="3" w:gutter="0"/>
          <w:cols w:space="720"/>
          <w:noEndnote/>
          <w:titlePg/>
          <w:docGrid w:linePitch="360"/>
        </w:sectPr>
      </w:pPr>
    </w:p>
    <w:p w:rsidR="00F87D2A" w:rsidRPr="00064BD6" w:rsidRDefault="00F87D2A" w:rsidP="00F87D2A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lastRenderedPageBreak/>
        <w:t xml:space="preserve">Додаток </w:t>
      </w:r>
      <w:r>
        <w:rPr>
          <w:b w:val="0"/>
          <w:sz w:val="20"/>
          <w:szCs w:val="20"/>
        </w:rPr>
        <w:t>4</w:t>
      </w:r>
    </w:p>
    <w:p w:rsidR="00F87D2A" w:rsidRPr="00064BD6" w:rsidRDefault="00F87D2A" w:rsidP="00F87D2A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0"/>
          <w:szCs w:val="20"/>
        </w:rPr>
      </w:pPr>
      <w:r w:rsidRPr="00064BD6">
        <w:rPr>
          <w:b w:val="0"/>
          <w:sz w:val="20"/>
          <w:szCs w:val="20"/>
        </w:rPr>
        <w:t>до рішення Вищої кваліфікаційної комісії суддів України</w:t>
      </w:r>
    </w:p>
    <w:p w:rsidR="00F87D2A" w:rsidRPr="002945A5" w:rsidRDefault="00F87D2A" w:rsidP="00F87D2A">
      <w:pPr>
        <w:pStyle w:val="30"/>
        <w:shd w:val="clear" w:color="auto" w:fill="auto"/>
        <w:spacing w:before="0" w:line="240" w:lineRule="auto"/>
        <w:ind w:left="6521" w:right="102"/>
        <w:rPr>
          <w:b w:val="0"/>
          <w:sz w:val="26"/>
          <w:szCs w:val="26"/>
          <w:u w:val="single"/>
        </w:rPr>
      </w:pPr>
      <w:r w:rsidRPr="002945A5">
        <w:rPr>
          <w:b w:val="0"/>
          <w:sz w:val="26"/>
          <w:szCs w:val="26"/>
          <w:u w:val="single"/>
        </w:rPr>
        <w:t>13.05.20</w:t>
      </w:r>
      <w:r>
        <w:rPr>
          <w:b w:val="0"/>
          <w:sz w:val="26"/>
          <w:szCs w:val="26"/>
          <w:u w:val="single"/>
        </w:rPr>
        <w:t>19</w:t>
      </w:r>
      <w:r w:rsidRPr="002945A5">
        <w:rPr>
          <w:b w:val="0"/>
          <w:sz w:val="26"/>
          <w:szCs w:val="26"/>
          <w:u w:val="single"/>
        </w:rPr>
        <w:t xml:space="preserve">  № 77/зп-19</w:t>
      </w:r>
    </w:p>
    <w:p w:rsidR="00F87D2A" w:rsidRDefault="00F87D2A">
      <w:pPr>
        <w:pStyle w:val="40"/>
        <w:shd w:val="clear" w:color="auto" w:fill="auto"/>
        <w:spacing w:line="264" w:lineRule="exact"/>
        <w:ind w:left="260" w:right="260"/>
      </w:pPr>
    </w:p>
    <w:p w:rsidR="006547C7" w:rsidRPr="00F87D2A" w:rsidRDefault="0014073B" w:rsidP="00F87D2A">
      <w:pPr>
        <w:pStyle w:val="40"/>
        <w:shd w:val="clear" w:color="auto" w:fill="auto"/>
        <w:spacing w:line="264" w:lineRule="exact"/>
        <w:ind w:left="260" w:right="260"/>
        <w:jc w:val="center"/>
        <w:rPr>
          <w:sz w:val="20"/>
          <w:szCs w:val="20"/>
        </w:rPr>
      </w:pPr>
      <w:r w:rsidRPr="00F87D2A">
        <w:rPr>
          <w:sz w:val="20"/>
          <w:szCs w:val="20"/>
        </w:rPr>
        <w:t xml:space="preserve">Список суддів допущених до другого етапу кваліфікаційного оцінювання суддів місцевих та апеляційних судів на відповідність займаній посаді </w:t>
      </w:r>
      <w:r w:rsidRPr="00F87D2A">
        <w:rPr>
          <w:sz w:val="20"/>
          <w:szCs w:val="20"/>
        </w:rPr>
        <w:t>«Дослідження досьє та проведення співбесіди», за результат</w:t>
      </w:r>
      <w:r w:rsidR="00F87D2A">
        <w:rPr>
          <w:sz w:val="20"/>
          <w:szCs w:val="20"/>
        </w:rPr>
        <w:t>а</w:t>
      </w:r>
      <w:r w:rsidRPr="00F87D2A">
        <w:rPr>
          <w:sz w:val="20"/>
          <w:szCs w:val="20"/>
        </w:rPr>
        <w:t>ми</w:t>
      </w:r>
    </w:p>
    <w:p w:rsidR="006547C7" w:rsidRDefault="0014073B" w:rsidP="00F87D2A">
      <w:pPr>
        <w:pStyle w:val="40"/>
        <w:shd w:val="clear" w:color="auto" w:fill="auto"/>
        <w:spacing w:after="120" w:line="264" w:lineRule="exact"/>
        <w:jc w:val="center"/>
      </w:pPr>
      <w:r w:rsidRPr="00F87D2A">
        <w:rPr>
          <w:sz w:val="20"/>
          <w:szCs w:val="20"/>
        </w:rPr>
        <w:t>іспиту, складеного 17 квітня 2019 року</w:t>
      </w: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3883"/>
        <w:gridCol w:w="5885"/>
      </w:tblGrid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after="60" w:line="19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95pt"/>
                <w:sz w:val="22"/>
                <w:szCs w:val="22"/>
              </w:rPr>
              <w:t>№</w:t>
            </w:r>
          </w:p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60" w:line="19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95pt"/>
                <w:sz w:val="22"/>
                <w:szCs w:val="22"/>
              </w:rPr>
              <w:t>з/п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jc w:val="center"/>
              <w:rPr>
                <w:sz w:val="22"/>
                <w:szCs w:val="22"/>
              </w:rPr>
            </w:pPr>
            <w:r w:rsidRPr="00F87D2A">
              <w:rPr>
                <w:rStyle w:val="95pt"/>
                <w:sz w:val="22"/>
                <w:szCs w:val="22"/>
              </w:rPr>
              <w:t>Прізвище, ім'я, по батькові судді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jc w:val="center"/>
              <w:rPr>
                <w:sz w:val="22"/>
                <w:szCs w:val="22"/>
              </w:rPr>
            </w:pPr>
            <w:r w:rsidRPr="00F87D2A">
              <w:rPr>
                <w:rStyle w:val="95pt"/>
                <w:sz w:val="22"/>
                <w:szCs w:val="22"/>
              </w:rPr>
              <w:t>Найменування суду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center"/>
              <w:rPr>
                <w:b/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b/>
                <w:sz w:val="22"/>
                <w:szCs w:val="22"/>
              </w:rPr>
            </w:pPr>
            <w:proofErr w:type="spellStart"/>
            <w:r w:rsidRPr="00F87D2A">
              <w:rPr>
                <w:rStyle w:val="95pt"/>
                <w:b w:val="0"/>
                <w:sz w:val="22"/>
                <w:szCs w:val="22"/>
              </w:rPr>
              <w:t>Балась</w:t>
            </w:r>
            <w:proofErr w:type="spellEnd"/>
            <w:r w:rsidRPr="00F87D2A">
              <w:rPr>
                <w:rStyle w:val="95pt"/>
                <w:b w:val="0"/>
                <w:sz w:val="22"/>
                <w:szCs w:val="22"/>
              </w:rPr>
              <w:t xml:space="preserve"> Тетяна Павлівна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b/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Окружний адміністративний суд міста Києва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23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115pt"/>
                <w:sz w:val="22"/>
                <w:szCs w:val="22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Головань Оксана Вікторівна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Окружний адміністративний суд міста Києва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23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115pt"/>
                <w:sz w:val="22"/>
                <w:szCs w:val="22"/>
              </w:rPr>
              <w:t>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Дегтярьова Світлана Володимирівна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Кіровоградський окружний адміністративний суд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23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115pt"/>
                <w:sz w:val="22"/>
                <w:szCs w:val="22"/>
              </w:rPr>
              <w:t>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Добрянська Ярослава Іванівна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Окружний адміністративний суд міста Києва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23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115pt"/>
                <w:sz w:val="22"/>
                <w:szCs w:val="22"/>
              </w:rPr>
              <w:t>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 xml:space="preserve">Донець Володимир </w:t>
            </w:r>
            <w:proofErr w:type="spellStart"/>
            <w:r w:rsidRPr="00F87D2A">
              <w:rPr>
                <w:rStyle w:val="95pt"/>
                <w:b w:val="0"/>
                <w:sz w:val="22"/>
                <w:szCs w:val="22"/>
              </w:rPr>
              <w:t>Адольфович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 xml:space="preserve">Окружний адміністративний </w:t>
            </w:r>
            <w:r w:rsidRPr="00F87D2A">
              <w:rPr>
                <w:rStyle w:val="95pt"/>
                <w:b w:val="0"/>
                <w:sz w:val="22"/>
                <w:szCs w:val="22"/>
              </w:rPr>
              <w:t>суд міста Києва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center"/>
              <w:rPr>
                <w:b/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6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b/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Костенко Дмитро Анатолійович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b/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Окружний адміністративний суд міста Києва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23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115pt"/>
                <w:sz w:val="22"/>
                <w:szCs w:val="22"/>
              </w:rPr>
              <w:t>7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Кравчук Ольга Володимирівна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Кіровоградський окружний адміністративний суд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23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115pt"/>
                <w:sz w:val="22"/>
                <w:szCs w:val="22"/>
              </w:rPr>
              <w:t>8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proofErr w:type="spellStart"/>
            <w:r w:rsidRPr="00F87D2A">
              <w:rPr>
                <w:rStyle w:val="95pt"/>
                <w:b w:val="0"/>
                <w:sz w:val="22"/>
                <w:szCs w:val="22"/>
              </w:rPr>
              <w:t>Рейті</w:t>
            </w:r>
            <w:proofErr w:type="spellEnd"/>
            <w:r w:rsidRPr="00F87D2A">
              <w:rPr>
                <w:rStyle w:val="95pt"/>
                <w:b w:val="0"/>
                <w:sz w:val="22"/>
                <w:szCs w:val="22"/>
              </w:rPr>
              <w:t xml:space="preserve"> Сергій Іванович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Закарпатський окружний адміністративний суд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230" w:lineRule="exact"/>
              <w:ind w:left="240"/>
              <w:jc w:val="center"/>
              <w:rPr>
                <w:sz w:val="22"/>
                <w:szCs w:val="22"/>
              </w:rPr>
            </w:pPr>
            <w:r w:rsidRPr="00F87D2A">
              <w:rPr>
                <w:rStyle w:val="115pt"/>
                <w:sz w:val="22"/>
                <w:szCs w:val="22"/>
              </w:rPr>
              <w:t>9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 xml:space="preserve">Смолій Ігор </w:t>
            </w:r>
            <w:r w:rsidRPr="00F87D2A">
              <w:rPr>
                <w:rStyle w:val="95pt"/>
                <w:b w:val="0"/>
                <w:sz w:val="22"/>
                <w:szCs w:val="22"/>
              </w:rPr>
              <w:t>Володимирович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Окружний адміністративний суд міста Києва</w:t>
            </w:r>
          </w:p>
        </w:tc>
      </w:tr>
      <w:tr w:rsidR="006547C7" w:rsidTr="00F87D2A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center"/>
              <w:rPr>
                <w:b/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b/>
                <w:sz w:val="22"/>
                <w:szCs w:val="22"/>
              </w:rPr>
            </w:pPr>
            <w:proofErr w:type="spellStart"/>
            <w:r w:rsidRPr="00F87D2A">
              <w:rPr>
                <w:rStyle w:val="95pt"/>
                <w:b w:val="0"/>
                <w:sz w:val="22"/>
                <w:szCs w:val="22"/>
              </w:rPr>
              <w:t>Федорчук</w:t>
            </w:r>
            <w:proofErr w:type="spellEnd"/>
            <w:r w:rsidRPr="00F87D2A">
              <w:rPr>
                <w:rStyle w:val="95pt"/>
                <w:b w:val="0"/>
                <w:sz w:val="22"/>
                <w:szCs w:val="22"/>
              </w:rPr>
              <w:t xml:space="preserve"> Андрій Богданович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7C7" w:rsidRPr="00F87D2A" w:rsidRDefault="0014073B" w:rsidP="00F87D2A">
            <w:pPr>
              <w:pStyle w:val="11"/>
              <w:framePr w:w="10339" w:wrap="notBeside" w:vAnchor="text" w:hAnchor="text" w:xAlign="center" w:y="1"/>
              <w:shd w:val="clear" w:color="auto" w:fill="auto"/>
              <w:spacing w:before="0" w:line="190" w:lineRule="exact"/>
              <w:ind w:left="40"/>
              <w:rPr>
                <w:b/>
                <w:sz w:val="22"/>
                <w:szCs w:val="22"/>
              </w:rPr>
            </w:pPr>
            <w:r w:rsidRPr="00F87D2A">
              <w:rPr>
                <w:rStyle w:val="95pt"/>
                <w:b w:val="0"/>
                <w:sz w:val="22"/>
                <w:szCs w:val="22"/>
              </w:rPr>
              <w:t>Окружний адміністративний суд міста Києва</w:t>
            </w:r>
          </w:p>
        </w:tc>
      </w:tr>
    </w:tbl>
    <w:p w:rsidR="006547C7" w:rsidRDefault="006547C7">
      <w:pPr>
        <w:rPr>
          <w:sz w:val="2"/>
          <w:szCs w:val="2"/>
        </w:rPr>
      </w:pPr>
    </w:p>
    <w:p w:rsidR="006547C7" w:rsidRDefault="006547C7">
      <w:pPr>
        <w:rPr>
          <w:sz w:val="2"/>
          <w:szCs w:val="2"/>
        </w:rPr>
      </w:pPr>
    </w:p>
    <w:sectPr w:rsidR="006547C7" w:rsidSect="00F87D2A">
      <w:type w:val="continuous"/>
      <w:pgSz w:w="11909" w:h="16838"/>
      <w:pgMar w:top="1384" w:right="780" w:bottom="4196" w:left="7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73B" w:rsidRDefault="0014073B">
      <w:r>
        <w:separator/>
      </w:r>
    </w:p>
  </w:endnote>
  <w:endnote w:type="continuationSeparator" w:id="0">
    <w:p w:rsidR="0014073B" w:rsidRDefault="0014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73B" w:rsidRDefault="0014073B"/>
  </w:footnote>
  <w:footnote w:type="continuationSeparator" w:id="0">
    <w:p w:rsidR="0014073B" w:rsidRDefault="001407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C7" w:rsidRDefault="001407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7pt;margin-top:34.9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47C7" w:rsidRDefault="001407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C7" w:rsidRDefault="001407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61.2pt;margin-top:34.9pt;width:145.2pt;height:21.3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47C7" w:rsidRDefault="001407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Додаток 1</w:t>
                </w:r>
              </w:p>
              <w:p w:rsidR="006547C7" w:rsidRDefault="001407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до рішення Вищої кваліфікаційної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C7" w:rsidRDefault="006547C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C7" w:rsidRDefault="001407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6.85pt;margin-top:213.25pt;width:170.15pt;height:20.9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47C7" w:rsidRDefault="001407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Додаток 4</w:t>
                </w:r>
              </w:p>
              <w:p w:rsidR="006547C7" w:rsidRDefault="001407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 xml:space="preserve">до рішення Вищої </w:t>
                </w:r>
                <w:r>
                  <w:rPr>
                    <w:rStyle w:val="a7"/>
                  </w:rPr>
                  <w:t>кваліфікаційної комісії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C7" w:rsidRPr="00F87D2A" w:rsidRDefault="006547C7" w:rsidP="00F87D2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B3C"/>
    <w:multiLevelType w:val="multilevel"/>
    <w:tmpl w:val="562C5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47C7"/>
    <w:rsid w:val="00064BD6"/>
    <w:rsid w:val="0014073B"/>
    <w:rsid w:val="001426E7"/>
    <w:rsid w:val="001E2F6B"/>
    <w:rsid w:val="00260B54"/>
    <w:rsid w:val="002746A2"/>
    <w:rsid w:val="0028497B"/>
    <w:rsid w:val="002945A5"/>
    <w:rsid w:val="0039568E"/>
    <w:rsid w:val="004F5585"/>
    <w:rsid w:val="005443A6"/>
    <w:rsid w:val="006118D4"/>
    <w:rsid w:val="006547C7"/>
    <w:rsid w:val="008D271C"/>
    <w:rsid w:val="009E5A99"/>
    <w:rsid w:val="009F224C"/>
    <w:rsid w:val="00B55289"/>
    <w:rsid w:val="00D30BE2"/>
    <w:rsid w:val="00DD0089"/>
    <w:rsid w:val="00E1549B"/>
    <w:rsid w:val="00EF5F43"/>
    <w:rsid w:val="00F849A5"/>
    <w:rsid w:val="00F8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1"/>
      <w:w w:val="100"/>
      <w:position w:val="0"/>
      <w:sz w:val="25"/>
      <w:szCs w:val="25"/>
      <w:u w:val="none"/>
      <w:lang w:val="uk-UA"/>
    </w:rPr>
  </w:style>
  <w:style w:type="character" w:customStyle="1" w:styleId="1ptExact">
    <w:name w:val="Основной текст + Полужирный;Курсив;Интервал 1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1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75pt">
    <w:name w:val="Основной текст + 7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6pt">
    <w:name w:val="Основной текст (4) + 6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5"/>
      <w:szCs w:val="35"/>
      <w:u w:val="none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24">
    <w:name w:val="Заголовок №2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lang w:val="uk-UA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75pt0">
    <w:name w:val="Основной текст + 7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98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600" w:line="0" w:lineRule="atLeast"/>
      <w:jc w:val="right"/>
      <w:outlineLvl w:val="1"/>
    </w:pPr>
    <w:rPr>
      <w:rFonts w:ascii="Times New Roman" w:eastAsia="Times New Roman" w:hAnsi="Times New Roman" w:cs="Times New Roman"/>
      <w:i/>
      <w:iCs/>
      <w:sz w:val="35"/>
      <w:szCs w:val="35"/>
    </w:rPr>
  </w:style>
  <w:style w:type="paragraph" w:styleId="a8">
    <w:name w:val="footer"/>
    <w:basedOn w:val="a"/>
    <w:link w:val="a9"/>
    <w:uiPriority w:val="99"/>
    <w:unhideWhenUsed/>
    <w:rsid w:val="00260B5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0B54"/>
    <w:rPr>
      <w:color w:val="000000"/>
    </w:rPr>
  </w:style>
  <w:style w:type="paragraph" w:styleId="aa">
    <w:name w:val="header"/>
    <w:basedOn w:val="a"/>
    <w:link w:val="ab"/>
    <w:uiPriority w:val="99"/>
    <w:unhideWhenUsed/>
    <w:rsid w:val="00260B5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0B54"/>
    <w:rPr>
      <w:color w:val="000000"/>
    </w:rPr>
  </w:style>
  <w:style w:type="character" w:customStyle="1" w:styleId="3pt">
    <w:name w:val="Основной текст + Интервал 3 pt"/>
    <w:basedOn w:val="a0"/>
    <w:rsid w:val="00260B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185pt">
    <w:name w:val="Основной текст + 18;5 pt;Курсив"/>
    <w:basedOn w:val="a0"/>
    <w:rsid w:val="00260B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7"/>
      <w:szCs w:val="37"/>
      <w:u w:val="singl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5665</Words>
  <Characters>3230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26</cp:revision>
  <dcterms:created xsi:type="dcterms:W3CDTF">2020-09-08T06:14:00Z</dcterms:created>
  <dcterms:modified xsi:type="dcterms:W3CDTF">2020-09-08T07:24:00Z</dcterms:modified>
</cp:coreProperties>
</file>