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A00ADB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28 березня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BA6D11">
      <w:pPr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40D4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40D4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дп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C058F9" w:rsidRPr="00C058F9" w:rsidRDefault="00C058F9" w:rsidP="00912414">
      <w:pPr>
        <w:widowControl w:val="0"/>
        <w:spacing w:after="0" w:line="65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C058F9" w:rsidRPr="00C058F9" w:rsidRDefault="00340737" w:rsidP="00912414">
      <w:pPr>
        <w:widowControl w:val="0"/>
        <w:spacing w:after="0" w:line="658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C058F9" w:rsidRPr="00C058F9">
        <w:rPr>
          <w:rFonts w:ascii="Times New Roman" w:eastAsia="Times New Roman" w:hAnsi="Times New Roman"/>
          <w:color w:val="000000"/>
          <w:sz w:val="27"/>
          <w:szCs w:val="27"/>
        </w:rPr>
        <w:t>Бутенка В.І.,</w:t>
      </w:r>
    </w:p>
    <w:p w:rsidR="00912414" w:rsidRDefault="00912414" w:rsidP="00912414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058F9" w:rsidRPr="00C058F9" w:rsidRDefault="00C058F9" w:rsidP="00912414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членів Комісії: Василенка А.В., Шилової Т.С.,</w:t>
      </w:r>
    </w:p>
    <w:p w:rsidR="00912414" w:rsidRDefault="00912414" w:rsidP="00912414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058F9" w:rsidRPr="00C058F9" w:rsidRDefault="00C058F9" w:rsidP="00912414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недостовірність (у тому числі неповноту) відомостей </w:t>
      </w:r>
      <w:r w:rsidR="0031511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або тверджень, вказаних суддею Святошинського районного суду міста Києва </w:t>
      </w:r>
      <w:proofErr w:type="spellStart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Миколаєць</w:t>
      </w:r>
      <w:proofErr w:type="spellEnd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Іванною Юріївною в декларації доброчесності судді за 2017 рік,</w:t>
      </w:r>
    </w:p>
    <w:p w:rsidR="00912414" w:rsidRDefault="00912414" w:rsidP="00912414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058F9" w:rsidRPr="00C058F9" w:rsidRDefault="00C058F9" w:rsidP="00912414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912414" w:rsidRDefault="00912414" w:rsidP="00912414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058F9" w:rsidRPr="00C058F9" w:rsidRDefault="00C058F9" w:rsidP="00912414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Згідно з частиною першою статті 62 Закону України «Про судоустрій і</w:t>
      </w:r>
      <w:r w:rsidR="0031511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="00110EA5">
        <w:rPr>
          <w:rFonts w:ascii="Times New Roman" w:eastAsia="Times New Roman" w:hAnsi="Times New Roman"/>
          <w:color w:val="000000"/>
          <w:sz w:val="27"/>
          <w:szCs w:val="27"/>
        </w:rPr>
        <w:t xml:space="preserve"> статус суддів» (далі –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Закон) суддя зобов’язаний щорічно до 1 лютого подавати шляхом заповнення 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p w:rsidR="00C058F9" w:rsidRPr="00C058F9" w:rsidRDefault="00C058F9" w:rsidP="00912414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Форму декларації доброчесності судді затверджено рішенням Комісії від</w:t>
      </w:r>
      <w:r w:rsidR="004420D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31 жовтня 2016 року № 137/зп-16.</w:t>
      </w:r>
    </w:p>
    <w:p w:rsidR="00C058F9" w:rsidRPr="00C058F9" w:rsidRDefault="00C058F9" w:rsidP="00C058F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Відповідно до частини шостої статті 62 Закону в разі одержання інформації, що може свідчити про недостовірність (в тому числі неповноту) тверджень судді в декларації доброчесності, Комісія проводить відповідну перевірку.</w:t>
      </w:r>
    </w:p>
    <w:p w:rsidR="00C058F9" w:rsidRPr="00C058F9" w:rsidRDefault="00C058F9" w:rsidP="00C058F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До Комісії від </w:t>
      </w:r>
      <w:proofErr w:type="spellStart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Смалюка</w:t>
      </w:r>
      <w:proofErr w:type="spellEnd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Р.В. надійшло повідомлення про недостовірність тверджень, вказаних суддею Святошинського районного суду міста Києва </w:t>
      </w:r>
      <w:proofErr w:type="spellStart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Миколаєць</w:t>
      </w:r>
      <w:proofErr w:type="spellEnd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І.Ю. у декларації доброчесності судді за 2017 рік. Заявник зазначає, </w:t>
      </w:r>
      <w:r w:rsidR="004420D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що твердження судді в пункті 15 декларації, що «Випадків втручання у мою діяльність по здійсненню правосуддя не було», є недостовірними.</w:t>
      </w:r>
    </w:p>
    <w:p w:rsidR="00C058F9" w:rsidRPr="00C058F9" w:rsidRDefault="00C058F9" w:rsidP="00C058F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На підтвердження своїх доводів заявник посилається на те, що 24 жовтня 2017 року </w:t>
      </w:r>
      <w:proofErr w:type="spellStart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Миколаєць</w:t>
      </w:r>
      <w:proofErr w:type="spellEnd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І.Ю. зверталася до Вищої ради правосуддя та Генерального прокурора України з повідомленням про втручання в її діяльність щодо </w:t>
      </w:r>
      <w:r w:rsidR="004420D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здійснення правосуддя.</w:t>
      </w:r>
    </w:p>
    <w:p w:rsidR="00C058F9" w:rsidRPr="00C058F9" w:rsidRDefault="00C058F9" w:rsidP="00C058F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З огляду на викладені обставини </w:t>
      </w:r>
      <w:proofErr w:type="spellStart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Смалюк</w:t>
      </w:r>
      <w:proofErr w:type="spellEnd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Р.В. вважає, що в діяльність судді </w:t>
      </w:r>
      <w:r w:rsidR="004420D2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зі здійснення правосуддя здійснювалося втручання, про яке вона не повідомила в декларації доброчесності судді за 2017 рік.</w:t>
      </w:r>
    </w:p>
    <w:p w:rsidR="00C058F9" w:rsidRPr="00C058F9" w:rsidRDefault="00C058F9" w:rsidP="00C058F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Відповідно до частини шостої статті 62 Закону проведено перевірку викладених у повідомленні тверджень та встановлено таке.</w:t>
      </w:r>
    </w:p>
    <w:p w:rsidR="004420D2" w:rsidRDefault="004420D2" w:rsidP="00C058F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420D2" w:rsidRDefault="004420D2" w:rsidP="00C058F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058F9" w:rsidRPr="00C058F9" w:rsidRDefault="00C058F9" w:rsidP="00C058F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Частиною другою статті 62 Закону передбачено, що декларація доброчесності судді складається з переліку тверджень, правдивість яких суддя повинен задекларувати шляхом їх підтвердження або не підтвердження.</w:t>
      </w:r>
    </w:p>
    <w:p w:rsidR="00C058F9" w:rsidRPr="00C058F9" w:rsidRDefault="00C058F9" w:rsidP="00C058F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Згідно з пунктом 4 Правил заповнення та подання форми декларації доброчесності судді, затверджених рішенням Комісії від 31 жовтня 2016 року</w:t>
      </w:r>
      <w:r w:rsidR="004420D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№ 134/зп-16 (в редакції рішення Комісії від 24 вересня 2018 року № 205/зп-18) </w:t>
      </w:r>
      <w:r w:rsidR="004420D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у декларації заповнюються відомості, актуальні станом на 31 грудня </w:t>
      </w:r>
      <w:r w:rsidR="004420D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звітного року.</w:t>
      </w:r>
    </w:p>
    <w:p w:rsidR="00C058F9" w:rsidRPr="00C058F9" w:rsidRDefault="00C058F9" w:rsidP="00C058F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Суддею Святошинського районного суду міста Києва </w:t>
      </w:r>
      <w:proofErr w:type="spellStart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Миколаєць</w:t>
      </w:r>
      <w:proofErr w:type="spellEnd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І.Ю.</w:t>
      </w:r>
      <w:r w:rsidR="004420D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23 січня 2018 року подано декларацію доброчесності судді за 2017 рік, з якої вбачається, що у пункті 15 декларації суддя підтвердила, що випадків втручання у її діяльність зі здійснення правосуддя не було.</w:t>
      </w:r>
    </w:p>
    <w:p w:rsidR="00C058F9" w:rsidRPr="00C058F9" w:rsidRDefault="00C058F9" w:rsidP="00C058F9">
      <w:pPr>
        <w:widowControl w:val="0"/>
        <w:tabs>
          <w:tab w:val="left" w:pos="4743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Як вбачається з рішення Вищої ради правосуддя від 24 жовтня 2017 року </w:t>
      </w:r>
      <w:r w:rsidR="004420D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№ 3420/0/15-17, 24 жовтня 2017 року до Вищої ради правосуддя надійшло повідомлення судді </w:t>
      </w:r>
      <w:proofErr w:type="spellStart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Миколаєць</w:t>
      </w:r>
      <w:proofErr w:type="spellEnd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І.Ю. про втручання в її діяльність як судді щодо здійснення правосуддя під час розгляду клопотання про обрання запобіжного заходу стосовно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4420D2">
        <w:rPr>
          <w:rFonts w:ascii="Times New Roman" w:eastAsia="Times New Roman" w:hAnsi="Times New Roman"/>
          <w:color w:val="000000"/>
          <w:sz w:val="27"/>
          <w:szCs w:val="27"/>
        </w:rPr>
        <w:t xml:space="preserve">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, який підозрюється у вчиненні злочину,</w:t>
      </w:r>
    </w:p>
    <w:p w:rsidR="00C058F9" w:rsidRPr="00C058F9" w:rsidRDefault="00C058F9" w:rsidP="00C058F9">
      <w:pPr>
        <w:widowControl w:val="0"/>
        <w:spacing w:after="0" w:line="322" w:lineRule="exact"/>
        <w:ind w:left="20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передбаченого частиною четвертою статті 296 Кримінального кодексу України.</w:t>
      </w:r>
    </w:p>
    <w:p w:rsidR="00C058F9" w:rsidRPr="00C058F9" w:rsidRDefault="00C058F9" w:rsidP="00C058F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За результатами перевірки повідомлення судді Вища рада правосуддя</w:t>
      </w:r>
      <w:r w:rsidR="003D23E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дійшла висновку, що встановлені обставини свідчать про порушенням гарантій незалежності судді під час здійснення правосуддя.</w:t>
      </w:r>
    </w:p>
    <w:p w:rsidR="00C058F9" w:rsidRPr="00C058F9" w:rsidRDefault="00C058F9" w:rsidP="00C058F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З огляду на встановлене, рішенням Вищої ради правосуддя від 24 жовтня 2017 року вирішено:</w:t>
      </w:r>
    </w:p>
    <w:p w:rsidR="00C058F9" w:rsidRPr="00C058F9" w:rsidRDefault="00C058F9" w:rsidP="00C058F9">
      <w:pPr>
        <w:widowControl w:val="0"/>
        <w:numPr>
          <w:ilvl w:val="0"/>
          <w:numId w:val="7"/>
        </w:numPr>
        <w:tabs>
          <w:tab w:val="left" w:pos="1042"/>
          <w:tab w:val="left" w:pos="9058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звернутися до Генеральної прокуратури України та Національної поліції України стосовно виявлення та притягнення до відповідальності осіб, якими вчинено дії, що порушують гарантії незалежності суддів під час здійснення правосуддя, у зв’язку з фактичними обставинами, зазначеними у повідомленні суд</w:t>
      </w:r>
      <w:r w:rsidR="003D23E3">
        <w:rPr>
          <w:rFonts w:ascii="Times New Roman" w:eastAsia="Times New Roman" w:hAnsi="Times New Roman"/>
          <w:color w:val="000000"/>
          <w:sz w:val="27"/>
          <w:szCs w:val="27"/>
        </w:rPr>
        <w:t xml:space="preserve">ді </w:t>
      </w:r>
      <w:proofErr w:type="spellStart"/>
      <w:r w:rsidR="003D23E3">
        <w:rPr>
          <w:rFonts w:ascii="Times New Roman" w:eastAsia="Times New Roman" w:hAnsi="Times New Roman"/>
          <w:color w:val="000000"/>
          <w:sz w:val="27"/>
          <w:szCs w:val="27"/>
        </w:rPr>
        <w:t>Миколаєць</w:t>
      </w:r>
      <w:proofErr w:type="spellEnd"/>
      <w:r w:rsidR="003D23E3">
        <w:rPr>
          <w:rFonts w:ascii="Times New Roman" w:eastAsia="Times New Roman" w:hAnsi="Times New Roman"/>
          <w:color w:val="000000"/>
          <w:sz w:val="27"/>
          <w:szCs w:val="27"/>
        </w:rPr>
        <w:t xml:space="preserve"> І.Ю. щодо подій 23–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24 жовтня 2017 року під час розгляду клопотання про обрання запобіжного заходу стосовно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ab/>
        <w:t>;</w:t>
      </w:r>
    </w:p>
    <w:p w:rsidR="00C058F9" w:rsidRPr="00C058F9" w:rsidRDefault="00C058F9" w:rsidP="00C058F9">
      <w:pPr>
        <w:widowControl w:val="0"/>
        <w:numPr>
          <w:ilvl w:val="0"/>
          <w:numId w:val="7"/>
        </w:numPr>
        <w:tabs>
          <w:tab w:val="left" w:pos="1143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звернутися до Верховної Ради України щодо оцінки дій народних депутатів України, яких стосується повідомлення судді Святошинського </w:t>
      </w:r>
      <w:r w:rsidR="003D23E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районного суду міста Києва </w:t>
      </w:r>
      <w:proofErr w:type="spellStart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Миколаєць</w:t>
      </w:r>
      <w:proofErr w:type="spellEnd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І.Ю.</w:t>
      </w:r>
    </w:p>
    <w:p w:rsidR="00C058F9" w:rsidRPr="00C058F9" w:rsidRDefault="00C058F9" w:rsidP="00C058F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Стосовно вказаних обставин суддя надала письмові пояснення, у яких зазначила, що під час заповнення декларації доброчесності судді за 2017 рік допустила помилку, яку неможливо було виправити шляхом усунення, як це передбачено декларацією про майновий стан.</w:t>
      </w:r>
    </w:p>
    <w:p w:rsidR="00C058F9" w:rsidRPr="00C058F9" w:rsidRDefault="00C058F9" w:rsidP="00C058F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Водночас у своїх поясненнях суддя визнала, що таке твердження в</w:t>
      </w:r>
      <w:r w:rsidR="003D23E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декларації доброчесності за 2017 рік нею зазначено помилково без будь-якого наміру приховувати таку інформацію, оскільки факт втручання в її діяльність</w:t>
      </w:r>
      <w:r w:rsidR="003D23E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щодо здійснення правосуддя є загальновідомим, а протипр</w:t>
      </w:r>
      <w:r w:rsidR="003D23E3">
        <w:rPr>
          <w:rFonts w:ascii="Times New Roman" w:eastAsia="Times New Roman" w:hAnsi="Times New Roman"/>
          <w:color w:val="000000"/>
          <w:sz w:val="27"/>
          <w:szCs w:val="27"/>
        </w:rPr>
        <w:t>авні дії осіб, що мали місце 23–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24 жовтня 2017 року були висвітлені засобами масової інформації.</w:t>
      </w:r>
    </w:p>
    <w:p w:rsidR="003D23E3" w:rsidRDefault="00C058F9" w:rsidP="00C058F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Оцінивши у сукупності викладені обставини, проаналізувавши декларацію доброчесності судді </w:t>
      </w:r>
      <w:proofErr w:type="spellStart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Миколаєць</w:t>
      </w:r>
      <w:proofErr w:type="spellEnd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І.Ю. за 2017 рік та її письмові пояснення, Комісія вважає, що вказані обставини можуть свідчити про вчинення суддею дій, передбачених</w:t>
      </w:r>
      <w:r w:rsidR="003D23E3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</w:t>
      </w:r>
      <w:r w:rsidR="003D23E3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19 частини першої статті 106 Закону, а</w:t>
      </w:r>
      <w:r w:rsidR="003D23E3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саме </w:t>
      </w:r>
      <w:r w:rsidR="003D23E3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декларування</w:t>
      </w:r>
      <w:r w:rsidRPr="00C058F9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3D23E3" w:rsidRDefault="003D23E3" w:rsidP="003D23E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C058F9" w:rsidRPr="00C058F9" w:rsidRDefault="00C058F9" w:rsidP="003D23E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завідомо недостовірних (у тому числі неповних) тверджень в декларації доброчесності судді за 2017 рік.</w:t>
      </w:r>
    </w:p>
    <w:p w:rsidR="00C058F9" w:rsidRPr="00C058F9" w:rsidRDefault="00C058F9" w:rsidP="00C058F9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сьомою статті 62 Закону визначено, що неподання, несвоєчасне подання декларації доброчесності суддею або декларування в ній завідомо недостовірних (у тому числі неповних) тверджень мають наслідком </w:t>
      </w:r>
      <w:r w:rsidR="006833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дисциплінарну відповідальність, встановлену цим Законом.</w:t>
      </w:r>
    </w:p>
    <w:p w:rsidR="00C058F9" w:rsidRPr="00C058F9" w:rsidRDefault="00C058F9" w:rsidP="00C058F9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Згідно з пунктом 19 частини першої статті 106 Закону декларування</w:t>
      </w:r>
      <w:r w:rsidR="006833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завідомо недостовірних (у тому числі неповних) тверджень у декларації доброчесності судді є підставою для притягнення до дисциплінарної відповідальності в порядку дисциплінарного провадження.</w:t>
      </w:r>
    </w:p>
    <w:p w:rsidR="00C058F9" w:rsidRPr="00C058F9" w:rsidRDefault="00C058F9" w:rsidP="00C058F9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З урахуванням викладеного, Комісія дійшла висновку про направлення до Вищої ради правосуддя відповідної інформації щодо викладених обставин для вирішення питання про відкриття дисциплінарної справи стосовно судді</w:t>
      </w:r>
      <w:r w:rsidR="00683344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Миколаєць</w:t>
      </w:r>
      <w:proofErr w:type="spellEnd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І.Ю. чи відмову в її відкритті.</w:t>
      </w:r>
    </w:p>
    <w:p w:rsidR="00C058F9" w:rsidRPr="00C058F9" w:rsidRDefault="00C058F9" w:rsidP="00C058F9">
      <w:pPr>
        <w:widowControl w:val="0"/>
        <w:spacing w:after="341" w:line="322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Керуючись статтями 62, 93, 101 Закону, розділом VI Регламенту Вища кваліфікаційна комісія суддів України, Комісія</w:t>
      </w:r>
    </w:p>
    <w:p w:rsidR="00C058F9" w:rsidRPr="00C058F9" w:rsidRDefault="00C058F9" w:rsidP="00C058F9">
      <w:pPr>
        <w:widowControl w:val="0"/>
        <w:spacing w:after="32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C058F9" w:rsidRPr="00C058F9" w:rsidRDefault="00C058F9" w:rsidP="00C058F9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визнати підтвердженою інформацію про недостовірність (у тому числі неповноту) тверджень, вказаних суддею Святошинського районного суду міста Києва </w:t>
      </w:r>
      <w:proofErr w:type="spellStart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>Миколаєць</w:t>
      </w:r>
      <w:proofErr w:type="spellEnd"/>
      <w:r w:rsidRPr="00C058F9">
        <w:rPr>
          <w:rFonts w:ascii="Times New Roman" w:eastAsia="Times New Roman" w:hAnsi="Times New Roman"/>
          <w:color w:val="000000"/>
          <w:sz w:val="27"/>
          <w:szCs w:val="27"/>
        </w:rPr>
        <w:t xml:space="preserve"> Іванною Юріївною в декларації доброчесності судді за 2017 рік.</w:t>
      </w:r>
    </w:p>
    <w:p w:rsidR="00EA6FB9" w:rsidRPr="00583B6B" w:rsidRDefault="00683344" w:rsidP="00583B6B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r w:rsidR="00C058F9" w:rsidRPr="00C058F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Звернутися до Вищої ради правосуддя для вирішення питання про відкриття дисциплінарної справи чи відмову в її відкритті стосовно судді Святошинського районного суду міста Києва </w:t>
      </w:r>
      <w:proofErr w:type="spellStart"/>
      <w:r w:rsidR="00C058F9" w:rsidRPr="00C058F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Миколаєць</w:t>
      </w:r>
      <w:proofErr w:type="spellEnd"/>
      <w:r w:rsidR="00C058F9" w:rsidRPr="00C058F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Іванни Юріївни</w:t>
      </w:r>
      <w:r w:rsidR="00C058F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583B6B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086D5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583B6B" w:rsidRPr="00583B6B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BB5D40" w:rsidRPr="00583B6B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583B6B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086D50">
        <w:rPr>
          <w:rFonts w:ascii="Times New Roman" w:eastAsia="Times New Roman" w:hAnsi="Times New Roman"/>
          <w:sz w:val="27"/>
          <w:szCs w:val="27"/>
          <w:lang w:eastAsia="uk-UA"/>
        </w:rPr>
        <w:tab/>
      </w:r>
      <w:bookmarkStart w:id="0" w:name="_GoBack"/>
      <w:bookmarkEnd w:id="0"/>
      <w:r w:rsidR="00583B6B" w:rsidRPr="00583B6B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EA5BCD" w:rsidRPr="00583B6B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583B6B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</w:t>
      </w:r>
      <w:r w:rsidR="00583B6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</w:t>
      </w:r>
      <w:r w:rsidR="00086D5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583B6B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sectPr w:rsidR="00183091" w:rsidRPr="00583B6B" w:rsidSect="0031511E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50D" w:rsidRDefault="0090150D" w:rsidP="002F156E">
      <w:pPr>
        <w:spacing w:after="0" w:line="240" w:lineRule="auto"/>
      </w:pPr>
      <w:r>
        <w:separator/>
      </w:r>
    </w:p>
  </w:endnote>
  <w:endnote w:type="continuationSeparator" w:id="0">
    <w:p w:rsidR="0090150D" w:rsidRDefault="0090150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50D" w:rsidRDefault="0090150D" w:rsidP="002F156E">
      <w:pPr>
        <w:spacing w:after="0" w:line="240" w:lineRule="auto"/>
      </w:pPr>
      <w:r>
        <w:separator/>
      </w:r>
    </w:p>
  </w:footnote>
  <w:footnote w:type="continuationSeparator" w:id="0">
    <w:p w:rsidR="0090150D" w:rsidRDefault="0090150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F2433" w:rsidRPr="00BA6D11" w:rsidRDefault="00CF2433">
        <w:pPr>
          <w:pStyle w:val="a4"/>
          <w:jc w:val="center"/>
          <w:rPr>
            <w:rFonts w:ascii="Times New Roman" w:hAnsi="Times New Roman"/>
          </w:rPr>
        </w:pPr>
        <w:r w:rsidRPr="00BA6D11">
          <w:rPr>
            <w:rFonts w:ascii="Times New Roman" w:hAnsi="Times New Roman"/>
          </w:rPr>
          <w:fldChar w:fldCharType="begin"/>
        </w:r>
        <w:r w:rsidRPr="00BA6D11">
          <w:rPr>
            <w:rFonts w:ascii="Times New Roman" w:hAnsi="Times New Roman"/>
          </w:rPr>
          <w:instrText>PAGE   \* MERGEFORMAT</w:instrText>
        </w:r>
        <w:r w:rsidRPr="00BA6D11">
          <w:rPr>
            <w:rFonts w:ascii="Times New Roman" w:hAnsi="Times New Roman"/>
          </w:rPr>
          <w:fldChar w:fldCharType="separate"/>
        </w:r>
        <w:r w:rsidR="00086D50">
          <w:rPr>
            <w:rFonts w:ascii="Times New Roman" w:hAnsi="Times New Roman"/>
            <w:noProof/>
          </w:rPr>
          <w:t>3</w:t>
        </w:r>
        <w:r w:rsidRPr="00BA6D11">
          <w:rPr>
            <w:rFonts w:ascii="Times New Roman" w:hAnsi="Times New Roman"/>
          </w:rP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A37113"/>
    <w:multiLevelType w:val="multilevel"/>
    <w:tmpl w:val="5978D7C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6D50"/>
    <w:rsid w:val="000A2E27"/>
    <w:rsid w:val="000B0876"/>
    <w:rsid w:val="000E62AF"/>
    <w:rsid w:val="000F4C37"/>
    <w:rsid w:val="00101E99"/>
    <w:rsid w:val="00106B7B"/>
    <w:rsid w:val="00106FDD"/>
    <w:rsid w:val="00107295"/>
    <w:rsid w:val="00110EA5"/>
    <w:rsid w:val="001223BD"/>
    <w:rsid w:val="00126C97"/>
    <w:rsid w:val="00132725"/>
    <w:rsid w:val="001372F9"/>
    <w:rsid w:val="00140D4B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1511E"/>
    <w:rsid w:val="00336170"/>
    <w:rsid w:val="00340737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D23E3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420D2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83B6B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8334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0150D"/>
    <w:rsid w:val="00912414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0ADB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A6D11"/>
    <w:rsid w:val="00BB5D40"/>
    <w:rsid w:val="00BE240F"/>
    <w:rsid w:val="00BE46F8"/>
    <w:rsid w:val="00BE767E"/>
    <w:rsid w:val="00C018B6"/>
    <w:rsid w:val="00C058F9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A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6D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A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6D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4617</Words>
  <Characters>2632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282</cp:revision>
  <dcterms:created xsi:type="dcterms:W3CDTF">2020-08-21T08:05:00Z</dcterms:created>
  <dcterms:modified xsi:type="dcterms:W3CDTF">2020-10-26T08:05:00Z</dcterms:modified>
</cp:coreProperties>
</file>