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6854B8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28 березня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4B105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33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4B105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дп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9053DC" w:rsidRPr="009053DC" w:rsidRDefault="009053DC" w:rsidP="00C14961">
      <w:pPr>
        <w:widowControl w:val="0"/>
        <w:spacing w:after="0" w:line="614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</w:t>
      </w:r>
      <w:r w:rsidR="005F581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ів України у складі колегії:</w:t>
      </w:r>
    </w:p>
    <w:p w:rsidR="009053DC" w:rsidRPr="009053DC" w:rsidRDefault="007A0B26" w:rsidP="00C14961">
      <w:pPr>
        <w:widowControl w:val="0"/>
        <w:spacing w:after="0" w:line="614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головуючого</w:t>
      </w:r>
      <w:r w:rsidRPr="00E831C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–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</w:t>
      </w:r>
      <w:r w:rsidR="009053DC"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 М.І.,</w:t>
      </w:r>
    </w:p>
    <w:p w:rsidR="009053DC" w:rsidRPr="009053DC" w:rsidRDefault="009053DC" w:rsidP="00C14961">
      <w:pPr>
        <w:widowControl w:val="0"/>
        <w:spacing w:after="0" w:line="614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членів Комісії: Козлова А.Г., Лукаша Т.В.,</w:t>
      </w:r>
    </w:p>
    <w:p w:rsidR="001E13D2" w:rsidRDefault="001E13D2" w:rsidP="00C14961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053DC" w:rsidRPr="009053DC" w:rsidRDefault="009053DC" w:rsidP="00C14961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питання щодо недостовірності (у тому числі неповноти) тверджень,</w:t>
      </w:r>
      <w:r w:rsidR="00B80EC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указаних суддею Вишгородського районного суду Київської області </w:t>
      </w:r>
      <w:proofErr w:type="spellStart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Рудюком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Олексієм Дмитровичем у деклараціях доброчесності судді за 2016, 2017 роки,</w:t>
      </w:r>
    </w:p>
    <w:p w:rsidR="00C14961" w:rsidRDefault="00C14961" w:rsidP="00C14961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053DC" w:rsidRPr="009053DC" w:rsidRDefault="009053DC" w:rsidP="00C14961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C14961" w:rsidRDefault="00C14961" w:rsidP="00C14961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053DC" w:rsidRPr="009053DC" w:rsidRDefault="009053DC" w:rsidP="000C7654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першої статті 62 Закону України «Про судо</w:t>
      </w:r>
      <w:r w:rsidR="000C765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устрій і статус суддів» (далі –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Закон) суддя зобов’язаний щорічно до 1 лютого подавати</w:t>
      </w:r>
      <w:r w:rsidR="000C4CD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шляхом заповнення на офіційному веб-сайті Вищої кваліфікаційної комісії суддів</w:t>
      </w:r>
      <w:r w:rsidR="000C765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України декларацію доброчесності судді за формою, що визначається Комісією.</w:t>
      </w:r>
    </w:p>
    <w:p w:rsidR="009053DC" w:rsidRPr="009053DC" w:rsidRDefault="009053DC" w:rsidP="00C14961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Форму декларації доброчесності судді затверджено рішенням Комісії </w:t>
      </w:r>
      <w:r w:rsidR="000C765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 31 жовтня 2016 року № 137/зп-16.</w:t>
      </w:r>
    </w:p>
    <w:p w:rsidR="009053DC" w:rsidRPr="009053DC" w:rsidRDefault="009053DC" w:rsidP="009053DC">
      <w:pPr>
        <w:widowControl w:val="0"/>
        <w:spacing w:after="0" w:line="307" w:lineRule="exact"/>
        <w:ind w:left="6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Частиною шостою статті 62 Закону передбачено, що в разі одержання інформації, що може свідчити про недостовірність (в тому числі неповноту) тверджень судді у декларації доброчесності, Вища кваліфікаційна комісія суддів України проводить відповідну перевірку.</w:t>
      </w:r>
    </w:p>
    <w:p w:rsidR="009053DC" w:rsidRPr="009053DC" w:rsidRDefault="000C7654" w:rsidP="009053DC">
      <w:pPr>
        <w:widowControl w:val="0"/>
        <w:spacing w:after="0" w:line="307" w:lineRule="exact"/>
        <w:ind w:left="6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 Комісії 19 квітня та 30</w:t>
      </w:r>
      <w:r w:rsidR="009053DC"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липня 2018 року від </w:t>
      </w:r>
      <w:proofErr w:type="spellStart"/>
      <w:r w:rsidR="009053DC"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Маселка</w:t>
      </w:r>
      <w:proofErr w:type="spellEnd"/>
      <w:r w:rsidR="009053DC"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Р.А. надійшли заяви щодо проведення перевірки декларацій доброчесності судді Вишгородського районного суду Київської області </w:t>
      </w:r>
      <w:proofErr w:type="spellStart"/>
      <w:r w:rsidR="009053DC"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Рудюка</w:t>
      </w:r>
      <w:proofErr w:type="spellEnd"/>
      <w:r w:rsidR="009053DC"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О.Д. за 2016 та 2017 роки.</w:t>
      </w:r>
    </w:p>
    <w:p w:rsidR="009053DC" w:rsidRPr="009053DC" w:rsidRDefault="009053DC" w:rsidP="009053DC">
      <w:pPr>
        <w:widowControl w:val="0"/>
        <w:spacing w:after="0" w:line="307" w:lineRule="exact"/>
        <w:ind w:left="6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заявах, зокрема, зазначено, що твердження судді в пункті 17 декларації доброчесності про те, що він не ухвалюва</w:t>
      </w:r>
      <w:r w:rsidR="000C765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 рішень, передбачених статтею 3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Закону України «Про відновлення довіри до судової влади в Україні», є недостовірним.</w:t>
      </w:r>
    </w:p>
    <w:p w:rsidR="00E831CF" w:rsidRDefault="009053DC" w:rsidP="00E831CF">
      <w:pPr>
        <w:widowControl w:val="0"/>
        <w:spacing w:after="0" w:line="307" w:lineRule="exact"/>
        <w:ind w:left="6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Підтверджуючи свої доводи, заявник посилається на прийняття суддею </w:t>
      </w:r>
      <w:proofErr w:type="spellStart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Рудюком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О.Д. постанов від 17 січня 2014 року у справі № 363/60/14-п та</w:t>
      </w:r>
      <w:r w:rsidR="000C765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№ 363/58/14-п, згідно з якими притягнуто осіб до адміністративної відповідальності у виді позбавлення права керування всіма транспортними засобами. Надалі постановами Вишгородського районного суду від 28 лютого </w:t>
      </w:r>
      <w:r w:rsidR="000C765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2014 року осіб було звільнено від адміністративної відповідальності на підставі Закону</w:t>
      </w:r>
      <w:r w:rsidR="000C765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України </w:t>
      </w:r>
      <w:r w:rsidR="000C765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«Про </w:t>
      </w:r>
      <w:r w:rsidR="000C765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недопущення</w:t>
      </w:r>
      <w:r w:rsidR="000C765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переслідування та покарання</w:t>
      </w:r>
      <w:r w:rsidR="000C765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осіб </w:t>
      </w:r>
      <w:r w:rsidR="000C765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 приводу </w:t>
      </w:r>
      <w:r w:rsidR="00E831C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</w:p>
    <w:p w:rsidR="009053DC" w:rsidRPr="009053DC" w:rsidRDefault="009053DC" w:rsidP="000C7654">
      <w:pPr>
        <w:widowControl w:val="0"/>
        <w:spacing w:after="0" w:line="307" w:lineRule="exact"/>
        <w:ind w:left="6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подій, які мали місце під час проведення мирних зібрань, та визнання такими, що втратили чинність, деяких законів України»</w:t>
      </w:r>
      <w:r w:rsidR="005002A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від 21 лютого 2014 року № 743-</w:t>
      </w:r>
      <w:r w:rsidR="005002A1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V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ІІ.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Обставини цих справ, на думку </w:t>
      </w:r>
      <w:proofErr w:type="spellStart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Маселка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Р.А., підпадають під визначення, наведене в пункті 4 частини першої статті 3 Закону України «Про відновлення довіри до судової влади в Україні», а тому дають підстави стверджувати, що відомості, зазначені суддею в пункті 17 декларації, не відповідають дійсності.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Заявник також зазначає, що в пункті 19 декларації доброчесності суддею підтверджено: «До мене не застосовуються заборони, передбачені Законом «Про очищення влади».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Указане дає підстави вважати, на думку </w:t>
      </w:r>
      <w:proofErr w:type="spellStart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Маселка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Р.А., що суддею були повідомлені недостовірні відомості в пункті 19 декларації доброчесності </w:t>
      </w:r>
      <w:r w:rsidR="00D737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2016 рік, </w:t>
      </w:r>
      <w:r w:rsidR="009232E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обґрунтовуючи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тим, що суддею винесено вказані вище постанови, якими осіб було притягнуто до адміністративно відповідальності, а потім</w:t>
      </w:r>
      <w:r w:rsidR="00D737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звільнено від відповідальності на підставі Закону України «Про недопущення переслідування та покарання осіб з приводу подій, які мали місце під час проведення мирних зібрань, та визнання такими, що втратили чинність, деяких законів України» від 21 лютого 2014 року № 743-</w:t>
      </w:r>
      <w:r w:rsidR="00D73716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V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ІІ», тому суддя підпадає під дію закону «Про очищення влади».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Також </w:t>
      </w:r>
      <w:proofErr w:type="spellStart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Маселко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Р.А. звертає увагу, що в пункті 12 декларації доброчесності суддею підтверджено наступне: «Мною сумлінно виконувалися професійні обов’язки».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частини третьої статті 3 Закону України «Про доступ до судових рішень» суд загальної юрисдикції вносить до реєстру всі судові рішення і окремі думки суддів, викладені у письмовій формі, не пізніше наступного дня </w:t>
      </w:r>
      <w:r w:rsidR="00D73716" w:rsidRPr="00D737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після їх ухвалення або виготовлення повного тексту. Відповідно до пункту 14 Перехідних положень Закону України «Про забезпечення права на справедливий суд» Державна судова адміністрація України у шестимісячний строк з дня набрання чинності цим Законом забезпечити внесення до Єдиного державного реєстру судових рішень тих судових рішень, які не були внесені до Єдиного державного реєстру судових рішень, починаючи з 01 січня 2010 року.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Державна судова адміністрація України надіслала на адреси апеляційних та місцевих судів листи від 25.05.15 № 15-9839/15, від 16.06.15 № 15-11277/15, </w:t>
      </w:r>
      <w:r w:rsidR="00EB0A59" w:rsidRPr="00EB0A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 10.11.15 № 17704/15, від 16.09.16 № 15-6668/16 з роз’ясненнями щодо обов'язкового надсилання електронних копій судових рішень до реєстру на виконання Перехідних положень.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Незважаючи на вимоги законодавства, нагадування Державної судової адміністрації України і те, що з моменту винесення вказаних вище постанов минуло понад 4 роки, вони до сих пір відсутні в Єдиному державному реєстрі судових рішень. Окрім того, цей факт допоміг судді уникнути </w:t>
      </w:r>
      <w:proofErr w:type="spellStart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люстрацїї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 що свідчить про неналежне виконання професійних обов’язків судді.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Указане, на думку </w:t>
      </w:r>
      <w:proofErr w:type="spellStart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Маселка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Р.А., дає підстави стверджувати, що суддею </w:t>
      </w:r>
      <w:proofErr w:type="spellStart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Рудюком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О.Д. були повідомлені недостовірні відомості в пункті 12 декларації доброчесності за 2016, 2017 роки.</w:t>
      </w:r>
    </w:p>
    <w:p w:rsidR="009232E6" w:rsidRDefault="009053DC" w:rsidP="009232E6">
      <w:pPr>
        <w:widowControl w:val="0"/>
        <w:spacing w:after="0" w:line="307" w:lineRule="exact"/>
        <w:ind w:left="40" w:right="40" w:firstLine="72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Членом Комісії Козловим А.Г. проведено перевірку викладених у</w:t>
      </w:r>
      <w:r w:rsidR="001B5323" w:rsidRPr="001B532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зверненнях </w:t>
      </w:r>
      <w:proofErr w:type="spellStart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Маселка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Р.А. обставин, проаналізовано декларації доброчесності судді за </w:t>
      </w:r>
      <w:r w:rsidR="001B5323" w:rsidRPr="001B5323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2016,</w:t>
      </w:r>
      <w:r w:rsidR="001B5323" w:rsidRPr="001B5323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2017</w:t>
      </w:r>
      <w:r w:rsidR="001B5323" w:rsidRPr="001B5323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1B5323" w:rsidRPr="001B5323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роки, </w:t>
      </w:r>
      <w:r w:rsidR="001B5323" w:rsidRPr="001B5323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копії </w:t>
      </w:r>
      <w:r w:rsidR="001B5323" w:rsidRPr="001B5323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судових </w:t>
      </w:r>
      <w:r w:rsidR="001B5323" w:rsidRPr="001B5323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рішень </w:t>
      </w:r>
      <w:r w:rsidR="001B5323" w:rsidRPr="001B5323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 </w:t>
      </w:r>
      <w:r w:rsidR="001B5323" w:rsidRPr="001B5323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справах </w:t>
      </w:r>
      <w:r w:rsidR="001B5323" w:rsidRPr="001B5323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про</w:t>
      </w:r>
      <w:r w:rsidR="001B5323" w:rsidRPr="001B5323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адміністративні</w:t>
      </w:r>
      <w:r w:rsidRPr="009053DC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9232E6">
        <w:rPr>
          <w:rFonts w:ascii="Times New Roman" w:eastAsia="Times New Roman" w:hAnsi="Times New Roman"/>
          <w:sz w:val="27"/>
          <w:szCs w:val="27"/>
          <w:lang w:eastAsia="uk-UA"/>
        </w:rPr>
        <w:br w:type="page"/>
      </w:r>
    </w:p>
    <w:p w:rsidR="009053DC" w:rsidRPr="009053DC" w:rsidRDefault="009053DC" w:rsidP="001B5323">
      <w:pPr>
        <w:widowControl w:val="0"/>
        <w:spacing w:after="0" w:line="307" w:lineRule="exact"/>
        <w:ind w:left="40" w:right="4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правопорушення, надісланих на запит Комісії, ухвалу Другої Дисциплінарної палати Вищої ради правосуддя від 04 квітня 2017 року № 718/2дп/15-17, письмові пояснення судді.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6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підсумками розгляду матеріалів перевірки декларацій доброчесності </w:t>
      </w:r>
      <w:r w:rsidR="0097586F" w:rsidRPr="0097586F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          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судді </w:t>
      </w:r>
      <w:proofErr w:type="spellStart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Рудюка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О.Д. Комісією встановлено таке.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6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Правил заповнення та подання форми декларації доброчесності судді, затверджених рішенням Комісії 31 жовтня 2016 року </w:t>
      </w:r>
      <w:r w:rsidR="0097586F" w:rsidRPr="0097586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№ 137/зп-16, у декларації доброчесності заповнюються відомості, актуальні </w:t>
      </w:r>
      <w:r w:rsidR="0097586F" w:rsidRPr="0097586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станом на 31 грудня звітного року. У разі заповнення декларації вперше у ній зазначаються твердження щодо обставин, які мали місце упродовж усього життя особи, яка її заповнює.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6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встановленому законом порядку суддя Вишгородського район</w:t>
      </w:r>
      <w:r w:rsidR="0097586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ного суду Київської області Рудюк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О.Д. 16 січня 2017 року вперше подав декларацію доброчесності судді за 2016 рік та 15 січня 2018 року декларацію доброчесності судді за 2017 рік. У пункті 17 декларацій суддя підтвердив, що не ухвалював одноособово або у складі колегії рішень, передбачених статтею 3 Закону України «Про відновлення довіри до судової влади в Україні».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6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 огляду на положення пункту 4 частини першої статті 3 Закону України «Про відновлення довіри до судової влади в Україні» до таких рішень, зокрема, належать рішення про накладення адміністративних стягнень на осіб, які були учасниками масових акцій протесту в період з 21 листопада 2013 року до дня набрання чинності цим законом, у вигляді позбавлення права керування транспортними засобами на підставі статті 122-2 Кодексу України про адміністративні правопорушення за невиконання водіями вимог працівника міліції про зупинку транспортного засобу та про залишення зазначених рішень без змін судом апеляційної інстанції в період з 21 листопада 2013 року до дня набрання чинності цим законом (тобто до 11 квітня 2014 року).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6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Суддею Вишгородського районного суду Київської області </w:t>
      </w:r>
      <w:proofErr w:type="spellStart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Рудюком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О.Д. було ухвалено постанови від 17 січня 2014 року у справі № 363/58/14-п</w:t>
      </w:r>
      <w:r w:rsidR="0097586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№ 363/60/14-п щодо осіб, яких було визнано винними у скоєнні адміністративного правопорушення, передбаченого статтею 122-2 КУпАП, та накладено стягнення у виді позбавлення права керування транспортними засобами на певний строк.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6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Постановою від 28 лютого 2014 року (справа № 363/58/14-п) звільнено Особу_1 від адміністративної відповідальності за статтею 122-2 КУпАП</w:t>
      </w:r>
      <w:r w:rsidR="0097586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відповідно до статті 4 Закону України «Про недопущення переслідування та покарання осіб з приводу подій, які мали місце під час проведення мирних зібрань, та визнання такими, що втратили чинність деяких законів України».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6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Постановою апеляційного суду Київської області від 13 лютого 2014 року частково задоволено апеляційну скаргу Особи_1, постанову Вишгородського районного суду Київської області від 17 січня у справі 363/60/14-п змінено в частині пом’якшення накладеного на нього стягнення у вигляді позбавлення права керування транспортними засобами на строк 3 місяці.</w:t>
      </w:r>
    </w:p>
    <w:p w:rsidR="00346C59" w:rsidRDefault="009053DC" w:rsidP="00346C59">
      <w:pPr>
        <w:widowControl w:val="0"/>
        <w:spacing w:after="0" w:line="307" w:lineRule="exact"/>
        <w:ind w:left="40" w:right="40"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Зазначені вище постанови Вишгородського районного суду Київської області у справах № 363/58/14-п та № 363/60/14-п відсутні в Єдиному державному реєстрі судових рішень.</w:t>
      </w:r>
      <w:r w:rsidR="00346C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</w:p>
    <w:p w:rsidR="009053DC" w:rsidRPr="009053DC" w:rsidRDefault="009053DC" w:rsidP="00C14961">
      <w:pPr>
        <w:widowControl w:val="0"/>
        <w:spacing w:after="0" w:line="307" w:lineRule="exact"/>
        <w:ind w:left="40" w:right="40" w:firstLine="6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Дії судді під час ухвалення зазначених рішень про притягнення осіб до адміністративної відповідальності були предметом перевірки Вищої ради правосуддя, яка ухвалою від 04 квітня 2017 року № 718/2дп/15-17 встановила факт очевидного порушення суддею </w:t>
      </w:r>
      <w:proofErr w:type="spellStart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Рудюком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О.Д. норм процесуального права, у діях судді, можливо, вбачаються ознаки ди</w:t>
      </w:r>
      <w:r w:rsidRPr="00FB563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сц</w:t>
      </w:r>
      <w:r w:rsidRPr="00FB563B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  <w:lang w:eastAsia="uk-UA"/>
        </w:rPr>
        <w:t>иплін</w:t>
      </w:r>
      <w:r w:rsidRPr="00FB563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рного проступку, однак ці порушення не є такими, що безперечно свідчать про вчинення істотного дисциплінарного проступку, оскільки фактів, які б указували на грубу недбалість чи навмисне порушення закону суддею під час розгляду судових справ та прийняття рішень, не встановлено. Водночас у зв’язку з тим, що строк </w:t>
      </w:r>
      <w:r w:rsidR="00FB563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притягнення судді до дисциплінарної відповідальності сплинув, у притягненні до дисциплінарної відповідальності судді </w:t>
      </w:r>
      <w:proofErr w:type="spellStart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Рудюка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О.Д. відмовлено.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72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Стосовно зазначених обставин суддею надано письмові пояснення, в яких він вказує, що дійсно ухвалював судові рішення у справах про адміністративні правопорушення № 363/58/14-п, № 363/60/14-п. Проте наміру приховати вказані справи він не мав. Станом на момент подання декларації доброчесності судді вперше результати перевірки Вищою радою правосуддя заяви голови ГС «Укра</w:t>
      </w:r>
      <w:r w:rsidR="00FB563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їнська Спілка </w:t>
      </w:r>
      <w:proofErr w:type="spellStart"/>
      <w:r w:rsidR="00FB563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Автомайдан</w:t>
      </w:r>
      <w:proofErr w:type="spellEnd"/>
      <w:r w:rsidR="00FB563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» </w:t>
      </w:r>
      <w:proofErr w:type="spellStart"/>
      <w:r w:rsidR="00FB563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Михайл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овського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А.В. були відсутні, а рішення Вищої ради право</w:t>
      </w:r>
      <w:r w:rsidR="005F581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 щодо перевірки вказаних заяв ухвалено тільки у 2017 році. Під час розгляду цих адміністративних справ жодна особа, яка притягалася до адміністративної відповідальності, не вказувала на те, що вона є учасником масових акцій протесту, матеріали справ про адміністративні правопорушення також не містили таких відомостей. На момент подан</w:t>
      </w:r>
      <w:r w:rsidR="00FB563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ня декларацій доброчесності судд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 в</w:t>
      </w:r>
      <w:r w:rsidR="00FB563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важав, що інформацію про розгляд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цих справ необхідно зазначит</w:t>
      </w:r>
      <w:r w:rsidR="00FB563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и лише у разі ухвалення відповід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ного рішення Вищою радою правосуддя.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72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 твердження </w:t>
      </w:r>
      <w:proofErr w:type="spellStart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Маселка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Р.А. стосовно повідомлення суддею недостовірних відомостей в пунктах 12 та 19 декларацій доброчесності за 2016-2017 роки </w:t>
      </w:r>
      <w:r w:rsidR="00FB563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Рудюк О.Д. пояснень не надав.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72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Оцінивши в сукупності викладені обставини, Комі</w:t>
      </w:r>
      <w:r w:rsidR="00FB563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сія вважає, що судд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я ще у 2014 році був обізнаний з ухваленням ним </w:t>
      </w:r>
      <w:r w:rsidR="00FB563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одноособово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рішень, передбачених статтею 3 Закону України «Про ві</w:t>
      </w:r>
      <w:r w:rsidR="00FB563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дновлення довіри до судової влад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и в Україні», що підтверджується прийняттям ним постанов про звільнення осіб від адміністративної відповідальності за статтею 122-2 КУпАП відповідно до</w:t>
      </w:r>
      <w:r w:rsidR="00FB563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статті 4 Закону України «Про недопущення переслідування та покарання осіб з приводу подій, які мали місце під час проведення мирних зібрань, та визнання такими, що втратили чинність деяких законів України».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72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Згідно з положеннями частини сьомої статті 62 Закону зазначення в декларації доброчесності завідомо недостовірних (у тому числі неповних) тверджень мають </w:t>
      </w:r>
      <w:r w:rsidR="004E13E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наслідком дисциплінарну відповід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альність, установлену цим Законом.</w:t>
      </w:r>
    </w:p>
    <w:p w:rsidR="009053DC" w:rsidRPr="009053DC" w:rsidRDefault="009053DC" w:rsidP="009053DC">
      <w:pPr>
        <w:widowControl w:val="0"/>
        <w:spacing w:after="0" w:line="307" w:lineRule="exact"/>
        <w:ind w:left="40" w:right="40" w:firstLine="72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Таким чином, викладене може свідчити про вчинення суддею дій, передбачених пунктом 19 частини пер</w:t>
      </w:r>
      <w:r w:rsidR="000B2F0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шої статті 106 Закону, а саме –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декларування завідомо недостовірних (у тому числі неповних) тверджень у декларації доброчесності суд</w:t>
      </w:r>
      <w:r w:rsidR="000B2F0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і.</w:t>
      </w:r>
    </w:p>
    <w:p w:rsidR="00C32A0C" w:rsidRDefault="00616C0B" w:rsidP="009053DC">
      <w:pPr>
        <w:widowControl w:val="0"/>
        <w:spacing w:after="0" w:line="307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Ураховуючи наведене, Комісія д</w:t>
      </w:r>
      <w:r w:rsidR="009053DC"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ійшла</w:t>
      </w:r>
      <w:r w:rsidR="000B2F0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висновку про направлення д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 Вищої ради</w:t>
      </w:r>
      <w:r w:rsidR="00C32A0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2879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правосудд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я </w:t>
      </w:r>
      <w:r w:rsidR="00C32A0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інформації </w:t>
      </w:r>
      <w:r w:rsidR="00C32A0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щод</w:t>
      </w:r>
      <w:r w:rsidR="009053DC"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 </w:t>
      </w:r>
      <w:r w:rsidR="00C32A0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9053DC"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викладених </w:t>
      </w:r>
      <w:r w:rsidR="00C32A0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9053DC"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обставин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="009053DC"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ля вирішення питання</w:t>
      </w:r>
      <w:r w:rsidR="009053DC"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</w:p>
    <w:p w:rsidR="009053DC" w:rsidRPr="009053DC" w:rsidRDefault="009053DC" w:rsidP="00C32A0C">
      <w:pPr>
        <w:widowControl w:val="0"/>
        <w:spacing w:after="0" w:line="307" w:lineRule="exact"/>
        <w:ind w:left="40" w:right="4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про відкриття дисциплінарної справи чи відмову в її відкритті стосовно судді Вишгородського районного суду Київської області </w:t>
      </w:r>
      <w:proofErr w:type="spellStart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Рудюка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Олексія Дмитровича.</w:t>
      </w:r>
    </w:p>
    <w:p w:rsidR="009053DC" w:rsidRPr="009053DC" w:rsidRDefault="009053DC" w:rsidP="009053DC">
      <w:pPr>
        <w:widowControl w:val="0"/>
        <w:spacing w:after="270" w:line="307" w:lineRule="exact"/>
        <w:ind w:left="20" w:right="20" w:firstLine="5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статтями 62, 93, 101 Закону, розділом VI Регламенту Вищої кваліфікаційної комісії суддів України, Комісія</w:t>
      </w:r>
    </w:p>
    <w:p w:rsidR="009053DC" w:rsidRPr="009053DC" w:rsidRDefault="009053DC" w:rsidP="009053DC">
      <w:pPr>
        <w:widowControl w:val="0"/>
        <w:spacing w:after="262" w:line="270" w:lineRule="exact"/>
        <w:ind w:left="40"/>
        <w:jc w:val="center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9053DC" w:rsidRPr="009053DC" w:rsidRDefault="009053DC" w:rsidP="009053DC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визнати підтвердженою інформацію про недостовірність (у тому числі неповноту) тверджень, указаних суддею Вишгородського районного суду Київської області </w:t>
      </w:r>
      <w:proofErr w:type="spellStart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Рудюком</w:t>
      </w:r>
      <w:proofErr w:type="spellEnd"/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Олексієм Дмитровичем у деклараціях доброчесності судді </w:t>
      </w:r>
      <w:r w:rsidR="00754EB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   </w:t>
      </w:r>
      <w:r w:rsidRPr="0090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2016, 2017 роки.</w:t>
      </w:r>
    </w:p>
    <w:p w:rsidR="00EA6FB9" w:rsidRPr="00C14961" w:rsidRDefault="00754EBB" w:rsidP="00C14961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</w:t>
      </w:r>
      <w:r w:rsidR="009053DC" w:rsidRPr="00C14961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Звернутися до Вищої ради правосуддя для вирішення питання про відкриття дисциплінарної справи чи відмови в її відкритті стосовно судді Вишгородського районного суду Київської області </w:t>
      </w:r>
      <w:proofErr w:type="spellStart"/>
      <w:r w:rsidR="009053DC" w:rsidRPr="00C14961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Рудюка</w:t>
      </w:r>
      <w:proofErr w:type="spellEnd"/>
      <w:r w:rsidR="009053DC" w:rsidRPr="00C14961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Олексія Дмитровича.</w:t>
      </w:r>
    </w:p>
    <w:p w:rsidR="00EC3C8B" w:rsidRPr="00C14961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C14961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14961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14961">
        <w:rPr>
          <w:rFonts w:ascii="Times New Roman" w:eastAsia="Times New Roman" w:hAnsi="Times New Roman"/>
          <w:sz w:val="27"/>
          <w:szCs w:val="27"/>
          <w:lang w:eastAsia="uk-UA"/>
        </w:rPr>
        <w:t>М.І. Мішин</w:t>
      </w: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01F51" w:rsidRDefault="00D01F5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01F51" w:rsidRPr="00C14961" w:rsidRDefault="00D01F5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C14961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14961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B6E0A">
        <w:rPr>
          <w:rFonts w:ascii="Times New Roman" w:eastAsia="Times New Roman" w:hAnsi="Times New Roman"/>
          <w:sz w:val="27"/>
          <w:szCs w:val="27"/>
          <w:lang w:eastAsia="uk-UA"/>
        </w:rPr>
        <w:tab/>
      </w:r>
      <w:bookmarkStart w:id="0" w:name="_GoBack"/>
      <w:bookmarkEnd w:id="0"/>
      <w:r w:rsidR="00C14961">
        <w:rPr>
          <w:rFonts w:ascii="Times New Roman" w:eastAsia="Times New Roman" w:hAnsi="Times New Roman"/>
          <w:sz w:val="27"/>
          <w:szCs w:val="27"/>
          <w:lang w:eastAsia="uk-UA"/>
        </w:rPr>
        <w:t>А.Г. Козлов</w:t>
      </w:r>
    </w:p>
    <w:p w:rsidR="00D01F51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14961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C14961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C14961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</w:p>
    <w:p w:rsidR="00EA5BCD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14961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</w:t>
      </w:r>
    </w:p>
    <w:p w:rsidR="00D01F51" w:rsidRPr="00C14961" w:rsidRDefault="00D01F5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183091" w:rsidRPr="00C14961" w:rsidRDefault="00C14961" w:rsidP="000B6E0A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Т.В. Лукаш</w:t>
      </w:r>
    </w:p>
    <w:sectPr w:rsidR="00183091" w:rsidRPr="00C14961" w:rsidSect="00E831CF">
      <w:headerReference w:type="default" r:id="rId10"/>
      <w:pgSz w:w="11906" w:h="16838"/>
      <w:pgMar w:top="284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F7F" w:rsidRDefault="004A6F7F" w:rsidP="002F156E">
      <w:pPr>
        <w:spacing w:after="0" w:line="240" w:lineRule="auto"/>
      </w:pPr>
      <w:r>
        <w:separator/>
      </w:r>
    </w:p>
  </w:endnote>
  <w:endnote w:type="continuationSeparator" w:id="0">
    <w:p w:rsidR="004A6F7F" w:rsidRDefault="004A6F7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F7F" w:rsidRDefault="004A6F7F" w:rsidP="002F156E">
      <w:pPr>
        <w:spacing w:after="0" w:line="240" w:lineRule="auto"/>
      </w:pPr>
      <w:r>
        <w:separator/>
      </w:r>
    </w:p>
  </w:footnote>
  <w:footnote w:type="continuationSeparator" w:id="0">
    <w:p w:rsidR="004A6F7F" w:rsidRDefault="004A6F7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816233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E831CF" w:rsidRPr="00E831CF" w:rsidRDefault="00E831CF">
        <w:pPr>
          <w:pStyle w:val="a4"/>
          <w:jc w:val="center"/>
          <w:rPr>
            <w:rFonts w:ascii="Times New Roman" w:hAnsi="Times New Roman"/>
            <w:sz w:val="20"/>
            <w:szCs w:val="20"/>
          </w:rPr>
        </w:pPr>
        <w:r w:rsidRPr="00E831CF">
          <w:rPr>
            <w:rFonts w:ascii="Times New Roman" w:hAnsi="Times New Roman"/>
            <w:sz w:val="20"/>
            <w:szCs w:val="20"/>
          </w:rPr>
          <w:fldChar w:fldCharType="begin"/>
        </w:r>
        <w:r w:rsidRPr="00E831CF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E831CF">
          <w:rPr>
            <w:rFonts w:ascii="Times New Roman" w:hAnsi="Times New Roman"/>
            <w:sz w:val="20"/>
            <w:szCs w:val="20"/>
          </w:rPr>
          <w:fldChar w:fldCharType="separate"/>
        </w:r>
        <w:r w:rsidR="000B6E0A" w:rsidRPr="000B6E0A">
          <w:rPr>
            <w:rFonts w:ascii="Times New Roman" w:hAnsi="Times New Roman"/>
            <w:noProof/>
            <w:sz w:val="20"/>
            <w:szCs w:val="20"/>
            <w:lang w:val="ru-RU"/>
          </w:rPr>
          <w:t>2</w:t>
        </w:r>
        <w:r w:rsidRPr="00E831CF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B2F0C"/>
    <w:rsid w:val="000B6E0A"/>
    <w:rsid w:val="000C4CDD"/>
    <w:rsid w:val="000C7654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0CB1"/>
    <w:rsid w:val="001B3982"/>
    <w:rsid w:val="001B5323"/>
    <w:rsid w:val="001D04E7"/>
    <w:rsid w:val="001E13D2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87961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46C59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A5DC4"/>
    <w:rsid w:val="004A6F7F"/>
    <w:rsid w:val="004B1059"/>
    <w:rsid w:val="004C48F9"/>
    <w:rsid w:val="004E13E3"/>
    <w:rsid w:val="004F5123"/>
    <w:rsid w:val="004F73FF"/>
    <w:rsid w:val="005002A1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5E6B05"/>
    <w:rsid w:val="005F581A"/>
    <w:rsid w:val="00612AEB"/>
    <w:rsid w:val="00616C0B"/>
    <w:rsid w:val="00634A14"/>
    <w:rsid w:val="00650342"/>
    <w:rsid w:val="00650569"/>
    <w:rsid w:val="006510A2"/>
    <w:rsid w:val="00661E5F"/>
    <w:rsid w:val="00663E2C"/>
    <w:rsid w:val="00675595"/>
    <w:rsid w:val="00683234"/>
    <w:rsid w:val="006854B8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54EBB"/>
    <w:rsid w:val="007607C4"/>
    <w:rsid w:val="00761CAB"/>
    <w:rsid w:val="00771DF7"/>
    <w:rsid w:val="007730CD"/>
    <w:rsid w:val="007A062E"/>
    <w:rsid w:val="007A0B26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C1FAB"/>
    <w:rsid w:val="008D115D"/>
    <w:rsid w:val="008D53F2"/>
    <w:rsid w:val="008D7004"/>
    <w:rsid w:val="008F3077"/>
    <w:rsid w:val="009053DC"/>
    <w:rsid w:val="009232E6"/>
    <w:rsid w:val="00923901"/>
    <w:rsid w:val="009317BB"/>
    <w:rsid w:val="00934B11"/>
    <w:rsid w:val="009362A7"/>
    <w:rsid w:val="00944299"/>
    <w:rsid w:val="0095115B"/>
    <w:rsid w:val="0097586F"/>
    <w:rsid w:val="00982A36"/>
    <w:rsid w:val="0098379F"/>
    <w:rsid w:val="0099184B"/>
    <w:rsid w:val="009A42C2"/>
    <w:rsid w:val="009C7439"/>
    <w:rsid w:val="009E6DE5"/>
    <w:rsid w:val="00A029A1"/>
    <w:rsid w:val="00A04893"/>
    <w:rsid w:val="00A07AAA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072CF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80ECB"/>
    <w:rsid w:val="00BB5D40"/>
    <w:rsid w:val="00BE240F"/>
    <w:rsid w:val="00BE46F8"/>
    <w:rsid w:val="00BE767E"/>
    <w:rsid w:val="00C018B6"/>
    <w:rsid w:val="00C10D03"/>
    <w:rsid w:val="00C14961"/>
    <w:rsid w:val="00C240DD"/>
    <w:rsid w:val="00C24130"/>
    <w:rsid w:val="00C25C4C"/>
    <w:rsid w:val="00C32A0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1F51"/>
    <w:rsid w:val="00D020ED"/>
    <w:rsid w:val="00D12A99"/>
    <w:rsid w:val="00D15E47"/>
    <w:rsid w:val="00D253DC"/>
    <w:rsid w:val="00D46064"/>
    <w:rsid w:val="00D52C3D"/>
    <w:rsid w:val="00D6397A"/>
    <w:rsid w:val="00D73716"/>
    <w:rsid w:val="00D84D5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31CF"/>
    <w:rsid w:val="00E86FAF"/>
    <w:rsid w:val="00E94B0D"/>
    <w:rsid w:val="00EA42AB"/>
    <w:rsid w:val="00EA5BCD"/>
    <w:rsid w:val="00EA6FB9"/>
    <w:rsid w:val="00EB0A5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B563B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a8">
    <w:name w:val="Колонтитул"/>
    <w:basedOn w:val="a0"/>
    <w:rsid w:val="009053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E83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31C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a8">
    <w:name w:val="Колонтитул"/>
    <w:basedOn w:val="a0"/>
    <w:rsid w:val="009053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E83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31C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306CF-BD2D-41D8-8DCE-71B89142E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8106</Words>
  <Characters>4621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305</cp:revision>
  <dcterms:created xsi:type="dcterms:W3CDTF">2020-08-21T08:05:00Z</dcterms:created>
  <dcterms:modified xsi:type="dcterms:W3CDTF">2020-10-26T13:17:00Z</dcterms:modified>
</cp:coreProperties>
</file>