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28 березня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Pr="00E540BF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E540BF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E540BF">
        <w:rPr>
          <w:bCs/>
          <w:sz w:val="27"/>
          <w:szCs w:val="27"/>
          <w:lang w:val="uk-UA"/>
        </w:rPr>
        <w:t>Н</w:t>
      </w:r>
      <w:proofErr w:type="spellEnd"/>
      <w:r w:rsidRPr="00E540BF">
        <w:rPr>
          <w:bCs/>
          <w:sz w:val="27"/>
          <w:szCs w:val="27"/>
          <w:lang w:val="uk-UA"/>
        </w:rPr>
        <w:t xml:space="preserve"> Я   № </w:t>
      </w:r>
      <w:r w:rsidR="004119F0" w:rsidRPr="00E540BF">
        <w:rPr>
          <w:bCs/>
          <w:sz w:val="27"/>
          <w:szCs w:val="27"/>
          <w:u w:val="single"/>
          <w:lang w:val="uk-UA"/>
        </w:rPr>
        <w:t>24</w:t>
      </w:r>
      <w:r w:rsidR="00E619C7" w:rsidRPr="00E540BF">
        <w:rPr>
          <w:bCs/>
          <w:sz w:val="27"/>
          <w:szCs w:val="27"/>
          <w:u w:val="single"/>
          <w:lang w:val="uk-UA"/>
        </w:rPr>
        <w:t>/дп</w:t>
      </w:r>
      <w:r w:rsidR="00044564" w:rsidRPr="00E540BF">
        <w:rPr>
          <w:bCs/>
          <w:sz w:val="27"/>
          <w:szCs w:val="27"/>
          <w:u w:val="single"/>
          <w:lang w:val="uk-UA"/>
        </w:rPr>
        <w:t>-19</w:t>
      </w:r>
    </w:p>
    <w:p w:rsidR="00EC2C17" w:rsidRDefault="00EC2C17" w:rsidP="004119F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DA533E" w:rsidRDefault="00DA533E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4119F0" w:rsidRPr="004119F0" w:rsidRDefault="004119F0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DA533E" w:rsidRDefault="00DA533E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головуючого 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Щотки С.О.,</w:t>
      </w:r>
    </w:p>
    <w:p w:rsidR="004119F0" w:rsidRPr="004119F0" w:rsidRDefault="004119F0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DA533E" w:rsidRDefault="00DA533E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членів Комісії: Заріцької А.О., Макарчука М.А.,</w:t>
      </w:r>
    </w:p>
    <w:p w:rsidR="004119F0" w:rsidRPr="004119F0" w:rsidRDefault="004119F0" w:rsidP="004119F0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DA533E" w:rsidRPr="004119F0" w:rsidRDefault="00DA533E" w:rsidP="004119F0">
      <w:pPr>
        <w:suppressAutoHyphens w:val="0"/>
        <w:autoSpaceDE/>
        <w:spacing w:after="401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розглянувши питання щодо недостовірності (у тому числі неповноти) відомостей/тверджень, вказаних суддею Шевченківського районного суду міста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Києва Притулою Наталією Григорівною у декларації доброчесності судді за 2016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рік,</w:t>
      </w:r>
    </w:p>
    <w:p w:rsidR="00DA533E" w:rsidRPr="004119F0" w:rsidRDefault="00DA533E" w:rsidP="00DA533E">
      <w:pPr>
        <w:suppressAutoHyphens w:val="0"/>
        <w:autoSpaceDE/>
        <w:spacing w:after="246" w:line="270" w:lineRule="exact"/>
        <w:ind w:left="60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встановила: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частини першої статті 62 Закону України «Про судоустрій 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статус суддів» (далі 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Закон) суддя зобов’язаний щорічно до 1 лютого подавати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шляхом заповнення на офіційному веб-сайті Вищої кваліфікаційної комісії суддів України декларацію доброчесності судді за формою, що визначається Комісією.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Форму декларації доброчесності судді затверджено рішенням Комісії від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31 жовтня 2016 року № 137/зп-16.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У встановленому законом порядку суддя Шевченківського районного суду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міста Києва Притула Н.Г. подала декларацію доброчесності судді за 2016 рік.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До Комісії 19 квітня 2018 року від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Маселка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Р.А. надійшла заява щодо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проведення перевірки декларації доброчесності судді Притули Н.Г. за 2016 рік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(далі 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декларація).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У заяві зазначено, що в декларації виявлені недостовірні твердження, а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саме, у пункті 17 декларації доброчесності судді за 2016 рік суддя Притула Н.Г. повідомила недостовірні відомості.</w:t>
      </w:r>
    </w:p>
    <w:p w:rsidR="00E540BF" w:rsidRDefault="00DA533E" w:rsidP="00E540BF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Пунктом 4 частини першої статті 3 Закону України «Про відновлення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довіри до судової влади в Україні» (далі 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Закон) визначено, що суддя підлягає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перевірці у разі прийняття ним одноособово або у складі колегії суддів рішення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про накладення адміністративних стягнень на осіб, які були учасниками масових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акцій протесту в період з 21 листопада 2013 року до дня набрання чинності цим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законом, у вигляді позбавлення права керування транспортними засобами на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підставі статті 122-2 Кодексу України про адміністративні правопорушення (далі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КУпАП)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за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невиконання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водіями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вимог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працівника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міліції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зупинку</w:t>
      </w:r>
      <w:r w:rsidR="00E540BF">
        <w:rPr>
          <w:rFonts w:eastAsia="Sylfaen"/>
          <w:color w:val="000000"/>
          <w:sz w:val="26"/>
          <w:szCs w:val="26"/>
          <w:lang w:val="uk-UA" w:eastAsia="uk-UA"/>
        </w:rPr>
        <w:br w:type="page"/>
      </w:r>
    </w:p>
    <w:p w:rsidR="00DA533E" w:rsidRPr="004119F0" w:rsidRDefault="00DA533E" w:rsidP="004119F0">
      <w:pPr>
        <w:suppressAutoHyphens w:val="0"/>
        <w:autoSpaceDE/>
        <w:spacing w:line="322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транспортного засобу та про залишення зазначених рішень без змін судом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апеляційної інстанції в період з 21 листопада 2013 року до дня набрання чинності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цим законом.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Постановою Шевченківського районного суду міста Києва від 10 лютого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2014 року у справі №761/2431/14-п, яка ухвалена суддею Притулою Н.Г., було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визнано винуватою особу у вчиненні адміністративного правопорушення,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передбаченого статтею 122-2 КУпАП і накладено на неї адміністративне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стягнення у виді позбавлення права керування транспортними засобами строком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на три місяці.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Обставини цієї справи, на думку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Маселка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Р.А., підпадають під визначення,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яке наведене в пункті 4 частини першої статті 3 Закону.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Вказане, на думку заявника, дає підстави вважати, що твердження,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зазначене суддею в п. 17 декларації, не відповідає дійсності.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Частиною шостою статті 62 Закону України «Про судоустрій і статус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суддів» передбачено, що у разі одержання інформації, що може свідчити про недостовірність (в тому числі неповноту) тверджень судді у декларації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доброчесності, Вища кваліфікаційна комісія суддів України проводить відповідну перевірку.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Положеннями пункту 6.2 розділу VI Регламенту Вищої кваліфікаційної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комісії суддів України, затвердженого рішенням Комісії від 13 жовтня 2016 року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№ 81/зп-16 (зі змінами) (далі </w:t>
      </w:r>
      <w:r w:rsidR="00660274">
        <w:rPr>
          <w:rFonts w:eastAsia="Sylfaen"/>
          <w:color w:val="000000"/>
          <w:sz w:val="26"/>
          <w:szCs w:val="26"/>
          <w:lang w:val="uk-UA" w:eastAsia="uk-UA"/>
        </w:rPr>
        <w:t>–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Регламент), передбачено, що перевірка декларацій родинних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зв’язків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судді та доброчесності судді проводиться у разі надходження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до Комісії інформації, наданої будь-якою особою, що може свідчити про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недостовірність (в тому числі неповноту) відомостей або тверджень, вказаних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суддями у цих деклараціях.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частини шостої статті 62 Закону України «Про судоустрій 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статус суддів» проведено перевірку викладених у повідомленні відомостей та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з’ясовано таке.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Щодо вказаних обставин суддею надано письмові пояснення, у яких вона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вказує про те, що з інформації, яка міститься в базі даних автоматизованої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системи документообігу суду «Д-3», адміністративний протокол відносно</w:t>
      </w:r>
    </w:p>
    <w:p w:rsidR="00DA533E" w:rsidRPr="004119F0" w:rsidRDefault="00DA533E" w:rsidP="004119F0">
      <w:pPr>
        <w:tabs>
          <w:tab w:val="left" w:pos="7600"/>
          <w:tab w:val="left" w:pos="414"/>
        </w:tabs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, за статтею 122-2 КУпАП надійшов до Шевченківського районного суду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міста Києва 23 січня 2014 року, справа про адміністративне правопорушення №761/2431/14-п. Як вбачається з копії постанови, в протоколі було зазначено, що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29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грудня 2013 року о 13 </w:t>
      </w:r>
      <w:r w:rsidRPr="004119F0">
        <w:rPr>
          <w:rFonts w:eastAsia="Sylfaen"/>
          <w:color w:val="000000"/>
          <w:sz w:val="26"/>
          <w:szCs w:val="26"/>
          <w:lang w:eastAsia="uk-UA"/>
        </w:rPr>
        <w:t xml:space="preserve">год.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40 хв. на вул. Богатирській, 3 в м. Києві, керуючи автомобілем «КІА», номерний знак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не виконав вимогу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працівника міліції про зупинку, подану за допомогою жезла та свистка. Таким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чином,      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порушив вимоги пункту 24 Правил дорожнього руху України,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за що передбачена відповідальність за статтею 122-2 КУпАП.</w:t>
      </w:r>
    </w:p>
    <w:p w:rsidR="00660274" w:rsidRDefault="00DA533E" w:rsidP="00660274">
      <w:pPr>
        <w:tabs>
          <w:tab w:val="left" w:pos="4202"/>
        </w:tabs>
        <w:suppressAutoHyphens w:val="0"/>
        <w:autoSpaceDE/>
        <w:spacing w:line="317" w:lineRule="exact"/>
        <w:ind w:left="40" w:right="20" w:firstLine="68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Як вбачається з пояснень судді, судове засідання було призначено на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10 лютого 2014 року.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до суду не з’явився, пояснення чи заперечення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на зазначене в протоколі не надав, а тому постановою суду від 10 лютого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2014 року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було визнано винним у вчиненні правопорушення,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передбаченого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статтею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122-2 КУпАП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та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накладено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адміністративне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стягнення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у</w:t>
      </w:r>
      <w:r w:rsidR="00660274">
        <w:rPr>
          <w:rFonts w:eastAsia="Sylfaen"/>
          <w:color w:val="000000"/>
          <w:sz w:val="26"/>
          <w:szCs w:val="26"/>
          <w:lang w:val="uk-UA" w:eastAsia="uk-UA"/>
        </w:rPr>
        <w:br w:type="page"/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вигляді позбавлення права керування усіма транспортними засобами строком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на 3 місяці, а також стягнуто судовий збір.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Постанова суду в апеляційному порядку не оскаржувалась.</w:t>
      </w:r>
    </w:p>
    <w:p w:rsidR="00DA533E" w:rsidRPr="004119F0" w:rsidRDefault="00DA533E" w:rsidP="004119F0">
      <w:pPr>
        <w:tabs>
          <w:tab w:val="left" w:pos="4878"/>
        </w:tabs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У своїх поясненнях суддя Притула Н.Г. зазначила, що в декларації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доброчесності судді за 2016 рік вона не вказала про ухвалення рішень,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передбачених статтею 3 Закону України «Про відновлення довіри до судової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влади в Україні», оскільки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в судове засідання не з’явився, та нею, з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урахуванням усіх наданих матеріалів, не було встановлено, що він приймав участь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у масових акціях протесту.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При дослідженні суддівського досьє і проведенні співбесіди перевірено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обставини, викладені у заяві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Маселка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Р.А., проаналізовано декларацію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доброчесності судді за 2016 рік та постанову Шевченківського районного суду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міста Києва від 10 лютого 2014 року у справі №761/2431/14-п, письмові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пояснення судді, витребувано копію матеріалів вказаної справи.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За результатами проведеної перевірки встановлено наступне.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Згідно з частинами першою та другою статті 62 Закону України «Про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судоустрій і статус суддів» суддя зобов’язаний щорічно до 1 лютого подавати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шляхом заповнення на офіційному веб-сайті Вищої кваліфікаційної комісії суддів України декларації родинних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зв’язків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та доброчесності за формою, що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визначається Комісією. При цьому декларація доброчесності судді складається з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переліку тверджень, правдивість яких суддя повинен задекларувати шляхом їх підтвердження або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>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Правил заповнення та подання форми декларації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доброчесності судді, затверджених рішенням Комісії 31 жовтня 2016 року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№ 137/зп-16, у декларації доброчесності заповнюються відомості, актуальні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станом на 31 грудня звітного року. У разі заповнення декларації вперше у ній зазначаються твердження щодо обставин, які мали місце упродовж усього життя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особи, яка її заповнює. Неподання, несвоєчасне подання декларації суддею або зазначення в ній завідомо недостовірних (зокрема неповних) тверджень мають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наслідком дисциплінарну відповідальність, установлену законом.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Суддею Шевченківського районного суду міста Києва Притулою Н.Г.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25 січня 2017 року було вперше подано декларацію доброчесності судді за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2016 рік.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У пункті 17 декларації суддя підтвердила, що нею не приймалися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одноособово або у складі колегії рішення, передбачені статтею 3 Закону та не підтвердила, що нею пройдено перевірку, передбачену цим Законом (пункт 18).</w:t>
      </w:r>
    </w:p>
    <w:p w:rsidR="00DA533E" w:rsidRPr="004119F0" w:rsidRDefault="00DA533E" w:rsidP="004119F0">
      <w:pPr>
        <w:tabs>
          <w:tab w:val="left" w:pos="6750"/>
        </w:tabs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Перевіривши достовірність зазначених тверджень з’ясовано, що постановою Шевченківського районного суду міста Києва 10 лютого 2014 року у справі №761/2431/14-п (суддя Притула Н.Г.)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було визнано винним у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вчиненні правопорушення, передбаченого статтею 122-2 КУпАП, і піддано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стягненню у виді позбавлення права керування всіма транспортними засобами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строком на три місяці. Оскільки             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до суду не з’явився, справу було</w:t>
      </w:r>
    </w:p>
    <w:p w:rsidR="00606AF7" w:rsidRDefault="00606AF7" w:rsidP="00606AF7">
      <w:pPr>
        <w:suppressAutoHyphens w:val="0"/>
        <w:autoSpaceDE/>
        <w:spacing w:line="317" w:lineRule="exact"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>
        <w:rPr>
          <w:rFonts w:eastAsia="Sylfaen"/>
          <w:color w:val="000000"/>
          <w:sz w:val="26"/>
          <w:szCs w:val="26"/>
          <w:lang w:val="uk-UA" w:eastAsia="uk-UA"/>
        </w:rPr>
        <w:t>розглянуто без його участі.</w:t>
      </w:r>
      <w:r>
        <w:rPr>
          <w:rFonts w:eastAsia="Sylfaen"/>
          <w:color w:val="000000"/>
          <w:sz w:val="26"/>
          <w:szCs w:val="26"/>
          <w:lang w:val="uk-UA" w:eastAsia="uk-UA"/>
        </w:rPr>
        <w:br w:type="page"/>
      </w:r>
    </w:p>
    <w:p w:rsidR="00DA533E" w:rsidRPr="004119F0" w:rsidRDefault="00DA533E" w:rsidP="004119F0">
      <w:pPr>
        <w:suppressAutoHyphens w:val="0"/>
        <w:autoSpaceDE/>
        <w:spacing w:line="317" w:lineRule="exact"/>
        <w:ind w:left="20" w:firstLine="688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4119F0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Дослідивши копію матеріалів справи про адміністративне правопорушення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№ 761/2431/14-п , судове рішення Шевченківського районного суду міста Києва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 10 лютого 2014 року та пояснення судді, Комісія з’ясувала що суддя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Притула Н.Г. не вжил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а заходів для з’ясування чи був                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учасником</w:t>
      </w:r>
    </w:p>
    <w:p w:rsidR="00DA533E" w:rsidRPr="004119F0" w:rsidRDefault="00DA533E" w:rsidP="004119F0">
      <w:pPr>
        <w:suppressAutoHyphens w:val="0"/>
        <w:autoSpaceDE/>
        <w:spacing w:line="317" w:lineRule="exact"/>
        <w:ind w:right="20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масових акцій протесту.</w:t>
      </w:r>
    </w:p>
    <w:p w:rsidR="00DA533E" w:rsidRPr="004119F0" w:rsidRDefault="00DA533E" w:rsidP="004119F0">
      <w:pPr>
        <w:tabs>
          <w:tab w:val="left" w:pos="4053"/>
        </w:tabs>
        <w:suppressAutoHyphens w:val="0"/>
        <w:autoSpaceDE/>
        <w:spacing w:line="317" w:lineRule="exact"/>
        <w:ind w:left="4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Так, 04 березня 2014 року, суддею Шевченківського районного суду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міста Києва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Радчиковою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О.П. було ухвалено постанову, якою звільнено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 адміністративної відповідальності, передбаченої статтею 122-2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КУпАП, на підставі статті 4 Закону України «Про недопущення переслідування та покарання осіб з приводу подій, які мали місце під час проведення мирних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зібрань, та визнання такими, що втратили чинність деяких законів України»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від 21 лютого 2014 року № 743-III, оскільки встановлено що адміністративне правопорушення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безпосередньо пов’язане з масовими акціями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протесту, вчинене у визначений вказаним Законом період та відбувалося за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місцем масових акцій протесту.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Отже, у січні 2017 року, під час заповнення декларації доброчесності, суддя Притула Н.Г. мала бути обізнаною про прийняття нею одноособово або у складі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колегії суддів рішення про накладення адміністративних стягнень на осіб, які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були учасниками масових акцій протесту в період з 21 листопада 2013 року до дня набрання чинності Законом України «Про відновлення довіри до судової влади в Україні» та про наявність постанови Шевченківського районного суду міста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Києва від 04 березня 2014 року.</w:t>
      </w:r>
    </w:p>
    <w:p w:rsidR="00DA533E" w:rsidRPr="004119F0" w:rsidRDefault="00DA533E" w:rsidP="00DA533E">
      <w:pPr>
        <w:tabs>
          <w:tab w:val="left" w:pos="9005"/>
        </w:tabs>
        <w:suppressAutoHyphens w:val="0"/>
        <w:autoSpaceDE/>
        <w:spacing w:line="317" w:lineRule="exact"/>
        <w:ind w:right="20"/>
        <w:jc w:val="right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Неналежне вивчення суддею Притулою Н.Г. питання участі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ab/>
        <w:t>у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масових акціях протесту може свідчити про внесення нею недостовірних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тверджень в пункт 17 декларації доброчесності судді за 2016 рік.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пункту 6.5. Розділу VI Регламенту за результатами перевірки декларації родинних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зв’язків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судді чи декларації доброчесності судді член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Комісії, який проводив перевірку декларації, готує висновок для розгляду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Комісією у складі колегії.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частини сьомої статті 62 Закону неподання, несвоєчасне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подання декларації доброчесності суддею або декларування в ній завідомо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недостовірних (у тому числі неповних) тверджень мають наслідком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дисциплінарну відповідальність, встановлену цим Законом.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4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підпункту 6.5.2. пункту 6.5. розділу VI Регламенту за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результатами розгляду питання про недостовірність або неповноту відомостей або тверджень, вказаних суддею у декларації родинних </w:t>
      </w:r>
      <w:proofErr w:type="spellStart"/>
      <w:r w:rsidRPr="004119F0">
        <w:rPr>
          <w:rFonts w:eastAsia="Sylfaen"/>
          <w:color w:val="000000"/>
          <w:sz w:val="26"/>
          <w:szCs w:val="26"/>
          <w:lang w:val="uk-UA" w:eastAsia="uk-UA"/>
        </w:rPr>
        <w:t>зв'язків</w:t>
      </w:r>
      <w:proofErr w:type="spellEnd"/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судді чи декларації доброчесності судді відповідно, на підставі результатів проведення перевірки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такої декларації Комісія у складі колегії може ухвалити рішення про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підтвердження інформації про недостовірність (у тому числі неповноту)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тверджень, вказаних суддею у декларації доброчесності судді, та звернення до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Вищої ради правосуддя стосовно притягнення судді до дисциплінарної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відповідальності в порядку, встановленому статтею 107 Закону.</w:t>
      </w:r>
    </w:p>
    <w:p w:rsidR="004119F0" w:rsidRDefault="00DA533E" w:rsidP="004119F0">
      <w:pPr>
        <w:suppressAutoHyphens w:val="0"/>
        <w:autoSpaceDE/>
        <w:spacing w:line="317" w:lineRule="exact"/>
        <w:ind w:left="40" w:right="20" w:firstLine="668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Згідно з пунктом 19 частини першої статті 106 Закону суддю може бути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притягнуто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до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дисциплінарної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відповідальності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порядку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дисциплінарного</w:t>
      </w:r>
    </w:p>
    <w:p w:rsidR="004119F0" w:rsidRDefault="004119F0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119F0" w:rsidRDefault="004119F0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119F0" w:rsidRDefault="004119F0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119F0" w:rsidRDefault="004119F0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119F0" w:rsidRDefault="004119F0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DA533E" w:rsidRPr="004119F0" w:rsidRDefault="00DA533E" w:rsidP="004119F0">
      <w:pPr>
        <w:suppressAutoHyphens w:val="0"/>
        <w:autoSpaceDE/>
        <w:spacing w:line="317" w:lineRule="exact"/>
        <w:ind w:left="4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провадження з підстав декларування завідомо недостовірних (у тому числі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неповних) тверджень у декларації доброчесності судді.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статті 26 Закону України «Про вишу раду правосуддя» та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статті 108 Закону виключні повноваження встановлювати відсутність або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наявність у діях судді складу дисциплінарного проступку надані дисциплінарним органам - Дисциплінарним палатам Вищої ради правосуддя.</w:t>
      </w:r>
    </w:p>
    <w:p w:rsidR="00DA533E" w:rsidRPr="004119F0" w:rsidRDefault="00DA533E" w:rsidP="00DA533E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Урахувавши викладене, Комісія дійшла висновку про визнання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підтвердженої інформацію про недостовірність тверджень, вказаних суддею Шевченківського районного суду міста Києва Притулою Н.Г. у декларації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доброчесності судді за 2016 рік, та про направлення до Вищої ради правосуддя відповідної інформації щодо викладених обставин для вирішення питання про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відкриття дисциплінарної справи чи відмову в її відкритті стосовно судді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Притули Н.Г.</w:t>
      </w:r>
    </w:p>
    <w:p w:rsidR="00DA533E" w:rsidRPr="004119F0" w:rsidRDefault="00DA533E" w:rsidP="00DA533E">
      <w:pPr>
        <w:suppressAutoHyphens w:val="0"/>
        <w:autoSpaceDE/>
        <w:spacing w:after="281"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Керуючись частиною 7 статті 62, частиною 5 статті 84, статтями 93, 101, 106 Закону України «Про судоустрій і статус суддів», розділом VI Регламенту Вищої кваліфікаційної комісії суддів України, Комісія</w:t>
      </w:r>
    </w:p>
    <w:p w:rsidR="00DA533E" w:rsidRPr="004119F0" w:rsidRDefault="00DA533E" w:rsidP="00DA533E">
      <w:pPr>
        <w:suppressAutoHyphens w:val="0"/>
        <w:autoSpaceDE/>
        <w:spacing w:after="315" w:line="270" w:lineRule="exact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вирішила:</w:t>
      </w:r>
    </w:p>
    <w:p w:rsidR="00DA533E" w:rsidRPr="004119F0" w:rsidRDefault="00DA533E" w:rsidP="00DA533E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визнати підтвердженою інформацію про недостовірність (у тому числі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неповноту) тверджень, вказаних суддею Шевченківського районного суду міста 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>Києва Притулою Наталією Григорівною у декларації доброчесності судді за</w:t>
      </w:r>
      <w:r w:rsidR="004119F0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4119F0">
        <w:rPr>
          <w:rFonts w:eastAsia="Sylfaen"/>
          <w:color w:val="000000"/>
          <w:sz w:val="26"/>
          <w:szCs w:val="26"/>
          <w:lang w:val="uk-UA" w:eastAsia="uk-UA"/>
        </w:rPr>
        <w:t xml:space="preserve"> 2016 рік.</w:t>
      </w:r>
    </w:p>
    <w:p w:rsidR="00DA533E" w:rsidRPr="004119F0" w:rsidRDefault="00DA533E" w:rsidP="00DA533E">
      <w:pPr>
        <w:suppressAutoHyphens w:val="0"/>
        <w:autoSpaceDE/>
        <w:spacing w:after="404"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119F0">
        <w:rPr>
          <w:rFonts w:eastAsia="Sylfaen"/>
          <w:color w:val="000000"/>
          <w:sz w:val="26"/>
          <w:szCs w:val="26"/>
          <w:lang w:val="uk-UA" w:eastAsia="uk-UA"/>
        </w:rPr>
        <w:t>Звернутися до Вищої ради правосуддя для вирішення питання про відкриття дисциплінарної справи чи відмову у її відкритті стосовно судді Шевченківського районного суду міста Києва Притули Наталії Григорівни.</w:t>
      </w:r>
    </w:p>
    <w:p w:rsidR="00831653" w:rsidRPr="004119F0" w:rsidRDefault="00831653" w:rsidP="007146BC">
      <w:pPr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1F6738" w:rsidRPr="004119F0" w:rsidRDefault="001F6738" w:rsidP="007146BC">
      <w:pPr>
        <w:ind w:left="4536" w:hanging="4525"/>
        <w:jc w:val="both"/>
        <w:rPr>
          <w:sz w:val="26"/>
          <w:szCs w:val="26"/>
          <w:lang w:val="uk-UA"/>
        </w:rPr>
      </w:pPr>
      <w:r w:rsidRPr="004119F0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119F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68561A" w:rsidRPr="004119F0">
        <w:rPr>
          <w:sz w:val="26"/>
          <w:szCs w:val="26"/>
          <w:lang w:val="uk-UA"/>
        </w:rPr>
        <w:t>С.О. Щотка</w:t>
      </w:r>
    </w:p>
    <w:p w:rsidR="00387B27" w:rsidRPr="004119F0" w:rsidRDefault="00387B27" w:rsidP="007146BC">
      <w:pPr>
        <w:jc w:val="both"/>
        <w:rPr>
          <w:sz w:val="26"/>
          <w:szCs w:val="26"/>
          <w:lang w:val="uk-UA"/>
        </w:rPr>
      </w:pPr>
    </w:p>
    <w:p w:rsidR="00A215CD" w:rsidRPr="004119F0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4119F0">
        <w:rPr>
          <w:sz w:val="26"/>
          <w:szCs w:val="26"/>
          <w:lang w:val="uk-UA"/>
        </w:rPr>
        <w:t>Члени Комісії:</w:t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="0068561A" w:rsidRPr="004119F0">
        <w:rPr>
          <w:sz w:val="26"/>
          <w:szCs w:val="26"/>
          <w:lang w:val="uk-UA"/>
        </w:rPr>
        <w:t>А.О. Заріцька</w:t>
      </w:r>
    </w:p>
    <w:p w:rsidR="00A215CD" w:rsidRPr="004119F0" w:rsidRDefault="00A215CD" w:rsidP="007146BC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4119F0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Pr="004119F0">
        <w:rPr>
          <w:sz w:val="26"/>
          <w:szCs w:val="26"/>
          <w:lang w:val="uk-UA"/>
        </w:rPr>
        <w:tab/>
      </w:r>
      <w:r w:rsidR="0068561A" w:rsidRPr="004119F0">
        <w:rPr>
          <w:sz w:val="26"/>
          <w:szCs w:val="26"/>
          <w:lang w:val="uk-UA"/>
        </w:rPr>
        <w:t>М.А. Макарчук</w:t>
      </w:r>
    </w:p>
    <w:p w:rsidR="00B97CFB" w:rsidRPr="004119F0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p w:rsidR="00D27C43" w:rsidRPr="00B946CE" w:rsidRDefault="00D27C43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D27C43" w:rsidRPr="00B946CE" w:rsidSect="00E619C7">
      <w:headerReference w:type="default" r:id="rId10"/>
      <w:pgSz w:w="11907" w:h="16839" w:code="9"/>
      <w:pgMar w:top="694" w:right="708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1E" w:rsidRDefault="00F32C1E" w:rsidP="009B4017">
      <w:r>
        <w:separator/>
      </w:r>
    </w:p>
  </w:endnote>
  <w:endnote w:type="continuationSeparator" w:id="0">
    <w:p w:rsidR="00F32C1E" w:rsidRDefault="00F32C1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1E" w:rsidRDefault="00F32C1E" w:rsidP="009B4017">
      <w:r>
        <w:separator/>
      </w:r>
    </w:p>
  </w:footnote>
  <w:footnote w:type="continuationSeparator" w:id="0">
    <w:p w:rsidR="00F32C1E" w:rsidRDefault="00F32C1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78D" w:rsidRPr="008A278D">
          <w:rPr>
            <w:noProof/>
            <w:lang w:val="uk-UA"/>
          </w:rPr>
          <w:t>5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71417"/>
    <w:multiLevelType w:val="multilevel"/>
    <w:tmpl w:val="C3A4F1A0"/>
    <w:lvl w:ilvl="0">
      <w:start w:val="28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4"/>
  </w:num>
  <w:num w:numId="3">
    <w:abstractNumId w:val="23"/>
  </w:num>
  <w:num w:numId="4">
    <w:abstractNumId w:val="24"/>
  </w:num>
  <w:num w:numId="5">
    <w:abstractNumId w:val="27"/>
  </w:num>
  <w:num w:numId="6">
    <w:abstractNumId w:val="7"/>
  </w:num>
  <w:num w:numId="7">
    <w:abstractNumId w:val="0"/>
  </w:num>
  <w:num w:numId="8">
    <w:abstractNumId w:val="10"/>
  </w:num>
  <w:num w:numId="9">
    <w:abstractNumId w:val="18"/>
  </w:num>
  <w:num w:numId="10">
    <w:abstractNumId w:val="25"/>
  </w:num>
  <w:num w:numId="11">
    <w:abstractNumId w:val="17"/>
  </w:num>
  <w:num w:numId="12">
    <w:abstractNumId w:val="2"/>
  </w:num>
  <w:num w:numId="13">
    <w:abstractNumId w:val="26"/>
  </w:num>
  <w:num w:numId="14">
    <w:abstractNumId w:val="5"/>
  </w:num>
  <w:num w:numId="15">
    <w:abstractNumId w:val="32"/>
  </w:num>
  <w:num w:numId="16">
    <w:abstractNumId w:val="15"/>
  </w:num>
  <w:num w:numId="17">
    <w:abstractNumId w:val="11"/>
  </w:num>
  <w:num w:numId="18">
    <w:abstractNumId w:val="14"/>
  </w:num>
  <w:num w:numId="19">
    <w:abstractNumId w:val="31"/>
  </w:num>
  <w:num w:numId="20">
    <w:abstractNumId w:val="35"/>
  </w:num>
  <w:num w:numId="21">
    <w:abstractNumId w:val="19"/>
  </w:num>
  <w:num w:numId="22">
    <w:abstractNumId w:val="20"/>
  </w:num>
  <w:num w:numId="23">
    <w:abstractNumId w:val="3"/>
  </w:num>
  <w:num w:numId="24">
    <w:abstractNumId w:val="6"/>
  </w:num>
  <w:num w:numId="25">
    <w:abstractNumId w:val="16"/>
  </w:num>
  <w:num w:numId="26">
    <w:abstractNumId w:val="36"/>
  </w:num>
  <w:num w:numId="27">
    <w:abstractNumId w:val="21"/>
  </w:num>
  <w:num w:numId="28">
    <w:abstractNumId w:val="33"/>
  </w:num>
  <w:num w:numId="29">
    <w:abstractNumId w:val="8"/>
  </w:num>
  <w:num w:numId="30">
    <w:abstractNumId w:val="29"/>
  </w:num>
  <w:num w:numId="31">
    <w:abstractNumId w:val="9"/>
  </w:num>
  <w:num w:numId="32">
    <w:abstractNumId w:val="28"/>
  </w:num>
  <w:num w:numId="33">
    <w:abstractNumId w:val="30"/>
  </w:num>
  <w:num w:numId="34">
    <w:abstractNumId w:val="13"/>
  </w:num>
  <w:num w:numId="35">
    <w:abstractNumId w:val="12"/>
  </w:num>
  <w:num w:numId="36">
    <w:abstractNumId w:val="22"/>
  </w:num>
  <w:num w:numId="3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37C96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9F0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268B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851"/>
    <w:rsid w:val="00475B9B"/>
    <w:rsid w:val="00475DF6"/>
    <w:rsid w:val="004767E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06AF7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2BE3"/>
    <w:rsid w:val="006539E8"/>
    <w:rsid w:val="00653F48"/>
    <w:rsid w:val="00653F51"/>
    <w:rsid w:val="00654D62"/>
    <w:rsid w:val="006553FF"/>
    <w:rsid w:val="00655C8C"/>
    <w:rsid w:val="00660274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561A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1483"/>
    <w:rsid w:val="008230D0"/>
    <w:rsid w:val="008309C7"/>
    <w:rsid w:val="0083121D"/>
    <w:rsid w:val="00831653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78D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4EDE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02B6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46CE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1D62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3A9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3D79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27C43"/>
    <w:rsid w:val="00D3028E"/>
    <w:rsid w:val="00D3056C"/>
    <w:rsid w:val="00D3159C"/>
    <w:rsid w:val="00D32842"/>
    <w:rsid w:val="00D35175"/>
    <w:rsid w:val="00D35E99"/>
    <w:rsid w:val="00D36C59"/>
    <w:rsid w:val="00D55701"/>
    <w:rsid w:val="00D60459"/>
    <w:rsid w:val="00D60A1A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533E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1D31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0BF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2C17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2C1E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137B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42120-78E5-4215-B06D-849E23A2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9126</Words>
  <Characters>5203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7</cp:revision>
  <cp:lastPrinted>2020-10-13T12:12:00Z</cp:lastPrinted>
  <dcterms:created xsi:type="dcterms:W3CDTF">2020-10-22T06:02:00Z</dcterms:created>
  <dcterms:modified xsi:type="dcterms:W3CDTF">2020-10-26T11:06:00Z</dcterms:modified>
</cp:coreProperties>
</file>