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278" w:rsidRPr="00B3686E" w:rsidRDefault="00A77278" w:rsidP="00B3686E">
      <w:pPr>
        <w:widowControl/>
        <w:ind w:left="567" w:right="-364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B3686E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w:drawing>
          <wp:inline distT="0" distB="0" distL="0" distR="0" wp14:anchorId="368E2DFC" wp14:editId="0786F51E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278" w:rsidRPr="00B3686E" w:rsidRDefault="00A77278" w:rsidP="00B3686E">
      <w:pPr>
        <w:widowControl/>
        <w:ind w:left="567" w:right="-364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A77278" w:rsidRPr="00B3686E" w:rsidRDefault="00A77278" w:rsidP="00B3686E">
      <w:pPr>
        <w:widowControl/>
        <w:ind w:left="567" w:right="-364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B3686E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en-US"/>
        </w:rPr>
        <w:t xml:space="preserve">    </w:t>
      </w:r>
      <w:r w:rsidR="00B3686E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en-US"/>
        </w:rPr>
        <w:t xml:space="preserve"> </w:t>
      </w:r>
      <w:r w:rsidRPr="00B3686E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A77278" w:rsidRPr="00B3686E" w:rsidRDefault="00A77278" w:rsidP="00B3686E">
      <w:pPr>
        <w:widowControl/>
        <w:spacing w:line="360" w:lineRule="auto"/>
        <w:ind w:left="567" w:right="-364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A77278" w:rsidRPr="00B3686E" w:rsidRDefault="00A77278" w:rsidP="00B3686E">
      <w:pPr>
        <w:widowControl/>
        <w:ind w:left="567" w:right="-364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B368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28 березня 2019 року</w:t>
      </w:r>
      <w:r w:rsidRPr="00B368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B368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B368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B368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</w:t>
      </w:r>
      <w:r w:rsidRPr="00B368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         </w:t>
      </w:r>
      <w:r w:rsidR="00B368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 xml:space="preserve">                        </w:t>
      </w:r>
      <w:r w:rsidRPr="00B368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 xml:space="preserve">  </w:t>
      </w:r>
      <w:r w:rsidR="007E43D6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 xml:space="preserve"> </w:t>
      </w:r>
      <w:r w:rsidRPr="00B368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м. Київ</w:t>
      </w:r>
    </w:p>
    <w:p w:rsidR="00A77278" w:rsidRPr="00B3686E" w:rsidRDefault="00A77278" w:rsidP="00B3686E">
      <w:pPr>
        <w:pStyle w:val="aa"/>
        <w:spacing w:line="360" w:lineRule="auto"/>
        <w:ind w:left="567" w:right="-364"/>
        <w:rPr>
          <w:rFonts w:ascii="Times New Roman" w:hAnsi="Times New Roman" w:cs="Times New Roman"/>
          <w:sz w:val="27"/>
          <w:szCs w:val="27"/>
        </w:rPr>
      </w:pPr>
    </w:p>
    <w:p w:rsidR="00A77278" w:rsidRPr="007E43D6" w:rsidRDefault="00A77278" w:rsidP="00B3686E">
      <w:pPr>
        <w:widowControl/>
        <w:spacing w:line="480" w:lineRule="auto"/>
        <w:ind w:left="567" w:right="-364"/>
        <w:jc w:val="center"/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val="ru-RU" w:eastAsia="ru-RU"/>
        </w:rPr>
      </w:pPr>
      <w:r w:rsidRPr="00B3686E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Р І Ш Е Н </w:t>
      </w:r>
      <w:proofErr w:type="spellStart"/>
      <w:r w:rsidRPr="00B3686E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>Н</w:t>
      </w:r>
      <w:proofErr w:type="spellEnd"/>
      <w:r w:rsidRPr="00B3686E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 Я № </w:t>
      </w:r>
      <w:r w:rsidRPr="00B3686E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1</w:t>
      </w:r>
      <w:r w:rsidRPr="007E43D6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val="ru-RU" w:eastAsia="ru-RU"/>
        </w:rPr>
        <w:t>3</w:t>
      </w:r>
      <w:r w:rsidRPr="00B3686E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/дп-19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480" w:lineRule="auto"/>
        <w:ind w:left="567" w:right="-364"/>
      </w:pPr>
      <w:r w:rsidRPr="00B3686E">
        <w:t>Вища кваліфікаційна комісія суддів України у складі колегії: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480" w:lineRule="auto"/>
        <w:ind w:left="567" w:right="-364"/>
      </w:pPr>
      <w:r w:rsidRPr="00B3686E">
        <w:t xml:space="preserve">головуючого </w:t>
      </w:r>
      <w:r w:rsidR="00C803EC">
        <w:t>–</w:t>
      </w:r>
      <w:r w:rsidRPr="00B3686E">
        <w:t xml:space="preserve"> Бутенка В.І.,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480" w:lineRule="auto"/>
        <w:ind w:left="567" w:right="-364"/>
      </w:pPr>
      <w:r w:rsidRPr="00B3686E">
        <w:t>членів Комісії: Василенка А.В., Шилової Т.С.,</w:t>
      </w:r>
    </w:p>
    <w:p w:rsidR="0006567F" w:rsidRPr="00B3686E" w:rsidRDefault="00072C0C" w:rsidP="00B3686E">
      <w:pPr>
        <w:pStyle w:val="11"/>
        <w:shd w:val="clear" w:color="auto" w:fill="auto"/>
        <w:spacing w:before="0" w:after="281" w:line="322" w:lineRule="exact"/>
        <w:ind w:left="567" w:right="-364"/>
      </w:pPr>
      <w:r w:rsidRPr="00B3686E">
        <w:t xml:space="preserve">розглянувши питання щодо недостовірності (у тому числі неповноти) </w:t>
      </w:r>
      <w:r w:rsidR="007E43D6">
        <w:t xml:space="preserve">                        </w:t>
      </w:r>
      <w:r w:rsidRPr="00B3686E">
        <w:t>тверджень, вказаних суддею апеляційного суду Одеської області Погорєловою Світланою Олегівною в декларації доброчесності судді за 2017 рік,</w:t>
      </w:r>
    </w:p>
    <w:p w:rsidR="0006567F" w:rsidRPr="00B3686E" w:rsidRDefault="00072C0C" w:rsidP="00B3686E">
      <w:pPr>
        <w:pStyle w:val="11"/>
        <w:shd w:val="clear" w:color="auto" w:fill="auto"/>
        <w:spacing w:before="0" w:after="301" w:line="270" w:lineRule="exact"/>
        <w:ind w:left="567" w:right="-364" w:firstLine="709"/>
        <w:jc w:val="center"/>
      </w:pPr>
      <w:r w:rsidRPr="00B3686E">
        <w:t>встановила: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 xml:space="preserve">Відповідно до частини першої статті 62 Закону України «Про судоустрій і статус суддів» (далі </w:t>
      </w:r>
      <w:r w:rsidR="00C803EC">
        <w:t>–</w:t>
      </w:r>
      <w:r w:rsidRPr="00B3686E">
        <w:t xml:space="preserve"> Закон) суддя зобов’язаний щорічно до 1 лютого подавати шляхом заповнення на офіційному веб-сайті Вищої кваліфікаційної комісії </w:t>
      </w:r>
      <w:r w:rsidR="007E43D6">
        <w:t xml:space="preserve">          </w:t>
      </w:r>
      <w:r w:rsidRPr="00B3686E">
        <w:t xml:space="preserve">суддів України декларацію доброчесності за формою, що визначається </w:t>
      </w:r>
      <w:r w:rsidR="007E43D6">
        <w:t xml:space="preserve">            </w:t>
      </w:r>
      <w:r w:rsidRPr="00B3686E">
        <w:t>Комісією.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>Форму декларації доброчесності судді затверджено рішенням Комісії</w:t>
      </w:r>
      <w:r w:rsidR="007E43D6">
        <w:t xml:space="preserve">              </w:t>
      </w:r>
      <w:r w:rsidRPr="00B3686E">
        <w:t>від 31 жовтня 2016 року № 137/зп-16.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>У встановленому законом порядку Погорєлова С.О. подала декларацію доброчесності судді за 2017 рік.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 xml:space="preserve">До Комісії у жовтні 2018 року надійшло повідомлення </w:t>
      </w:r>
      <w:proofErr w:type="spellStart"/>
      <w:r w:rsidRPr="00B3686E">
        <w:t>Смалюка</w:t>
      </w:r>
      <w:proofErr w:type="spellEnd"/>
      <w:r w:rsidRPr="00B3686E">
        <w:t xml:space="preserve"> Р.В.</w:t>
      </w:r>
      <w:r w:rsidR="007E43D6">
        <w:t xml:space="preserve">              </w:t>
      </w:r>
      <w:r w:rsidRPr="00B3686E">
        <w:t xml:space="preserve"> щодо недостовірності (у тому числі неповноти) тверджень, вказаних суддею апеляційного суду Одеської області Погорєловою С.О. у декларації доброчесності судді за 2017 рік.</w:t>
      </w:r>
    </w:p>
    <w:p w:rsidR="007E43D6" w:rsidRDefault="00072C0C" w:rsidP="00F76CB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 xml:space="preserve">Заявник зазначає, що в пункті 15 поданої до Комісії декларації доброчесності суддя Погорєлова С.О. підтвердила, що випадків втручання у її діяльність зі здійснення правосуддя не було. На думку заявника, зазначене твердження є недостовірним, оскільки 26 липня 2017 року Вищою радою правосуддя отримано повідомлення судді про втручання в її діяльність зі здійснення правосуддя, в якому суддя повідомила про дії невідомих осіб під час проведення судових засідань, які були розцінені нею та іншими суддями як </w:t>
      </w:r>
      <w:r w:rsidR="007E43D6">
        <w:t xml:space="preserve">             </w:t>
      </w:r>
      <w:r w:rsidRPr="00B3686E">
        <w:t>такі, що є тиском на суд та втручанням у діяльність суддів щодо здійснення правосуддя.</w:t>
      </w:r>
      <w:r w:rsidRPr="00B3686E">
        <w:br w:type="page"/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lastRenderedPageBreak/>
        <w:t xml:space="preserve">Обставини вказаної справи підпадають під визначення, наведене в </w:t>
      </w:r>
      <w:r w:rsidR="00280C90">
        <w:t xml:space="preserve">                 </w:t>
      </w:r>
      <w:r w:rsidRPr="00B3686E">
        <w:t>пункті 2 частини першої статті 3 Закону України «Про відновлення довіри до судової влади в Україні».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 xml:space="preserve">З урахуванням викладених обставин </w:t>
      </w:r>
      <w:proofErr w:type="spellStart"/>
      <w:r w:rsidRPr="00B3686E">
        <w:t>Смалюк</w:t>
      </w:r>
      <w:proofErr w:type="spellEnd"/>
      <w:r w:rsidRPr="00B3686E">
        <w:t xml:space="preserve"> Р.В. просить Комісію здійснити перевірку декларації доброчесності судді Погорєлової С.О. за </w:t>
      </w:r>
      <w:r w:rsidR="00280C90">
        <w:t xml:space="preserve">                        </w:t>
      </w:r>
      <w:r w:rsidRPr="00B3686E">
        <w:t>2017 рік.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 xml:space="preserve">Відповідно до частини шостої статті 62 Закону у разі одержання інформації, що може свідчити про недостовірність (в тому числі неповноту) тверджень судді в декларації доброчесності, Вища кваліфікаційна комісія </w:t>
      </w:r>
      <w:r w:rsidR="00280C90">
        <w:t xml:space="preserve">                  </w:t>
      </w:r>
      <w:r w:rsidRPr="00B3686E">
        <w:t>суддів України проводить відповідну перевірку.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>Дослідивши матеріали справи, Комісією встановлено таке.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>У поданій декларації доброчесності судді за 2017 рік у пункті 15</w:t>
      </w:r>
      <w:r w:rsidR="00280C90">
        <w:t xml:space="preserve">             </w:t>
      </w:r>
      <w:r w:rsidRPr="00B3686E">
        <w:t xml:space="preserve"> зазначеної декларації суддею Погорєловою С.О. поставлено відмітку біля твердження «Випадків втручання у мою діяльність по здійсненню правосуддя </w:t>
      </w:r>
      <w:r w:rsidR="00280C90">
        <w:t xml:space="preserve">              </w:t>
      </w:r>
      <w:r w:rsidRPr="00B3686E">
        <w:t>не було».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 xml:space="preserve">Суддя Погорєлова С.О. пояснила, що під час розгляду деяких цивільних справ, які відбулися 19 липня 2017 року, присутніми в залі судового засідання невстановленими особами було порушено належний порядок його проведення, що, на думку колегії суддів, свідчило про очевидну неповагу до суду, встановлених правил поведінки в суді. Все це було проявом тиску на суд та втручанням у діяльність суддів щодо здійснення правосуддя, тому колегія </w:t>
      </w:r>
      <w:r w:rsidR="00280C90">
        <w:t xml:space="preserve">             </w:t>
      </w:r>
      <w:r w:rsidRPr="00B3686E">
        <w:t>суддів звернулася із відповідним поданням до Вищої ради правосуддя.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>Оскільки на час заповнення декларації доброчесності судді за 2017 рік</w:t>
      </w:r>
      <w:r w:rsidR="00280C90">
        <w:t xml:space="preserve">                     </w:t>
      </w:r>
      <w:r w:rsidRPr="00B3686E">
        <w:t xml:space="preserve"> були відсутні відомості щодо виявлення в діях невстановлених осіб, присутніх</w:t>
      </w:r>
      <w:r w:rsidR="00280C90">
        <w:t xml:space="preserve">                </w:t>
      </w:r>
      <w:r w:rsidRPr="00B3686E">
        <w:t xml:space="preserve"> у судовому засіданні, факту втручання у здійснення суддею Погорєловою С.О. правосуддя, при заповненні вказаної декларації суддя вказала, що випадків втручання у її діяльність зі здійснення правосуддя не було.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>Крім того, відповідно до висновку Вищої ради правосуддя</w:t>
      </w:r>
      <w:r w:rsidR="00280C90">
        <w:t xml:space="preserve">                                   </w:t>
      </w:r>
      <w:r w:rsidRPr="00B3686E">
        <w:t xml:space="preserve"> від 05 листопада 2018 року та рішення від 20 листопада 2018 року підстави для вжиття заходів щодо забезпечення незалежності суддів </w:t>
      </w:r>
      <w:proofErr w:type="spellStart"/>
      <w:r w:rsidRPr="00B3686E">
        <w:t>Погорєлової</w:t>
      </w:r>
      <w:proofErr w:type="spellEnd"/>
      <w:r w:rsidRPr="00B3686E">
        <w:t xml:space="preserve"> С.О., </w:t>
      </w:r>
      <w:r w:rsidR="00280C90">
        <w:t xml:space="preserve">                </w:t>
      </w:r>
      <w:proofErr w:type="spellStart"/>
      <w:r w:rsidRPr="00B3686E">
        <w:t>Заїкіна</w:t>
      </w:r>
      <w:proofErr w:type="spellEnd"/>
      <w:r w:rsidRPr="00B3686E">
        <w:t xml:space="preserve"> А.П., </w:t>
      </w:r>
      <w:proofErr w:type="spellStart"/>
      <w:r w:rsidRPr="00B3686E">
        <w:t>Калараш</w:t>
      </w:r>
      <w:proofErr w:type="spellEnd"/>
      <w:r w:rsidRPr="00B3686E">
        <w:t xml:space="preserve"> А.А. та авторитету правосуддя за повідомленням апеляційного суду Одеської області відсутні.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 xml:space="preserve">Слід також зазначити, що на момент звернення </w:t>
      </w:r>
      <w:proofErr w:type="spellStart"/>
      <w:r w:rsidRPr="00B3686E">
        <w:t>Смалюка</w:t>
      </w:r>
      <w:proofErr w:type="spellEnd"/>
      <w:r w:rsidRPr="00B3686E">
        <w:t xml:space="preserve"> Р.В. стосовно проведення перевірки декларації доброчесності судді Погорєлової С.О. </w:t>
      </w:r>
      <w:r w:rsidR="00280C90">
        <w:t xml:space="preserve">                </w:t>
      </w:r>
      <w:r w:rsidRPr="00B3686E">
        <w:t>рішенням Комісії від 27 червня 2018 року суддя Погорєлова С.О. визнана</w:t>
      </w:r>
      <w:r w:rsidR="00280C90">
        <w:t xml:space="preserve">                    </w:t>
      </w:r>
      <w:r w:rsidRPr="00B3686E">
        <w:t xml:space="preserve"> такою, що за результатами кваліфікаційного оцінювання суддів місцевих та апеляційних судів відповідає займаній посаді.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>З огляду на викладене Комісією зроблено висновок, що у судді Погорєлової С.О. були відсутні підстави для відображення даних у пункті 15 декларації доброчесності про випадки втручання в діяльність зі здійснення правосуддя.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 xml:space="preserve">Відповідно до підпункту 6.2.4. пункту 6.2 розділу VI Регламенту Вищої кваліфікаційної комісії суддів України, затвердженого рішенням Комісії </w:t>
      </w:r>
      <w:r w:rsidR="00280C90">
        <w:t xml:space="preserve">                  </w:t>
      </w:r>
      <w:r w:rsidRPr="00B3686E">
        <w:t xml:space="preserve">від </w:t>
      </w:r>
      <w:r w:rsidR="00280C90">
        <w:t xml:space="preserve">  </w:t>
      </w:r>
      <w:r w:rsidRPr="00B3686E">
        <w:t xml:space="preserve">13 </w:t>
      </w:r>
      <w:r w:rsidR="00280C90">
        <w:t xml:space="preserve"> </w:t>
      </w:r>
      <w:r w:rsidRPr="00B3686E">
        <w:t xml:space="preserve">жовтня </w:t>
      </w:r>
      <w:r w:rsidR="00280C90">
        <w:t xml:space="preserve"> </w:t>
      </w:r>
      <w:r w:rsidRPr="00B3686E">
        <w:t xml:space="preserve">2016 </w:t>
      </w:r>
      <w:r w:rsidR="00A72C0C">
        <w:t xml:space="preserve"> </w:t>
      </w:r>
      <w:r w:rsidR="00280C90">
        <w:t xml:space="preserve"> </w:t>
      </w:r>
      <w:r w:rsidRPr="00B3686E">
        <w:t>року</w:t>
      </w:r>
      <w:r w:rsidR="00280C90">
        <w:t xml:space="preserve"> </w:t>
      </w:r>
      <w:r w:rsidR="00A72C0C">
        <w:t xml:space="preserve"> </w:t>
      </w:r>
      <w:r w:rsidRPr="00B3686E">
        <w:t xml:space="preserve"> № </w:t>
      </w:r>
      <w:r w:rsidR="00280C90">
        <w:t xml:space="preserve"> </w:t>
      </w:r>
      <w:r w:rsidRPr="00B3686E">
        <w:t>81/зп-16</w:t>
      </w:r>
      <w:r w:rsidR="00280C90">
        <w:t xml:space="preserve"> </w:t>
      </w:r>
      <w:r w:rsidRPr="00B3686E">
        <w:t xml:space="preserve"> (зі </w:t>
      </w:r>
      <w:r w:rsidR="00280C90">
        <w:t xml:space="preserve"> </w:t>
      </w:r>
      <w:r w:rsidRPr="00B3686E">
        <w:t xml:space="preserve">змінами), </w:t>
      </w:r>
      <w:r w:rsidR="00280C90">
        <w:t xml:space="preserve"> </w:t>
      </w:r>
      <w:r w:rsidRPr="00B3686E">
        <w:t xml:space="preserve">повідомлення, </w:t>
      </w:r>
      <w:r w:rsidR="00280C90">
        <w:t xml:space="preserve">  </w:t>
      </w:r>
      <w:r w:rsidRPr="00B3686E">
        <w:t>які</w:t>
      </w:r>
      <w:r w:rsidR="00280C90">
        <w:t xml:space="preserve"> </w:t>
      </w:r>
      <w:r w:rsidRPr="00B3686E">
        <w:t xml:space="preserve"> </w:t>
      </w:r>
      <w:r w:rsidR="00280C90">
        <w:t xml:space="preserve"> </w:t>
      </w:r>
      <w:r w:rsidRPr="00B3686E">
        <w:t>були</w:t>
      </w:r>
      <w:r w:rsidRPr="00B3686E">
        <w:br w:type="page"/>
      </w:r>
      <w:r w:rsidRPr="00B3686E">
        <w:lastRenderedPageBreak/>
        <w:t>предметом дослідження (зокрема на кваліфікаційному оцінюванні судді), повторному розгляду не підлягають і відповідно залишаються без розгляду.</w:t>
      </w:r>
    </w:p>
    <w:p w:rsidR="0006567F" w:rsidRPr="00B3686E" w:rsidRDefault="00072C0C" w:rsidP="00B3686E">
      <w:pPr>
        <w:pStyle w:val="11"/>
        <w:shd w:val="clear" w:color="auto" w:fill="auto"/>
        <w:spacing w:before="0" w:after="0" w:line="322" w:lineRule="exact"/>
        <w:ind w:left="567" w:right="-364" w:firstLine="709"/>
      </w:pPr>
      <w:r w:rsidRPr="00B3686E">
        <w:t xml:space="preserve">Таким чином, оскільки повідомлення </w:t>
      </w:r>
      <w:proofErr w:type="spellStart"/>
      <w:r w:rsidRPr="00B3686E">
        <w:t>Смалюка</w:t>
      </w:r>
      <w:proofErr w:type="spellEnd"/>
      <w:r w:rsidRPr="00B3686E">
        <w:t xml:space="preserve"> Р.В. вже було предметом дослідження на кваліфікаційному оцінюванні судді Погорєлової С.О., це повідомлення підлягає залишенню без розгляду.</w:t>
      </w:r>
    </w:p>
    <w:p w:rsidR="0006567F" w:rsidRPr="00B3686E" w:rsidRDefault="00072C0C" w:rsidP="00B3686E">
      <w:pPr>
        <w:pStyle w:val="11"/>
        <w:shd w:val="clear" w:color="auto" w:fill="auto"/>
        <w:spacing w:before="0" w:after="281" w:line="322" w:lineRule="exact"/>
        <w:ind w:left="567" w:right="-364" w:firstLine="709"/>
      </w:pPr>
      <w:r w:rsidRPr="00B3686E">
        <w:t>Керуючись статтями 62, 93, 101 Закону, розділом VI Регламенту Вищої кваліфікаційної комісії судів України, Комісія</w:t>
      </w:r>
    </w:p>
    <w:p w:rsidR="0006567F" w:rsidRPr="00B3686E" w:rsidRDefault="00072C0C" w:rsidP="00B3686E">
      <w:pPr>
        <w:pStyle w:val="11"/>
        <w:shd w:val="clear" w:color="auto" w:fill="auto"/>
        <w:spacing w:before="0" w:after="130" w:line="270" w:lineRule="exact"/>
        <w:ind w:left="567" w:right="-364" w:firstLine="709"/>
        <w:jc w:val="center"/>
      </w:pPr>
      <w:r w:rsidRPr="00B3686E">
        <w:t>вирішила:</w:t>
      </w:r>
    </w:p>
    <w:p w:rsidR="0006567F" w:rsidRPr="00B3686E" w:rsidRDefault="00072C0C" w:rsidP="001262B6">
      <w:pPr>
        <w:pStyle w:val="11"/>
        <w:shd w:val="clear" w:color="auto" w:fill="auto"/>
        <w:spacing w:before="0" w:after="578" w:line="317" w:lineRule="exact"/>
        <w:ind w:left="567" w:right="-364"/>
      </w:pPr>
      <w:r w:rsidRPr="00B3686E">
        <w:t>залишити без розгляду повідомлення щодо інформації, яка може свідчити про недостовірність (в тому числі неповноту) тверджень, вказаних суддею апеляційного суду Одеської області Погорєловою Світланою Олегівною у декларації доброчесності судді за 2017 рік.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A77278" w:rsidRPr="00D724BD" w:rsidTr="00F96394">
        <w:tc>
          <w:tcPr>
            <w:tcW w:w="3284" w:type="dxa"/>
            <w:shd w:val="clear" w:color="auto" w:fill="auto"/>
          </w:tcPr>
          <w:p w:rsidR="00A77278" w:rsidRPr="00D724BD" w:rsidRDefault="00A77278" w:rsidP="001262B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ar-SA"/>
              </w:rPr>
            </w:pPr>
            <w:r w:rsidRPr="00D724BD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ar-SA"/>
              </w:rPr>
              <w:t xml:space="preserve">Головуючий </w:t>
            </w:r>
          </w:p>
          <w:p w:rsidR="00A77278" w:rsidRPr="00D724BD" w:rsidRDefault="00A77278" w:rsidP="001262B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7"/>
                <w:szCs w:val="27"/>
                <w:lang w:eastAsia="ar-SA"/>
              </w:rPr>
            </w:pPr>
            <w:r w:rsidRPr="00D724BD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ar-SA"/>
              </w:rPr>
              <w:t>Члени Комісії:</w:t>
            </w:r>
          </w:p>
        </w:tc>
        <w:tc>
          <w:tcPr>
            <w:tcW w:w="3061" w:type="dxa"/>
            <w:shd w:val="clear" w:color="auto" w:fill="auto"/>
          </w:tcPr>
          <w:p w:rsidR="00A77278" w:rsidRPr="00D724BD" w:rsidRDefault="00A77278" w:rsidP="001262B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/>
              <w:jc w:val="center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ar-SA"/>
              </w:rPr>
            </w:pPr>
            <w:bookmarkStart w:id="0" w:name="_GoBack"/>
            <w:bookmarkEnd w:id="0"/>
          </w:p>
        </w:tc>
        <w:tc>
          <w:tcPr>
            <w:tcW w:w="3828" w:type="dxa"/>
            <w:shd w:val="clear" w:color="auto" w:fill="auto"/>
          </w:tcPr>
          <w:p w:rsidR="00A77278" w:rsidRPr="00D724BD" w:rsidRDefault="00A77278" w:rsidP="001262B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 w:firstLine="131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724BD">
              <w:rPr>
                <w:rFonts w:ascii="Times New Roman" w:eastAsia="Times New Roman" w:hAnsi="Times New Roman" w:cs="Times New Roman"/>
                <w:sz w:val="27"/>
                <w:szCs w:val="27"/>
              </w:rPr>
              <w:t>В.І. Бутенко</w:t>
            </w:r>
          </w:p>
          <w:p w:rsidR="00A77278" w:rsidRPr="00D724BD" w:rsidRDefault="00A77278" w:rsidP="001262B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 w:firstLine="131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724BD">
              <w:rPr>
                <w:rFonts w:ascii="Times New Roman" w:eastAsia="Times New Roman" w:hAnsi="Times New Roman" w:cs="Times New Roman"/>
                <w:sz w:val="27"/>
                <w:szCs w:val="27"/>
              </w:rPr>
              <w:t>А.В. Василенко</w:t>
            </w:r>
          </w:p>
          <w:p w:rsidR="00A77278" w:rsidRPr="00D724BD" w:rsidRDefault="00A77278" w:rsidP="001262B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 w:firstLine="1310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ar-SA"/>
              </w:rPr>
            </w:pPr>
            <w:r w:rsidRPr="00D724BD">
              <w:rPr>
                <w:rFonts w:ascii="Times New Roman" w:eastAsia="Times New Roman" w:hAnsi="Times New Roman" w:cs="Times New Roman"/>
                <w:sz w:val="27"/>
                <w:szCs w:val="27"/>
              </w:rPr>
              <w:t>Т.С. Шилова</w:t>
            </w:r>
          </w:p>
        </w:tc>
      </w:tr>
    </w:tbl>
    <w:p w:rsidR="00A77278" w:rsidRPr="00A77278" w:rsidRDefault="00A77278" w:rsidP="00B3686E">
      <w:pPr>
        <w:spacing w:line="270" w:lineRule="exact"/>
        <w:ind w:left="567" w:right="-364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6567F" w:rsidRPr="00B3686E" w:rsidRDefault="0006567F" w:rsidP="00B3686E">
      <w:pPr>
        <w:pStyle w:val="11"/>
        <w:shd w:val="clear" w:color="auto" w:fill="auto"/>
        <w:spacing w:before="0" w:after="0" w:line="270" w:lineRule="exact"/>
        <w:ind w:left="567" w:right="-364" w:firstLine="709"/>
      </w:pPr>
    </w:p>
    <w:sectPr w:rsidR="0006567F" w:rsidRPr="00B3686E" w:rsidSect="00851AD6">
      <w:headerReference w:type="even" r:id="rId8"/>
      <w:headerReference w:type="default" r:id="rId9"/>
      <w:type w:val="continuous"/>
      <w:pgSz w:w="11909" w:h="16838"/>
      <w:pgMar w:top="1090" w:right="1099" w:bottom="875" w:left="110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C0C" w:rsidRDefault="00072C0C">
      <w:r>
        <w:separator/>
      </w:r>
    </w:p>
  </w:endnote>
  <w:endnote w:type="continuationSeparator" w:id="0">
    <w:p w:rsidR="00072C0C" w:rsidRDefault="00072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C0C" w:rsidRDefault="00072C0C"/>
  </w:footnote>
  <w:footnote w:type="continuationSeparator" w:id="0">
    <w:p w:rsidR="00072C0C" w:rsidRDefault="00072C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824856"/>
      <w:docPartObj>
        <w:docPartGallery w:val="Page Numbers (Top of Page)"/>
        <w:docPartUnique/>
      </w:docPartObj>
    </w:sdtPr>
    <w:sdtEndPr/>
    <w:sdtContent>
      <w:p w:rsidR="00851AD6" w:rsidRDefault="00851AD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51AD6">
          <w:rPr>
            <w:noProof/>
            <w:lang w:val="ru-RU"/>
          </w:rPr>
          <w:t>2</w:t>
        </w:r>
        <w:r>
          <w:fldChar w:fldCharType="end"/>
        </w:r>
      </w:p>
    </w:sdtContent>
  </w:sdt>
  <w:p w:rsidR="0006567F" w:rsidRDefault="0006567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4472641"/>
      <w:docPartObj>
        <w:docPartGallery w:val="Page Numbers (Top of Page)"/>
        <w:docPartUnique/>
      </w:docPartObj>
    </w:sdtPr>
    <w:sdtEndPr/>
    <w:sdtContent>
      <w:p w:rsidR="00851AD6" w:rsidRDefault="00851AD6">
        <w:pPr>
          <w:pStyle w:val="ad"/>
          <w:jc w:val="center"/>
        </w:pPr>
      </w:p>
      <w:p w:rsidR="00851AD6" w:rsidRDefault="00851AD6">
        <w:pPr>
          <w:pStyle w:val="ad"/>
          <w:jc w:val="center"/>
        </w:pPr>
      </w:p>
      <w:p w:rsidR="00851AD6" w:rsidRDefault="00851AD6">
        <w:pPr>
          <w:pStyle w:val="ad"/>
          <w:jc w:val="center"/>
        </w:pPr>
        <w:r w:rsidRPr="00E52218">
          <w:rPr>
            <w:sz w:val="22"/>
            <w:szCs w:val="22"/>
          </w:rPr>
          <w:fldChar w:fldCharType="begin"/>
        </w:r>
        <w:r w:rsidRPr="00E52218">
          <w:rPr>
            <w:sz w:val="22"/>
            <w:szCs w:val="22"/>
          </w:rPr>
          <w:instrText>PAGE   \* MERGEFORMAT</w:instrText>
        </w:r>
        <w:r w:rsidRPr="00E52218">
          <w:rPr>
            <w:sz w:val="22"/>
            <w:szCs w:val="22"/>
          </w:rPr>
          <w:fldChar w:fldCharType="separate"/>
        </w:r>
        <w:r w:rsidR="00D724BD" w:rsidRPr="00D724BD">
          <w:rPr>
            <w:noProof/>
            <w:sz w:val="22"/>
            <w:szCs w:val="22"/>
            <w:lang w:val="ru-RU"/>
          </w:rPr>
          <w:t>3</w:t>
        </w:r>
        <w:r w:rsidRPr="00E52218">
          <w:rPr>
            <w:sz w:val="22"/>
            <w:szCs w:val="22"/>
          </w:rPr>
          <w:fldChar w:fldCharType="end"/>
        </w:r>
      </w:p>
    </w:sdtContent>
  </w:sdt>
  <w:p w:rsidR="00851AD6" w:rsidRDefault="00851AD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567F"/>
    <w:rsid w:val="0006567F"/>
    <w:rsid w:val="00072C0C"/>
    <w:rsid w:val="001262B6"/>
    <w:rsid w:val="00280C90"/>
    <w:rsid w:val="007E43D6"/>
    <w:rsid w:val="00851AD6"/>
    <w:rsid w:val="00A72C0C"/>
    <w:rsid w:val="00A77278"/>
    <w:rsid w:val="00B3686E"/>
    <w:rsid w:val="00C803EC"/>
    <w:rsid w:val="00D724BD"/>
    <w:rsid w:val="00E52218"/>
    <w:rsid w:val="00F7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0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a">
    <w:name w:val="No Spacing"/>
    <w:uiPriority w:val="1"/>
    <w:qFormat/>
    <w:rsid w:val="00A77278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A7727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7278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51AD6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51AD6"/>
    <w:rPr>
      <w:color w:val="000000"/>
    </w:rPr>
  </w:style>
  <w:style w:type="paragraph" w:styleId="af">
    <w:name w:val="footer"/>
    <w:basedOn w:val="a"/>
    <w:link w:val="af0"/>
    <w:uiPriority w:val="99"/>
    <w:unhideWhenUsed/>
    <w:rsid w:val="00851AD6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51AD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3649</Words>
  <Characters>2080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2020-10-21T12:44:00Z</dcterms:created>
  <dcterms:modified xsi:type="dcterms:W3CDTF">2020-10-26T08:18:00Z</dcterms:modified>
</cp:coreProperties>
</file>