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316A" w:rsidRPr="00D30CDE" w:rsidRDefault="00537C7D" w:rsidP="00537C7D">
      <w:pPr>
        <w:tabs>
          <w:tab w:val="left" w:pos="7230"/>
        </w:tabs>
        <w:ind w:left="4334" w:right="4373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2E8F87E4" wp14:editId="535D0567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D30CDE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D30CDE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D30CDE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2316A" w:rsidRPr="000D4731" w:rsidRDefault="0032316A">
      <w:pPr>
        <w:jc w:val="center"/>
        <w:rPr>
          <w:sz w:val="22"/>
          <w:szCs w:val="22"/>
          <w:lang w:val="uk-UA"/>
        </w:rPr>
      </w:pPr>
    </w:p>
    <w:p w:rsidR="005D5AFC" w:rsidRPr="00D30CDE" w:rsidRDefault="005D5AFC" w:rsidP="005D5AFC">
      <w:pPr>
        <w:widowControl/>
        <w:autoSpaceDE/>
        <w:ind w:right="57"/>
        <w:jc w:val="center"/>
        <w:rPr>
          <w:sz w:val="28"/>
          <w:szCs w:val="28"/>
          <w:lang w:val="uk-UA"/>
        </w:rPr>
      </w:pPr>
    </w:p>
    <w:p w:rsidR="00586E35" w:rsidRPr="00586E35" w:rsidRDefault="00537C7D" w:rsidP="00586E35">
      <w:pPr>
        <w:widowControl/>
        <w:suppressAutoHyphens w:val="0"/>
        <w:autoSpaceDE/>
        <w:rPr>
          <w:sz w:val="27"/>
          <w:szCs w:val="27"/>
          <w:lang w:val="uk-UA" w:eastAsia="ru-RU"/>
        </w:rPr>
      </w:pPr>
      <w:r>
        <w:rPr>
          <w:sz w:val="27"/>
          <w:szCs w:val="27"/>
          <w:lang w:val="uk-UA" w:eastAsia="ru-RU"/>
        </w:rPr>
        <w:t>07</w:t>
      </w:r>
      <w:r w:rsidR="00586E35" w:rsidRPr="00586E35">
        <w:rPr>
          <w:sz w:val="27"/>
          <w:szCs w:val="27"/>
          <w:lang w:val="uk-UA" w:eastAsia="ru-RU"/>
        </w:rPr>
        <w:t xml:space="preserve"> червня  2018 року</w:t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  <w:t xml:space="preserve"> </w:t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</w:r>
      <w:r w:rsidR="00586E35" w:rsidRPr="00586E35">
        <w:rPr>
          <w:sz w:val="27"/>
          <w:szCs w:val="27"/>
          <w:lang w:val="uk-UA" w:eastAsia="ru-RU"/>
        </w:rPr>
        <w:tab/>
        <w:t xml:space="preserve">   м. Київ</w:t>
      </w:r>
    </w:p>
    <w:p w:rsidR="00586E35" w:rsidRPr="00586E35" w:rsidRDefault="00586E35" w:rsidP="00586E35">
      <w:pPr>
        <w:widowControl/>
        <w:suppressAutoHyphens w:val="0"/>
        <w:autoSpaceDE/>
        <w:rPr>
          <w:sz w:val="27"/>
          <w:szCs w:val="27"/>
          <w:lang w:val="uk-UA" w:eastAsia="ru-RU"/>
        </w:rPr>
      </w:pPr>
    </w:p>
    <w:p w:rsidR="00586E35" w:rsidRPr="00586E35" w:rsidRDefault="00586E35" w:rsidP="00586E35">
      <w:pPr>
        <w:widowControl/>
        <w:suppressAutoHyphens w:val="0"/>
        <w:autoSpaceDE/>
        <w:jc w:val="center"/>
        <w:rPr>
          <w:bCs/>
          <w:sz w:val="27"/>
          <w:szCs w:val="27"/>
          <w:lang w:val="uk-UA" w:eastAsia="ru-RU"/>
        </w:rPr>
      </w:pPr>
      <w:r w:rsidRPr="00586E35">
        <w:rPr>
          <w:bCs/>
          <w:sz w:val="27"/>
          <w:szCs w:val="27"/>
          <w:lang w:val="uk-UA" w:eastAsia="ru-RU"/>
        </w:rPr>
        <w:t xml:space="preserve">Р І Ш Е Н </w:t>
      </w:r>
      <w:proofErr w:type="spellStart"/>
      <w:r w:rsidRPr="00586E35">
        <w:rPr>
          <w:bCs/>
          <w:sz w:val="27"/>
          <w:szCs w:val="27"/>
          <w:lang w:val="uk-UA" w:eastAsia="ru-RU"/>
        </w:rPr>
        <w:t>Н</w:t>
      </w:r>
      <w:proofErr w:type="spellEnd"/>
      <w:r w:rsidRPr="00586E35">
        <w:rPr>
          <w:bCs/>
          <w:sz w:val="27"/>
          <w:szCs w:val="27"/>
          <w:lang w:val="uk-UA" w:eastAsia="ru-RU"/>
        </w:rPr>
        <w:t xml:space="preserve"> Я  №  </w:t>
      </w:r>
      <w:r w:rsidR="005460E0">
        <w:rPr>
          <w:bCs/>
          <w:sz w:val="27"/>
          <w:szCs w:val="27"/>
          <w:u w:val="single"/>
          <w:lang w:val="uk-UA" w:eastAsia="ru-RU"/>
        </w:rPr>
        <w:t>133/зп-18</w:t>
      </w:r>
    </w:p>
    <w:p w:rsidR="00586E35" w:rsidRPr="00586E35" w:rsidRDefault="00586E35" w:rsidP="00586E35">
      <w:pPr>
        <w:widowControl/>
        <w:suppressAutoHyphens w:val="0"/>
        <w:autoSpaceDE/>
        <w:jc w:val="center"/>
        <w:rPr>
          <w:sz w:val="27"/>
          <w:szCs w:val="27"/>
          <w:lang w:val="uk-UA" w:eastAsia="ru-RU"/>
        </w:rPr>
      </w:pPr>
    </w:p>
    <w:p w:rsidR="00586E35" w:rsidRPr="00586E35" w:rsidRDefault="00586E35" w:rsidP="00586E35">
      <w:pPr>
        <w:widowControl/>
        <w:suppressAutoHyphens w:val="0"/>
        <w:autoSpaceDE/>
        <w:rPr>
          <w:rFonts w:eastAsia="Calibri"/>
          <w:bCs/>
          <w:sz w:val="27"/>
          <w:szCs w:val="27"/>
          <w:lang w:val="uk-UA" w:eastAsia="en-US"/>
        </w:rPr>
      </w:pPr>
      <w:r w:rsidRPr="00586E35">
        <w:rPr>
          <w:rFonts w:eastAsia="Calibri"/>
          <w:bCs/>
          <w:sz w:val="27"/>
          <w:szCs w:val="27"/>
          <w:lang w:val="uk-UA" w:eastAsia="en-US"/>
        </w:rPr>
        <w:t>Вища кваліфікаційна комісія суддів України у пленарному складі:</w:t>
      </w:r>
    </w:p>
    <w:p w:rsidR="00586E35" w:rsidRPr="00586E35" w:rsidRDefault="00586E35" w:rsidP="00586E35">
      <w:pPr>
        <w:widowControl/>
        <w:suppressAutoHyphens w:val="0"/>
        <w:autoSpaceDE/>
        <w:rPr>
          <w:rFonts w:eastAsia="Calibri"/>
          <w:bCs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uppressAutoHyphens w:val="0"/>
        <w:autoSpaceDE/>
        <w:jc w:val="both"/>
        <w:rPr>
          <w:rFonts w:eastAsia="Calibri"/>
          <w:bCs/>
          <w:iCs/>
          <w:spacing w:val="-1"/>
          <w:sz w:val="27"/>
          <w:szCs w:val="27"/>
          <w:lang w:val="uk-UA" w:eastAsia="en-US"/>
        </w:rPr>
      </w:pPr>
      <w:r w:rsidRPr="00586E35">
        <w:rPr>
          <w:rFonts w:eastAsia="Calibri"/>
          <w:bCs/>
          <w:spacing w:val="-1"/>
          <w:sz w:val="27"/>
          <w:szCs w:val="27"/>
          <w:lang w:val="uk-UA" w:eastAsia="en-US"/>
        </w:rPr>
        <w:t xml:space="preserve">головуючого – </w:t>
      </w:r>
      <w:proofErr w:type="spellStart"/>
      <w:r w:rsidRPr="00586E35">
        <w:rPr>
          <w:rFonts w:eastAsia="Calibri"/>
          <w:iCs/>
          <w:spacing w:val="-1"/>
          <w:sz w:val="27"/>
          <w:szCs w:val="27"/>
          <w:lang w:val="uk-UA" w:eastAsia="en-US"/>
        </w:rPr>
        <w:t>Козьякова</w:t>
      </w:r>
      <w:proofErr w:type="spellEnd"/>
      <w:r w:rsidRPr="00586E35">
        <w:rPr>
          <w:rFonts w:eastAsia="Calibri"/>
          <w:iCs/>
          <w:spacing w:val="-1"/>
          <w:sz w:val="27"/>
          <w:szCs w:val="27"/>
          <w:lang w:val="uk-UA" w:eastAsia="en-US"/>
        </w:rPr>
        <w:t xml:space="preserve"> С.Ю.</w:t>
      </w:r>
      <w:r w:rsidRPr="00586E35">
        <w:rPr>
          <w:rFonts w:eastAsia="Calibri"/>
          <w:bCs/>
          <w:iCs/>
          <w:spacing w:val="-1"/>
          <w:sz w:val="27"/>
          <w:szCs w:val="27"/>
          <w:lang w:val="uk-UA" w:eastAsia="en-US"/>
        </w:rPr>
        <w:t>,</w:t>
      </w:r>
    </w:p>
    <w:p w:rsidR="00586E35" w:rsidRPr="00586E35" w:rsidRDefault="00586E35" w:rsidP="00586E35">
      <w:pPr>
        <w:widowControl/>
        <w:suppressAutoHyphens w:val="0"/>
        <w:autoSpaceDE/>
        <w:jc w:val="both"/>
        <w:rPr>
          <w:rFonts w:eastAsia="Calibri"/>
          <w:bCs/>
          <w:iCs/>
          <w:spacing w:val="-1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ind w:right="-13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pacing w:val="-1"/>
          <w:sz w:val="27"/>
          <w:szCs w:val="27"/>
          <w:shd w:val="clear" w:color="auto" w:fill="FFFFFF"/>
          <w:lang w:val="uk-UA" w:eastAsia="en-US"/>
        </w:rPr>
        <w:t>членів Комісії</w:t>
      </w:r>
      <w:r w:rsidRPr="00586E35">
        <w:rPr>
          <w:rFonts w:eastAsia="Calibri"/>
          <w:bCs/>
          <w:spacing w:val="-1"/>
          <w:sz w:val="27"/>
          <w:szCs w:val="27"/>
          <w:shd w:val="clear" w:color="auto" w:fill="FFFFFF"/>
          <w:lang w:val="uk-UA" w:eastAsia="en-US"/>
        </w:rPr>
        <w:t>:</w:t>
      </w:r>
      <w:r w:rsidRPr="00586E35">
        <w:rPr>
          <w:rFonts w:eastAsia="Calibri"/>
          <w:bCs/>
          <w:spacing w:val="-1"/>
          <w:sz w:val="27"/>
          <w:szCs w:val="27"/>
          <w:lang w:val="uk-UA" w:eastAsia="en-US"/>
        </w:rPr>
        <w:t xml:space="preserve"> </w:t>
      </w:r>
      <w:proofErr w:type="spellStart"/>
      <w:r w:rsidRPr="00586E35">
        <w:rPr>
          <w:rFonts w:eastAsia="Calibri"/>
          <w:bCs/>
          <w:spacing w:val="-1"/>
          <w:sz w:val="27"/>
          <w:szCs w:val="27"/>
          <w:lang w:val="uk-UA" w:eastAsia="en-US"/>
        </w:rPr>
        <w:t>Бутенка</w:t>
      </w:r>
      <w:proofErr w:type="spellEnd"/>
      <w:r w:rsidRPr="00586E35">
        <w:rPr>
          <w:rFonts w:eastAsia="Calibri"/>
          <w:bCs/>
          <w:spacing w:val="-1"/>
          <w:sz w:val="27"/>
          <w:szCs w:val="27"/>
          <w:lang w:val="uk-UA" w:eastAsia="en-US"/>
        </w:rPr>
        <w:t xml:space="preserve"> В.І., Василенка А.В.,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Весельської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Т.Ф., Гладія С.В.,    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Заріцької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А.О., Козлова А.Г., Лукаша Т.В.,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Луцюка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П.С.,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Макарчука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М.А.,      </w:t>
      </w:r>
      <w:r>
        <w:rPr>
          <w:rFonts w:eastAsia="Calibri"/>
          <w:sz w:val="27"/>
          <w:szCs w:val="27"/>
          <w:lang w:val="uk-UA" w:eastAsia="en-US"/>
        </w:rPr>
        <w:t xml:space="preserve"> </w:t>
      </w:r>
      <w:r w:rsidRPr="00586E35">
        <w:rPr>
          <w:rFonts w:eastAsia="Calibri"/>
          <w:sz w:val="27"/>
          <w:szCs w:val="27"/>
          <w:lang w:val="uk-UA" w:eastAsia="en-US"/>
        </w:rPr>
        <w:t xml:space="preserve">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Мішина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М.І.,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Прилипка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С.М., Устименко В.Є.,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Шилової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Т.С.,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Щотки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С.О.,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jc w:val="both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uppressAutoHyphens w:val="0"/>
        <w:autoSpaceDE/>
        <w:jc w:val="both"/>
        <w:rPr>
          <w:rFonts w:eastAsia="Calibri"/>
          <w:color w:val="000000"/>
          <w:sz w:val="27"/>
          <w:szCs w:val="27"/>
          <w:lang w:val="uk-UA" w:eastAsia="ru-RU" w:bidi="ru-RU"/>
        </w:rPr>
      </w:pPr>
      <w:r w:rsidRPr="00586E35">
        <w:rPr>
          <w:rFonts w:eastAsia="Andale Sans UI"/>
          <w:sz w:val="27"/>
          <w:szCs w:val="27"/>
          <w:lang w:val="uk-UA" w:eastAsia="en-US"/>
        </w:rPr>
        <w:t>розглянувши питання</w:t>
      </w: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 xml:space="preserve"> п</w:t>
      </w:r>
      <w:r w:rsidRPr="00586E35">
        <w:rPr>
          <w:sz w:val="27"/>
          <w:szCs w:val="27"/>
          <w:lang w:val="uk-UA" w:eastAsia="ru-RU" w:bidi="ru-RU"/>
        </w:rPr>
        <w:t>ро призначення к</w:t>
      </w:r>
      <w:r w:rsidRPr="00586E35">
        <w:rPr>
          <w:spacing w:val="2"/>
          <w:sz w:val="27"/>
          <w:szCs w:val="27"/>
          <w:lang w:val="uk-UA" w:eastAsia="ru-RU" w:bidi="ru-RU"/>
        </w:rPr>
        <w:t>валіфікаційного оцінювання суддів місцевих та апеляційних судів на відповідність займаній посаді та</w:t>
      </w:r>
      <w:r w:rsidRPr="00586E35">
        <w:rPr>
          <w:sz w:val="27"/>
          <w:szCs w:val="27"/>
          <w:lang w:val="uk-UA" w:eastAsia="ru-RU" w:bidi="ru-RU"/>
        </w:rPr>
        <w:t xml:space="preserve"> призначення іспиту під час к</w:t>
      </w:r>
      <w:r w:rsidRPr="00586E35">
        <w:rPr>
          <w:spacing w:val="2"/>
          <w:sz w:val="27"/>
          <w:szCs w:val="27"/>
          <w:lang w:val="uk-UA" w:eastAsia="ru-RU" w:bidi="ru-RU"/>
        </w:rPr>
        <w:t>валіфікаційного оцінювання,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jc w:val="center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jc w:val="center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встановила: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jc w:val="center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color w:val="000000"/>
          <w:sz w:val="27"/>
          <w:szCs w:val="27"/>
          <w:lang w:val="uk-UA" w:eastAsia="ru-RU" w:bidi="ru-RU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Відповідно до </w:t>
      </w:r>
      <w:r w:rsidRPr="00586E35">
        <w:rPr>
          <w:bCs/>
          <w:sz w:val="27"/>
          <w:szCs w:val="27"/>
          <w:bdr w:val="none" w:sz="0" w:space="0" w:color="auto" w:frame="1"/>
          <w:lang w:val="uk-UA" w:eastAsia="uk-UA"/>
        </w:rPr>
        <w:t>пункту 20 р</w:t>
      </w:r>
      <w:r w:rsidRPr="00586E35">
        <w:rPr>
          <w:rFonts w:eastAsia="Calibri"/>
          <w:sz w:val="27"/>
          <w:szCs w:val="27"/>
          <w:lang w:val="uk-UA" w:eastAsia="en-US"/>
        </w:rPr>
        <w:t>озділу XII «Прикінцеві та перехідні положення»</w:t>
      </w:r>
      <w:r w:rsidRPr="00586E35">
        <w:rPr>
          <w:bCs/>
          <w:sz w:val="27"/>
          <w:szCs w:val="27"/>
          <w:bdr w:val="none" w:sz="0" w:space="0" w:color="auto" w:frame="1"/>
          <w:lang w:val="uk-UA" w:eastAsia="uk-UA"/>
        </w:rPr>
        <w:t xml:space="preserve"> Закону України «Про судоустрій і статус суддів» (далі – Закон)</w:t>
      </w:r>
      <w:r w:rsidRPr="00586E35">
        <w:rPr>
          <w:rFonts w:eastAsia="Calibri"/>
          <w:sz w:val="27"/>
          <w:szCs w:val="27"/>
          <w:lang w:val="uk-UA" w:eastAsia="en-US"/>
        </w:rPr>
        <w:t xml:space="preserve">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Pr="00586E35">
        <w:rPr>
          <w:rFonts w:eastAsia="Calibri"/>
          <w:sz w:val="27"/>
          <w:szCs w:val="27"/>
          <w:lang w:val="uk-UA" w:eastAsia="en-US"/>
        </w:rPr>
        <w:t xml:space="preserve"> </w:t>
      </w:r>
    </w:p>
    <w:p w:rsidR="00586E35" w:rsidRPr="00586E35" w:rsidRDefault="00586E35" w:rsidP="00586E35">
      <w:pPr>
        <w:widowControl/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sz w:val="27"/>
          <w:szCs w:val="27"/>
          <w:lang w:val="uk-UA" w:eastAsia="ru-RU"/>
        </w:rPr>
        <w:t>Частиною першою статті 85 Закону визначено, що кваліфікаційне оцінювання включає такі етапи: 1) складення іспиту; 2) дослідження досьє та проведення співбесіди. Рішення про черговість етапів проведення кваліфікаційного оцінювання ухвалює Вища кваліфікаційна комісія суддів України.</w:t>
      </w:r>
      <w:r w:rsidRPr="00586E35">
        <w:rPr>
          <w:rFonts w:eastAsia="Calibri"/>
          <w:sz w:val="27"/>
          <w:szCs w:val="27"/>
          <w:lang w:val="uk-UA" w:eastAsia="en-US"/>
        </w:rPr>
        <w:t xml:space="preserve"> </w:t>
      </w:r>
    </w:p>
    <w:p w:rsidR="00586E35" w:rsidRPr="00586E35" w:rsidRDefault="00586E35" w:rsidP="00586E35">
      <w:pPr>
        <w:widowControl/>
        <w:suppressAutoHyphens w:val="0"/>
        <w:autoSpaceDE/>
        <w:ind w:firstLine="709"/>
        <w:jc w:val="both"/>
        <w:rPr>
          <w:sz w:val="27"/>
          <w:szCs w:val="27"/>
          <w:lang w:val="uk-UA" w:eastAsia="ru-RU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Відповідно до пункту </w:t>
      </w:r>
      <w:r w:rsidRPr="00586E35">
        <w:rPr>
          <w:sz w:val="27"/>
          <w:szCs w:val="27"/>
          <w:lang w:val="uk-UA" w:eastAsia="ru-RU"/>
        </w:rPr>
        <w:t xml:space="preserve">3 розділу І Порядку проведення іспиту та методики встановлення його результатів у процедурі кваліфікаційного оцінювання, затвердженого рішенням Комісії від 13 лютого 2018 року № 20/зп-18 </w:t>
      </w:r>
      <w:r>
        <w:rPr>
          <w:sz w:val="27"/>
          <w:szCs w:val="27"/>
          <w:lang w:val="uk-UA" w:eastAsia="ru-RU"/>
        </w:rPr>
        <w:t xml:space="preserve">                           </w:t>
      </w:r>
      <w:r w:rsidRPr="00586E35">
        <w:rPr>
          <w:sz w:val="27"/>
          <w:szCs w:val="27"/>
          <w:lang w:val="uk-UA" w:eastAsia="ru-RU"/>
        </w:rPr>
        <w:t xml:space="preserve">(далі – Порядок), іспит проводиться з урахуванням </w:t>
      </w:r>
      <w:proofErr w:type="spellStart"/>
      <w:r w:rsidRPr="00586E35">
        <w:rPr>
          <w:sz w:val="27"/>
          <w:szCs w:val="27"/>
          <w:lang w:val="uk-UA" w:eastAsia="ru-RU"/>
        </w:rPr>
        <w:t>інстанційності</w:t>
      </w:r>
      <w:proofErr w:type="spellEnd"/>
      <w:r w:rsidRPr="00586E35">
        <w:rPr>
          <w:sz w:val="27"/>
          <w:szCs w:val="27"/>
          <w:lang w:val="uk-UA" w:eastAsia="ru-RU"/>
        </w:rPr>
        <w:t xml:space="preserve"> та спеціалізації відповідного суду.</w:t>
      </w:r>
    </w:p>
    <w:p w:rsidR="00586E35" w:rsidRPr="00586E35" w:rsidRDefault="00586E35" w:rsidP="00586E35">
      <w:pPr>
        <w:widowControl/>
        <w:suppressAutoHyphens w:val="0"/>
        <w:autoSpaceDE/>
        <w:ind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lastRenderedPageBreak/>
        <w:t xml:space="preserve">З метою врахування намірів суддів щодо спеціалізації, за якою вони проходитимуть кваліфікаційне оцінювання, на офіційному веб-сайті Комісії було запроваджено відповідну електронну систему реєстрації намірів. Повідомлення про наміри щодо спеціалізації подавалися суддями до Комісії особисто та засобами поштового зв’язку. 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Обговоривши питання порядку денного, взявши до уваги наміри суддів щодо спеціалізації проходження кваліфікаційного оцінювання, Комісія дійшла висновку про необхідність призначення кваліфікаційного оцінювання на відповідність</w:t>
      </w: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 xml:space="preserve"> займаній посаді</w:t>
      </w:r>
      <w:r w:rsidRPr="00586E35">
        <w:rPr>
          <w:rFonts w:eastAsia="Calibri"/>
          <w:sz w:val="27"/>
          <w:szCs w:val="27"/>
          <w:lang w:val="uk-UA" w:eastAsia="en-US"/>
        </w:rPr>
        <w:t xml:space="preserve"> стосовно </w:t>
      </w:r>
      <w:r w:rsidR="00537C7D">
        <w:rPr>
          <w:rFonts w:eastAsia="Calibri"/>
          <w:sz w:val="27"/>
          <w:szCs w:val="27"/>
          <w:lang w:val="uk-UA" w:eastAsia="en-US"/>
        </w:rPr>
        <w:t>2188</w:t>
      </w:r>
      <w:r w:rsidRPr="00586E35">
        <w:rPr>
          <w:rFonts w:eastAsia="Calibri"/>
          <w:sz w:val="27"/>
          <w:szCs w:val="27"/>
          <w:lang w:val="uk-UA" w:eastAsia="en-US"/>
        </w:rPr>
        <w:t xml:space="preserve"> суддів місцевих та апеляційних судів, проведення іспиту в межах процедури кваліфікаційного оцінювання суддів на відповідність займаній посаді та затвердження його графіка.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Крім того, відповідно до частини сьомої статті 91 Закону у разі необхідності Комісія може ухвалити рішення про залучення членів однієї палати до роботи іншої палати.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Згідно з пунктом 1.2 розділу І Регламенту Вищої кваліфікаційної комісії суддів України, затвердженого рішенням Комісії від 13 жовтня 2016 року № 81/зп-16, у складі Комісії діє кваліфікаційна палата та палата з питань добору і публічної служби суддів.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Підпунктом 2 пункту 1.3 розділу І Регламенту Вищої кваліфікаційної комісії суддів України передбачено, що Комісія виконує функції та здійснює повноваження, зокрема, у складі кваліфікаційної палати з питань кваліфікаційного оцінювання.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Ураховуючи викладене, виникла необхідність залучити до роботи кваліфікаційної палати Комісії членів палати з питань добору і публічної служби суддів Комісії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Бутенка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В.І., Василенка А.В.,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Весельську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Т.Ф., Гладія С.В.,      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Заріцьку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А.О.,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Козьякова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С.Ю., Лукаша Т.В.,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Макарчука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М.А. для цілей проведення </w:t>
      </w:r>
      <w:r w:rsidRPr="00586E35">
        <w:rPr>
          <w:sz w:val="27"/>
          <w:szCs w:val="27"/>
          <w:lang w:val="uk-UA" w:eastAsia="ru-RU" w:bidi="ru-RU"/>
        </w:rPr>
        <w:t>к</w:t>
      </w:r>
      <w:r w:rsidRPr="00586E35">
        <w:rPr>
          <w:spacing w:val="2"/>
          <w:sz w:val="27"/>
          <w:szCs w:val="27"/>
          <w:lang w:val="uk-UA" w:eastAsia="ru-RU" w:bidi="ru-RU"/>
        </w:rPr>
        <w:t xml:space="preserve">валіфікаційного оцінювання </w:t>
      </w:r>
      <w:r w:rsidRPr="00586E35">
        <w:rPr>
          <w:sz w:val="27"/>
          <w:szCs w:val="27"/>
          <w:lang w:val="uk-UA" w:eastAsia="ru-RU" w:bidi="ru-RU"/>
        </w:rPr>
        <w:t>суддів місцевих та апеляційних судів на відповідність займаній посаді.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709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Керуючись </w:t>
      </w:r>
      <w:r w:rsidRPr="00586E35">
        <w:rPr>
          <w:rFonts w:eastAsia="Calibri"/>
          <w:color w:val="000000"/>
          <w:spacing w:val="6"/>
          <w:sz w:val="27"/>
          <w:szCs w:val="27"/>
          <w:lang w:val="uk-UA" w:eastAsia="ru-RU" w:bidi="ru-RU"/>
        </w:rPr>
        <w:t xml:space="preserve">статтями </w:t>
      </w:r>
      <w:r w:rsidRPr="00586E35">
        <w:rPr>
          <w:rFonts w:eastAsia="Calibri"/>
          <w:sz w:val="27"/>
          <w:szCs w:val="27"/>
          <w:lang w:val="uk-UA" w:eastAsia="en-US"/>
        </w:rPr>
        <w:t>83–85, 93 та 101, пунктом</w:t>
      </w:r>
      <w:r w:rsidRPr="00586E35">
        <w:rPr>
          <w:bCs/>
          <w:sz w:val="27"/>
          <w:szCs w:val="27"/>
          <w:bdr w:val="none" w:sz="0" w:space="0" w:color="auto" w:frame="1"/>
          <w:lang w:val="uk-UA" w:eastAsia="uk-UA"/>
        </w:rPr>
        <w:t xml:space="preserve"> 20 р</w:t>
      </w:r>
      <w:r w:rsidRPr="00586E35">
        <w:rPr>
          <w:rFonts w:eastAsia="Calibri"/>
          <w:sz w:val="27"/>
          <w:szCs w:val="27"/>
          <w:lang w:val="uk-UA" w:eastAsia="en-US"/>
        </w:rPr>
        <w:t>озділу XII «Прикінцеві та перехідні положення»</w:t>
      </w:r>
      <w:r w:rsidRPr="00586E35">
        <w:rPr>
          <w:bCs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Pr="00586E35">
        <w:rPr>
          <w:rFonts w:eastAsia="Calibri"/>
          <w:sz w:val="27"/>
          <w:szCs w:val="27"/>
          <w:lang w:val="uk-UA" w:eastAsia="en-US"/>
        </w:rPr>
        <w:t xml:space="preserve">Закону, розділом І Регламенту Вищої кваліфікаційної комісії суддів України, Комісія </w:t>
      </w:r>
    </w:p>
    <w:p w:rsidR="00586E35" w:rsidRPr="00586E35" w:rsidRDefault="00586E35" w:rsidP="00586E35">
      <w:pPr>
        <w:shd w:val="clear" w:color="auto" w:fill="FFFFFF"/>
        <w:tabs>
          <w:tab w:val="left" w:pos="851"/>
        </w:tabs>
        <w:suppressAutoHyphens w:val="0"/>
        <w:autoSpaceDE/>
        <w:ind w:firstLine="851"/>
        <w:jc w:val="both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ind w:right="-104"/>
        <w:jc w:val="center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вирішила:</w:t>
      </w:r>
    </w:p>
    <w:p w:rsidR="00586E35" w:rsidRPr="00586E35" w:rsidRDefault="00586E35" w:rsidP="00586E35">
      <w:pPr>
        <w:shd w:val="clear" w:color="auto" w:fill="FFFFFF"/>
        <w:tabs>
          <w:tab w:val="left" w:pos="993"/>
        </w:tabs>
        <w:suppressAutoHyphens w:val="0"/>
        <w:autoSpaceDE/>
        <w:jc w:val="both"/>
        <w:rPr>
          <w:sz w:val="27"/>
          <w:szCs w:val="27"/>
          <w:lang w:val="uk-UA" w:eastAsia="ru-RU"/>
        </w:rPr>
      </w:pP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 w:bidi="ru-RU"/>
        </w:rPr>
      </w:pPr>
      <w:r w:rsidRPr="00586E35">
        <w:rPr>
          <w:sz w:val="27"/>
          <w:szCs w:val="27"/>
          <w:lang w:val="uk-UA" w:eastAsia="ru-RU" w:bidi="ru-RU"/>
        </w:rPr>
        <w:t>Призначити к</w:t>
      </w:r>
      <w:r w:rsidRPr="00586E35">
        <w:rPr>
          <w:spacing w:val="2"/>
          <w:sz w:val="27"/>
          <w:szCs w:val="27"/>
          <w:lang w:val="uk-UA" w:eastAsia="ru-RU" w:bidi="ru-RU"/>
        </w:rPr>
        <w:t xml:space="preserve">валіфікаційне оцінювання </w:t>
      </w:r>
      <w:r w:rsidRPr="00586E35">
        <w:rPr>
          <w:sz w:val="27"/>
          <w:szCs w:val="27"/>
          <w:lang w:val="uk-UA" w:eastAsia="ru-RU" w:bidi="ru-RU"/>
        </w:rPr>
        <w:t>суддів місцевих та апеляційних судів на відповідність займаній посаді за списком згідно з додатком 1.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 w:bidi="ru-RU"/>
        </w:rPr>
        <w:t xml:space="preserve">Встановити черговість етапів проведення кваліфікаційного оцінювання: </w:t>
      </w:r>
    </w:p>
    <w:p w:rsidR="00586E35" w:rsidRPr="00586E35" w:rsidRDefault="00586E35" w:rsidP="00586E35">
      <w:pPr>
        <w:shd w:val="clear" w:color="auto" w:fill="FFFFFF"/>
        <w:tabs>
          <w:tab w:val="left" w:pos="993"/>
        </w:tabs>
        <w:suppressAutoHyphens w:val="0"/>
        <w:autoSpaceDE/>
        <w:ind w:firstLine="993"/>
        <w:jc w:val="both"/>
        <w:rPr>
          <w:sz w:val="27"/>
          <w:szCs w:val="27"/>
          <w:lang w:eastAsia="ru-RU"/>
        </w:rPr>
      </w:pPr>
      <w:r w:rsidRPr="00586E35">
        <w:rPr>
          <w:sz w:val="27"/>
          <w:szCs w:val="27"/>
          <w:lang w:val="uk-UA" w:eastAsia="ru-RU"/>
        </w:rPr>
        <w:t>перший етап – складення іспиту;</w:t>
      </w:r>
    </w:p>
    <w:p w:rsidR="00586E35" w:rsidRPr="00586E35" w:rsidRDefault="00586E35" w:rsidP="00586E35">
      <w:pPr>
        <w:shd w:val="clear" w:color="auto" w:fill="FFFFFF"/>
        <w:tabs>
          <w:tab w:val="left" w:pos="993"/>
        </w:tabs>
        <w:suppressAutoHyphens w:val="0"/>
        <w:autoSpaceDE/>
        <w:ind w:firstLine="993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 xml:space="preserve">другий </w:t>
      </w:r>
      <w:r w:rsidRPr="00586E35">
        <w:rPr>
          <w:sz w:val="27"/>
          <w:szCs w:val="27"/>
          <w:lang w:val="uk-UA" w:eastAsia="ru-RU" w:bidi="ru-RU"/>
        </w:rPr>
        <w:t xml:space="preserve">етап – </w:t>
      </w:r>
      <w:r w:rsidRPr="00586E35">
        <w:rPr>
          <w:sz w:val="27"/>
          <w:szCs w:val="27"/>
          <w:lang w:val="uk-UA" w:eastAsia="ru-RU"/>
        </w:rPr>
        <w:t>дослідження досьє та проведення співбесіди.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 w:bidi="ru-RU"/>
        </w:rPr>
      </w:pPr>
      <w:r w:rsidRPr="00586E35">
        <w:rPr>
          <w:sz w:val="27"/>
          <w:szCs w:val="27"/>
          <w:lang w:val="uk-UA" w:eastAsia="ru-RU"/>
        </w:rPr>
        <w:t xml:space="preserve">Визначити графік проведення іспиту </w:t>
      </w:r>
      <w:r w:rsidRPr="00586E35">
        <w:rPr>
          <w:sz w:val="27"/>
          <w:szCs w:val="27"/>
          <w:lang w:val="uk-UA" w:eastAsia="ru-RU" w:bidi="ru-RU"/>
        </w:rPr>
        <w:t xml:space="preserve">в межах кваліфікаційного оцінювання стосовно </w:t>
      </w:r>
      <w:r w:rsidR="00537C7D">
        <w:rPr>
          <w:sz w:val="27"/>
          <w:szCs w:val="27"/>
          <w:lang w:val="uk-UA" w:eastAsia="ru-RU" w:bidi="ru-RU"/>
        </w:rPr>
        <w:t>2188</w:t>
      </w:r>
      <w:r w:rsidRPr="00586E35">
        <w:rPr>
          <w:color w:val="FF0000"/>
          <w:sz w:val="27"/>
          <w:szCs w:val="27"/>
          <w:lang w:val="uk-UA" w:eastAsia="ru-RU" w:bidi="ru-RU"/>
        </w:rPr>
        <w:t xml:space="preserve"> </w:t>
      </w:r>
      <w:r w:rsidRPr="00586E35">
        <w:rPr>
          <w:sz w:val="27"/>
          <w:szCs w:val="27"/>
          <w:lang w:val="uk-UA" w:eastAsia="ru-RU" w:bidi="ru-RU"/>
        </w:rPr>
        <w:t>суддів місцевих та апеляційних судів на відповідність займаній посаді: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02 липня 2018 року – для суддів місцевих судів (адміністративна спеціалізація) згідно з додатком 2;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03 липня 2018 року – для суддів місцевих судів (господарська спеціалізація) згідно з додатком 3;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04 липня 2018 року – для суддів місцевих судів (кримінальна спеціалізація) згідно з додатком 4;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lastRenderedPageBreak/>
        <w:t>05 липня 2018 року – для суддів місцевих судів (цивільна спеціалізація) згідно з додатком 5;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06 липня 2018 року – для суддів апеляційних судів (адміністративна спеціалізація) згідно з додатком 6;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09 липня 2018 року – для суддів місцевих судів (адміністративна спеціалізація) згідно з додатком 7;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10 липня 2018 року – для суддів місцевих судів (господарська спеціалізація) згідно з додатком 8;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11 липня 2018 року – для суддів місцевих судів (кримінальна спеціалізація) згідно з додатком 9;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12 липня 2018 року – для суддів місцевих судів (цивільна спеціалізація) згідно з додатком 10;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16 липня 2018 року – для суддів місцевих судів (адміністративна спеціалізація) згідно з додатком 11;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17 липня 2018 року – для суддів місцевих судів (кримінальна спеціалізація) згідно з додатком 12;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18 липня 2018 року – для суддів місцевих судів (цивільна спеціалізація) згідно з додатком 13;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19 липня 2018 року – для суддів місцевих судів (кримінальна спеціалізація) згідно з додатком 14;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20 липня 2018 року – для суддів апеляційних судів (цивільна спеціалізація) згідно з додатком 15;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23 липня 2018 року – для суддів місцевих судів (кримінальна спеціалізація) згідно з додатком 16;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24 липня 2018 року – для суддів місцевих судів (кримінальна спеціалізація) згідно з додатком 17;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25 липня 2018 року – для суддів місцевих судів (цивільна спеціалізація) згідно з додатком 18;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26 липня 2018 року – для суддів місцевих судів (цивільна спеціалізація) згідно з додатком 19;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27 липня 2018 року – для суддів місцевих судів (адміністративна спеціалізація) згідно з додатком 20;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30 липня 2018 року – для суддів місцевих судів (кримінальна спеціалізація) згідно з додатком 21;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31 липня 2018 року – для суддів місцевих судів (кримінальна спеціалізація) згідно з додатком 22;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01 серпня 2018 року – для суддів місцевих судів (цивільна спеціалізація) згідно з додатком 23;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02 серпня 2018 року – для суддів місцевих судів (цивільна спеціалізація) згідно з додатком 24;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03 серпня 2018 року – для суддів місцевих судів (господарська спеціалізація) згідно з додатком 25;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06 серпня 2018 року – для суддів місцевих судів (кримінальна спеціалізація) згідно з додатком 26;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07 серпня 2018 року – для суддів місцевих судів (кримінальна спеціалізація) згідно з додатком 27;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lastRenderedPageBreak/>
        <w:t>08 серпня 2018 року – для суддів місцевих судів (цивільна спеціалізація) згідно з додатком 28;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09 серпня 2018 року – для суддів місцевих судів (цивільна спеціалізація) згідно з додатком 29;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10 серпня 2018 року – для суддів місцевих судів (кримінальна спеціалізація) згідно з додатком 30;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13 серпня 2018 року – для суддів місцевих судів (кримінальна спеціалізація) згідно з додатком 31;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14 серпня 2018 року – для суддів місцевих судів (кримінальна спеціалізація) згідно з додатком 32;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15 серпня 2018 року – для суддів місцевих судів (цивільна спеціалізація) згідно з додатком 33;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16 серпня 2018 року – для суддів місцевих судів (кримінальна спеціалізація) згідно з додатком 34;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17 серпня 2018 року – для суддів місцевих судів (цивільна спеціалізація) згідно з додатком 35;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20 серпня 2018 року – для суддів місцевих судів (кримінальна спеціалізація) згідно з додатком 36;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21 серпня 2018 року – для суддів місцевих судів (кримінальна спеціалізація) згідно з додатком 37;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22 серпня 2018 року – для суддів місцевих судів (кримінальна спеціалізація) згідно з додатком 38;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27 серпня 2018 року – для суддів місцевих судів (цивільна спеціалізація) згідно з додатком 39;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28 серпня 2018 року – для суддів місцевих судів (кримінальна спеціалізація) згідно з додатком 40;</w:t>
      </w:r>
    </w:p>
    <w:p w:rsidR="00586E35" w:rsidRPr="00586E35" w:rsidRDefault="00586E35" w:rsidP="00586E35">
      <w:pPr>
        <w:widowControl/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29 серпня 2018 року – для суддів місцевих судів (цивільна спеціалізація) згідно з додатком 41.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Встановити мінімально допустимий бал іспиту – 50 відсотків від максимально можливого бала у разі набрання суддею:</w:t>
      </w:r>
    </w:p>
    <w:p w:rsidR="00586E35" w:rsidRPr="00586E35" w:rsidRDefault="00586E35" w:rsidP="00586E35">
      <w:pPr>
        <w:shd w:val="clear" w:color="auto" w:fill="FFFFFF"/>
        <w:tabs>
          <w:tab w:val="left" w:pos="0"/>
          <w:tab w:val="left" w:pos="3555"/>
        </w:tabs>
        <w:suppressAutoHyphens w:val="0"/>
        <w:autoSpaceDE/>
        <w:ind w:firstLine="993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50 і більше відсотків від максимально можливого бала за складення анонімного письмового тестування;</w:t>
      </w:r>
    </w:p>
    <w:p w:rsidR="00586E35" w:rsidRPr="00586E35" w:rsidRDefault="00586E35" w:rsidP="00586E35">
      <w:pPr>
        <w:shd w:val="clear" w:color="auto" w:fill="FFFFFF"/>
        <w:tabs>
          <w:tab w:val="left" w:pos="0"/>
          <w:tab w:val="left" w:pos="3555"/>
        </w:tabs>
        <w:suppressAutoHyphens w:val="0"/>
        <w:autoSpaceDE/>
        <w:ind w:firstLine="993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50 і більше відсотків від максимально можливого бала за виконання практичного завдання.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3555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Визначити кількість практичних завдань для виконання суддями – 1.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3555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Встановити, що виконання практичного завдання здійснюватиметься із використанням комп’ютерної техніки.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3555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>Встановити таку тривалість стадій складення іспиту:</w:t>
      </w:r>
    </w:p>
    <w:p w:rsidR="00586E35" w:rsidRPr="00586E35" w:rsidRDefault="00586E35" w:rsidP="00586E35">
      <w:pPr>
        <w:shd w:val="clear" w:color="auto" w:fill="FFFFFF"/>
        <w:tabs>
          <w:tab w:val="left" w:pos="993"/>
        </w:tabs>
        <w:suppressAutoHyphens w:val="0"/>
        <w:autoSpaceDE/>
        <w:ind w:firstLine="709"/>
        <w:jc w:val="both"/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</w:pP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ab/>
        <w:t>анонімне письмове тестування – 120 хвилин;</w:t>
      </w:r>
    </w:p>
    <w:p w:rsidR="00586E35" w:rsidRPr="00586E35" w:rsidRDefault="00586E35" w:rsidP="00586E35">
      <w:pPr>
        <w:shd w:val="clear" w:color="auto" w:fill="FFFFFF"/>
        <w:tabs>
          <w:tab w:val="left" w:pos="993"/>
          <w:tab w:val="left" w:pos="3555"/>
        </w:tabs>
        <w:suppressAutoHyphens w:val="0"/>
        <w:autoSpaceDE/>
        <w:ind w:firstLine="709"/>
        <w:jc w:val="both"/>
        <w:rPr>
          <w:sz w:val="27"/>
          <w:szCs w:val="27"/>
          <w:lang w:val="uk-UA" w:eastAsia="ru-RU"/>
        </w:rPr>
      </w:pP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ab/>
        <w:t>виконання практичного завдання – 300 хвилин.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3555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 xml:space="preserve">Провести іспит </w:t>
      </w: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>у приміщенні Комісії за адресою: м. Київ,                            вул. Механізаторів, 9.</w:t>
      </w:r>
    </w:p>
    <w:p w:rsidR="00586E35" w:rsidRPr="00586E35" w:rsidRDefault="00586E35" w:rsidP="00586E35">
      <w:pPr>
        <w:shd w:val="clear" w:color="auto" w:fill="FFFFFF"/>
        <w:tabs>
          <w:tab w:val="left" w:pos="993"/>
          <w:tab w:val="left" w:pos="3555"/>
        </w:tabs>
        <w:suppressAutoHyphens w:val="0"/>
        <w:autoSpaceDE/>
        <w:ind w:firstLine="709"/>
        <w:jc w:val="both"/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</w:pP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>Реєстрацію на іспит здійснювати з 08 години 30 хвилини до                             09 години 00 хвилини у визначений для судді день його проведення.</w:t>
      </w:r>
    </w:p>
    <w:p w:rsidR="00586E35" w:rsidRPr="00586E35" w:rsidRDefault="00586E35" w:rsidP="00586E35">
      <w:pPr>
        <w:shd w:val="clear" w:color="auto" w:fill="FFFFFF"/>
        <w:tabs>
          <w:tab w:val="left" w:pos="993"/>
          <w:tab w:val="left" w:pos="3555"/>
        </w:tabs>
        <w:suppressAutoHyphens w:val="0"/>
        <w:autoSpaceDE/>
        <w:ind w:firstLine="709"/>
        <w:jc w:val="both"/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</w:pPr>
      <w:r w:rsidRPr="00586E35">
        <w:rPr>
          <w:rFonts w:eastAsia="Calibri"/>
          <w:color w:val="000000"/>
          <w:spacing w:val="2"/>
          <w:sz w:val="27"/>
          <w:szCs w:val="27"/>
          <w:lang w:val="uk-UA" w:eastAsia="ru-RU" w:bidi="ru-RU"/>
        </w:rPr>
        <w:t>Початок складення іспиту о 09 годині 15 хвилин.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3555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lastRenderedPageBreak/>
        <w:t>Забезпечити формування (генерацію) й тиражування тестових зошитів і зошитів із практичними завданнями у день складення іспиту у присутності суддів без їх затвердження Комісією.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sz w:val="27"/>
          <w:szCs w:val="27"/>
          <w:lang w:val="uk-UA" w:eastAsia="ru-RU"/>
        </w:rPr>
        <w:t>Повідомлення про час і місце проведення іспиту розмістити на офіційному веб-сайті Комісії.</w:t>
      </w:r>
    </w:p>
    <w:p w:rsidR="00586E35" w:rsidRPr="00586E35" w:rsidRDefault="00586E35" w:rsidP="00586E35">
      <w:pPr>
        <w:widowControl/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7"/>
          <w:szCs w:val="27"/>
          <w:lang w:val="uk-UA" w:eastAsia="ru-RU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Залучити до роботи кваліфікаційної палати Комісії членів палати з питань добору і публічної служби суддів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Бутенка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В.І., Василенка А.В.,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Весельську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Т.Ф., Гладія С.В.,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Заріцьку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А.О.,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Козьякова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С.Ю., Лукаша Т.В.,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Макарчука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М.А. для цілей проведення </w:t>
      </w: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>призначеного цим рішенням</w:t>
      </w:r>
      <w:r w:rsidRPr="00586E35">
        <w:rPr>
          <w:rFonts w:eastAsia="Calibri"/>
          <w:sz w:val="27"/>
          <w:szCs w:val="27"/>
          <w:lang w:val="uk-UA" w:eastAsia="en-US"/>
        </w:rPr>
        <w:t xml:space="preserve"> кваліфікаційного оцінювання суддів місцевих та апеляційних судів на відповідність</w:t>
      </w:r>
      <w:r w:rsidRPr="00586E35">
        <w:rPr>
          <w:rFonts w:eastAsia="Calibri"/>
          <w:color w:val="000000"/>
          <w:sz w:val="27"/>
          <w:szCs w:val="27"/>
          <w:lang w:val="uk-UA" w:eastAsia="ru-RU" w:bidi="ru-RU"/>
        </w:rPr>
        <w:t xml:space="preserve"> займаній посаді.</w:t>
      </w:r>
    </w:p>
    <w:p w:rsidR="00586E35" w:rsidRDefault="00586E35" w:rsidP="00586E35">
      <w:pPr>
        <w:widowControl/>
        <w:shd w:val="clear" w:color="auto" w:fill="FFFFFF"/>
        <w:suppressAutoHyphens w:val="0"/>
        <w:autoSpaceDE/>
        <w:spacing w:line="210" w:lineRule="atLeast"/>
        <w:ind w:firstLine="567"/>
        <w:jc w:val="both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210" w:lineRule="atLeast"/>
        <w:ind w:firstLine="567"/>
        <w:jc w:val="both"/>
        <w:rPr>
          <w:rFonts w:eastAsia="Calibri"/>
          <w:sz w:val="27"/>
          <w:szCs w:val="27"/>
          <w:lang w:val="uk-UA" w:eastAsia="en-US"/>
        </w:rPr>
      </w:pP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after="120" w:line="360" w:lineRule="auto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Головуючий </w:t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  <w:t xml:space="preserve">С.Ю.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Козьяков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Члени Комісії:</w:t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</w:r>
      <w:r w:rsidRPr="00586E35">
        <w:rPr>
          <w:rFonts w:eastAsia="Calibri"/>
          <w:sz w:val="27"/>
          <w:szCs w:val="27"/>
          <w:lang w:val="uk-UA" w:eastAsia="en-US"/>
        </w:rPr>
        <w:tab/>
        <w:t xml:space="preserve">В.І.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Бутенко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А</w:t>
      </w:r>
      <w:bookmarkStart w:id="0" w:name="_GoBack"/>
      <w:bookmarkEnd w:id="0"/>
      <w:r w:rsidRPr="00586E35">
        <w:rPr>
          <w:rFonts w:eastAsia="Calibri"/>
          <w:sz w:val="27"/>
          <w:szCs w:val="27"/>
          <w:lang w:val="uk-UA" w:eastAsia="en-US"/>
        </w:rPr>
        <w:t>.В. Василенко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Т.Ф.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Весельська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С.В. Гладій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А.О.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Заріцька</w:t>
      </w:r>
      <w:proofErr w:type="spellEnd"/>
      <w:r w:rsidRPr="00586E35">
        <w:rPr>
          <w:rFonts w:eastAsia="Calibri"/>
          <w:sz w:val="27"/>
          <w:szCs w:val="27"/>
          <w:lang w:val="uk-UA" w:eastAsia="en-US"/>
        </w:rPr>
        <w:t xml:space="preserve"> 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А.Г. Козлов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Т.В. Лукаш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П.С.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Луцюк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М.А.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Макарчук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М.І.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Мішин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С.М.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Прилипко</w:t>
      </w:r>
      <w:proofErr w:type="spellEnd"/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В.Є. Устименко</w:t>
      </w:r>
    </w:p>
    <w:p w:rsidR="00586E35" w:rsidRPr="00586E35" w:rsidRDefault="00586E35" w:rsidP="00586E35">
      <w:pPr>
        <w:widowControl/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>Т.С. Шилова</w:t>
      </w:r>
    </w:p>
    <w:p w:rsidR="00586E35" w:rsidRPr="00586E35" w:rsidRDefault="00586E35" w:rsidP="00586E35">
      <w:pPr>
        <w:shd w:val="clear" w:color="auto" w:fill="FFFFFF"/>
        <w:suppressAutoHyphens w:val="0"/>
        <w:autoSpaceDE/>
        <w:spacing w:line="360" w:lineRule="auto"/>
        <w:ind w:left="112" w:firstLine="7088"/>
        <w:jc w:val="both"/>
        <w:rPr>
          <w:rFonts w:eastAsia="Calibri"/>
          <w:sz w:val="27"/>
          <w:szCs w:val="27"/>
          <w:lang w:val="uk-UA" w:eastAsia="en-US"/>
        </w:rPr>
      </w:pPr>
      <w:r w:rsidRPr="00586E35">
        <w:rPr>
          <w:rFonts w:eastAsia="Calibri"/>
          <w:sz w:val="27"/>
          <w:szCs w:val="27"/>
          <w:lang w:val="uk-UA" w:eastAsia="en-US"/>
        </w:rPr>
        <w:t xml:space="preserve">С.О. </w:t>
      </w:r>
      <w:proofErr w:type="spellStart"/>
      <w:r w:rsidRPr="00586E35">
        <w:rPr>
          <w:rFonts w:eastAsia="Calibri"/>
          <w:sz w:val="27"/>
          <w:szCs w:val="27"/>
          <w:lang w:val="uk-UA" w:eastAsia="en-US"/>
        </w:rPr>
        <w:t>Щотка</w:t>
      </w:r>
      <w:proofErr w:type="spellEnd"/>
    </w:p>
    <w:p w:rsidR="00BE52C9" w:rsidRDefault="00BE52C9" w:rsidP="00586E35">
      <w:pPr>
        <w:widowControl/>
        <w:shd w:val="clear" w:color="auto" w:fill="FFFFFF"/>
        <w:autoSpaceDE/>
        <w:jc w:val="both"/>
        <w:rPr>
          <w:sz w:val="28"/>
          <w:szCs w:val="28"/>
          <w:lang w:val="uk-UA"/>
        </w:rPr>
      </w:pPr>
    </w:p>
    <w:sectPr w:rsidR="00BE52C9" w:rsidSect="00CE65BC">
      <w:headerReference w:type="default" r:id="rId10"/>
      <w:pgSz w:w="11905" w:h="16837"/>
      <w:pgMar w:top="1134" w:right="565" w:bottom="1134" w:left="1414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A37" w:rsidRDefault="00121A37">
      <w:r>
        <w:separator/>
      </w:r>
    </w:p>
  </w:endnote>
  <w:endnote w:type="continuationSeparator" w:id="0">
    <w:p w:rsidR="00121A37" w:rsidRDefault="0012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A37" w:rsidRDefault="00121A37">
      <w:r>
        <w:separator/>
      </w:r>
    </w:p>
  </w:footnote>
  <w:footnote w:type="continuationSeparator" w:id="0">
    <w:p w:rsidR="00121A37" w:rsidRDefault="00121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/>
    <w:sdtContent>
      <w:p w:rsidR="001E2539" w:rsidRDefault="001E25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BFD">
          <w:rPr>
            <w:noProof/>
          </w:rPr>
          <w:t>5</w:t>
        </w:r>
        <w: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28F45D3F"/>
    <w:multiLevelType w:val="hybridMultilevel"/>
    <w:tmpl w:val="83B2C93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1">
    <w:nsid w:val="7464640E"/>
    <w:multiLevelType w:val="hybridMultilevel"/>
    <w:tmpl w:val="7AAA53C8"/>
    <w:lvl w:ilvl="0" w:tplc="009241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4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5"/>
  </w:num>
  <w:num w:numId="5">
    <w:abstractNumId w:val="10"/>
  </w:num>
  <w:num w:numId="6">
    <w:abstractNumId w:val="6"/>
  </w:num>
  <w:num w:numId="7">
    <w:abstractNumId w:val="7"/>
  </w:num>
  <w:num w:numId="8">
    <w:abstractNumId w:val="13"/>
  </w:num>
  <w:num w:numId="9">
    <w:abstractNumId w:val="2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36376"/>
    <w:rsid w:val="00042A93"/>
    <w:rsid w:val="000452FF"/>
    <w:rsid w:val="00046508"/>
    <w:rsid w:val="0006401D"/>
    <w:rsid w:val="000877CB"/>
    <w:rsid w:val="00090B5C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A37"/>
    <w:rsid w:val="00121D45"/>
    <w:rsid w:val="001226B0"/>
    <w:rsid w:val="00133ED3"/>
    <w:rsid w:val="00136F73"/>
    <w:rsid w:val="00142DD4"/>
    <w:rsid w:val="00146C46"/>
    <w:rsid w:val="001505A5"/>
    <w:rsid w:val="00163CA2"/>
    <w:rsid w:val="00164264"/>
    <w:rsid w:val="001811B4"/>
    <w:rsid w:val="00184DE1"/>
    <w:rsid w:val="00192407"/>
    <w:rsid w:val="0019522B"/>
    <w:rsid w:val="001B4341"/>
    <w:rsid w:val="001B58DC"/>
    <w:rsid w:val="001B73B2"/>
    <w:rsid w:val="001C3E3F"/>
    <w:rsid w:val="001C52E2"/>
    <w:rsid w:val="001C6A4D"/>
    <w:rsid w:val="001E062C"/>
    <w:rsid w:val="001E2539"/>
    <w:rsid w:val="001E258A"/>
    <w:rsid w:val="001E4443"/>
    <w:rsid w:val="001E7DD7"/>
    <w:rsid w:val="001E7E79"/>
    <w:rsid w:val="00225938"/>
    <w:rsid w:val="002346C4"/>
    <w:rsid w:val="002502DB"/>
    <w:rsid w:val="0025307A"/>
    <w:rsid w:val="002552F3"/>
    <w:rsid w:val="0026081E"/>
    <w:rsid w:val="00262DA2"/>
    <w:rsid w:val="00271A2A"/>
    <w:rsid w:val="00273DF6"/>
    <w:rsid w:val="002748CE"/>
    <w:rsid w:val="00282BF8"/>
    <w:rsid w:val="00292B6B"/>
    <w:rsid w:val="002931D9"/>
    <w:rsid w:val="002A01CF"/>
    <w:rsid w:val="002A044E"/>
    <w:rsid w:val="002B17BB"/>
    <w:rsid w:val="002B57FE"/>
    <w:rsid w:val="002C6E4E"/>
    <w:rsid w:val="002D5B92"/>
    <w:rsid w:val="002D5C9F"/>
    <w:rsid w:val="00301D8E"/>
    <w:rsid w:val="00305736"/>
    <w:rsid w:val="00305F76"/>
    <w:rsid w:val="003079A5"/>
    <w:rsid w:val="00313368"/>
    <w:rsid w:val="0032316A"/>
    <w:rsid w:val="003261DC"/>
    <w:rsid w:val="0034131C"/>
    <w:rsid w:val="0034480B"/>
    <w:rsid w:val="00346068"/>
    <w:rsid w:val="0035237B"/>
    <w:rsid w:val="00360C01"/>
    <w:rsid w:val="0036272A"/>
    <w:rsid w:val="00364F7D"/>
    <w:rsid w:val="00374CD0"/>
    <w:rsid w:val="003755C9"/>
    <w:rsid w:val="00380440"/>
    <w:rsid w:val="003843C7"/>
    <w:rsid w:val="00390EEF"/>
    <w:rsid w:val="003B04B7"/>
    <w:rsid w:val="003C2569"/>
    <w:rsid w:val="003E476B"/>
    <w:rsid w:val="003F0E95"/>
    <w:rsid w:val="003F521C"/>
    <w:rsid w:val="00417503"/>
    <w:rsid w:val="00425458"/>
    <w:rsid w:val="0043619F"/>
    <w:rsid w:val="00442B79"/>
    <w:rsid w:val="004509CB"/>
    <w:rsid w:val="0045347F"/>
    <w:rsid w:val="004605CA"/>
    <w:rsid w:val="004639C8"/>
    <w:rsid w:val="00467601"/>
    <w:rsid w:val="004717B4"/>
    <w:rsid w:val="004760BE"/>
    <w:rsid w:val="00484A96"/>
    <w:rsid w:val="00491F8F"/>
    <w:rsid w:val="00494B4C"/>
    <w:rsid w:val="004A64C7"/>
    <w:rsid w:val="004B1EC6"/>
    <w:rsid w:val="004B24DA"/>
    <w:rsid w:val="004B5EB2"/>
    <w:rsid w:val="004B6008"/>
    <w:rsid w:val="004C0A87"/>
    <w:rsid w:val="004C1877"/>
    <w:rsid w:val="004E1150"/>
    <w:rsid w:val="004F00A1"/>
    <w:rsid w:val="004F3A19"/>
    <w:rsid w:val="00504952"/>
    <w:rsid w:val="0052142D"/>
    <w:rsid w:val="00522A85"/>
    <w:rsid w:val="00533B70"/>
    <w:rsid w:val="00537C7D"/>
    <w:rsid w:val="00544DDB"/>
    <w:rsid w:val="005460E0"/>
    <w:rsid w:val="00553956"/>
    <w:rsid w:val="00554E20"/>
    <w:rsid w:val="0055637F"/>
    <w:rsid w:val="00582BD3"/>
    <w:rsid w:val="005837CF"/>
    <w:rsid w:val="005857E2"/>
    <w:rsid w:val="00586E35"/>
    <w:rsid w:val="00590BFD"/>
    <w:rsid w:val="005A4548"/>
    <w:rsid w:val="005A5869"/>
    <w:rsid w:val="005C3C06"/>
    <w:rsid w:val="005D3A0B"/>
    <w:rsid w:val="005D5AFC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470A2"/>
    <w:rsid w:val="0067645F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6420D"/>
    <w:rsid w:val="00771130"/>
    <w:rsid w:val="007757EB"/>
    <w:rsid w:val="0078560D"/>
    <w:rsid w:val="007878BA"/>
    <w:rsid w:val="007B3EAC"/>
    <w:rsid w:val="007B6917"/>
    <w:rsid w:val="007C3141"/>
    <w:rsid w:val="007C43A4"/>
    <w:rsid w:val="007E0030"/>
    <w:rsid w:val="007E1972"/>
    <w:rsid w:val="007E292A"/>
    <w:rsid w:val="007F0222"/>
    <w:rsid w:val="007F3384"/>
    <w:rsid w:val="007F510D"/>
    <w:rsid w:val="008020B0"/>
    <w:rsid w:val="00804C61"/>
    <w:rsid w:val="00814D95"/>
    <w:rsid w:val="00822DD2"/>
    <w:rsid w:val="0082347B"/>
    <w:rsid w:val="0084520E"/>
    <w:rsid w:val="008543EF"/>
    <w:rsid w:val="0086224E"/>
    <w:rsid w:val="00884630"/>
    <w:rsid w:val="00885293"/>
    <w:rsid w:val="0088676A"/>
    <w:rsid w:val="008962AF"/>
    <w:rsid w:val="00896885"/>
    <w:rsid w:val="008A4C06"/>
    <w:rsid w:val="008C1B28"/>
    <w:rsid w:val="008E015D"/>
    <w:rsid w:val="008E20F5"/>
    <w:rsid w:val="008F2071"/>
    <w:rsid w:val="008F4C3A"/>
    <w:rsid w:val="00906110"/>
    <w:rsid w:val="00932ECB"/>
    <w:rsid w:val="00941E03"/>
    <w:rsid w:val="0094390A"/>
    <w:rsid w:val="009467EF"/>
    <w:rsid w:val="00946881"/>
    <w:rsid w:val="00971BFD"/>
    <w:rsid w:val="0098285A"/>
    <w:rsid w:val="009901F2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F60AC"/>
    <w:rsid w:val="00A036C4"/>
    <w:rsid w:val="00A10294"/>
    <w:rsid w:val="00A25FCF"/>
    <w:rsid w:val="00A37012"/>
    <w:rsid w:val="00A4102B"/>
    <w:rsid w:val="00A42ADB"/>
    <w:rsid w:val="00A54695"/>
    <w:rsid w:val="00A67D43"/>
    <w:rsid w:val="00A74278"/>
    <w:rsid w:val="00A94327"/>
    <w:rsid w:val="00AB154E"/>
    <w:rsid w:val="00AB4B95"/>
    <w:rsid w:val="00AC1749"/>
    <w:rsid w:val="00AE59C0"/>
    <w:rsid w:val="00AF0084"/>
    <w:rsid w:val="00AF588E"/>
    <w:rsid w:val="00AF7BFE"/>
    <w:rsid w:val="00B219EA"/>
    <w:rsid w:val="00B23F32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4653"/>
    <w:rsid w:val="00BA60F9"/>
    <w:rsid w:val="00BA792D"/>
    <w:rsid w:val="00BE52C9"/>
    <w:rsid w:val="00BF0505"/>
    <w:rsid w:val="00C122D3"/>
    <w:rsid w:val="00C2214C"/>
    <w:rsid w:val="00C3221D"/>
    <w:rsid w:val="00C3367F"/>
    <w:rsid w:val="00C46034"/>
    <w:rsid w:val="00C46B35"/>
    <w:rsid w:val="00C54F04"/>
    <w:rsid w:val="00C66457"/>
    <w:rsid w:val="00C6673F"/>
    <w:rsid w:val="00C704CF"/>
    <w:rsid w:val="00C743AD"/>
    <w:rsid w:val="00C76639"/>
    <w:rsid w:val="00C777DF"/>
    <w:rsid w:val="00CA1DFD"/>
    <w:rsid w:val="00CA5AB0"/>
    <w:rsid w:val="00CA7B07"/>
    <w:rsid w:val="00CB47DC"/>
    <w:rsid w:val="00CC24EF"/>
    <w:rsid w:val="00CC71A4"/>
    <w:rsid w:val="00CD2B34"/>
    <w:rsid w:val="00CE65BC"/>
    <w:rsid w:val="00CF0B28"/>
    <w:rsid w:val="00CF522A"/>
    <w:rsid w:val="00CF7D01"/>
    <w:rsid w:val="00D019A9"/>
    <w:rsid w:val="00D01A8A"/>
    <w:rsid w:val="00D01E67"/>
    <w:rsid w:val="00D025EB"/>
    <w:rsid w:val="00D20F43"/>
    <w:rsid w:val="00D30CDE"/>
    <w:rsid w:val="00D45DBB"/>
    <w:rsid w:val="00D60004"/>
    <w:rsid w:val="00D66FAA"/>
    <w:rsid w:val="00D71D40"/>
    <w:rsid w:val="00D83391"/>
    <w:rsid w:val="00D86C33"/>
    <w:rsid w:val="00DB0AE7"/>
    <w:rsid w:val="00DB29AF"/>
    <w:rsid w:val="00DB3D28"/>
    <w:rsid w:val="00DC16F3"/>
    <w:rsid w:val="00DC1C96"/>
    <w:rsid w:val="00DC6757"/>
    <w:rsid w:val="00DC6968"/>
    <w:rsid w:val="00DC707D"/>
    <w:rsid w:val="00DE45A9"/>
    <w:rsid w:val="00DF7A5A"/>
    <w:rsid w:val="00E01AC3"/>
    <w:rsid w:val="00E0265B"/>
    <w:rsid w:val="00E0573C"/>
    <w:rsid w:val="00E4078C"/>
    <w:rsid w:val="00E431EA"/>
    <w:rsid w:val="00E43D8C"/>
    <w:rsid w:val="00E76B1A"/>
    <w:rsid w:val="00E849CD"/>
    <w:rsid w:val="00E85722"/>
    <w:rsid w:val="00E9490A"/>
    <w:rsid w:val="00EA073F"/>
    <w:rsid w:val="00EA183C"/>
    <w:rsid w:val="00EB172D"/>
    <w:rsid w:val="00EF160E"/>
    <w:rsid w:val="00EF17DB"/>
    <w:rsid w:val="00F0190E"/>
    <w:rsid w:val="00F1769E"/>
    <w:rsid w:val="00F26051"/>
    <w:rsid w:val="00F27442"/>
    <w:rsid w:val="00F4332D"/>
    <w:rsid w:val="00F47DCD"/>
    <w:rsid w:val="00F536D4"/>
    <w:rsid w:val="00F724AA"/>
    <w:rsid w:val="00F85B99"/>
    <w:rsid w:val="00FB0528"/>
    <w:rsid w:val="00FB6216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E484-23BA-488A-964A-AEB059F2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6498</Words>
  <Characters>3705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10183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Чулупин Ольга Василівна</cp:lastModifiedBy>
  <cp:revision>6</cp:revision>
  <cp:lastPrinted>2018-06-07T16:05:00Z</cp:lastPrinted>
  <dcterms:created xsi:type="dcterms:W3CDTF">2018-06-04T14:18:00Z</dcterms:created>
  <dcterms:modified xsi:type="dcterms:W3CDTF">2020-12-24T11:05:00Z</dcterms:modified>
</cp:coreProperties>
</file>