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6"/>
        <w:gridCol w:w="1837"/>
        <w:gridCol w:w="998"/>
        <w:gridCol w:w="351"/>
        <w:gridCol w:w="448"/>
        <w:gridCol w:w="448"/>
        <w:gridCol w:w="516"/>
      </w:tblGrid>
      <w:tr w:rsidR="003B4D41" w:rsidTr="00B52704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B4D41" w:rsidRDefault="003B4D41"/>
        </w:tc>
        <w:tc>
          <w:tcPr>
            <w:tcW w:w="4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B4D41" w:rsidRDefault="003B4D4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B4D41" w:rsidRDefault="003B4D41"/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B4D41" w:rsidRDefault="003B4D41"/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B4D41" w:rsidRDefault="003B4D41"/>
        </w:tc>
        <w:tc>
          <w:tcPr>
            <w:tcW w:w="51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B4D41" w:rsidRDefault="003B4D41"/>
        </w:tc>
      </w:tr>
      <w:tr w:rsidR="003B4D41" w:rsidTr="00B52704">
        <w:trPr>
          <w:trHeight w:hRule="exact" w:val="277"/>
        </w:trPr>
        <w:tc>
          <w:tcPr>
            <w:tcW w:w="1026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4D41" w:rsidRDefault="003B4D41"/>
        </w:tc>
      </w:tr>
      <w:tr w:rsidR="003B4D41" w:rsidRPr="002F7B93" w:rsidTr="007E77E4">
        <w:trPr>
          <w:trHeight w:hRule="exact" w:val="577"/>
        </w:trPr>
        <w:tc>
          <w:tcPr>
            <w:tcW w:w="5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4D41" w:rsidRPr="002F7B93" w:rsidRDefault="002F7B93">
            <w:pPr>
              <w:spacing w:after="0" w:line="150" w:lineRule="auto"/>
              <w:jc w:val="center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uk-UA"/>
              </w:rPr>
              <w:t>Короткий опис основної діяльності установи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4D41" w:rsidRPr="002F7B93" w:rsidRDefault="002F7B93">
            <w:pPr>
              <w:spacing w:after="0" w:line="150" w:lineRule="auto"/>
              <w:jc w:val="center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uk-UA"/>
              </w:rPr>
              <w:t>Найменування органу, якому підпорядкована установа</w:t>
            </w:r>
          </w:p>
        </w:tc>
        <w:tc>
          <w:tcPr>
            <w:tcW w:w="1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4D41" w:rsidRPr="002F7B93" w:rsidRDefault="002F7B93">
            <w:pPr>
              <w:spacing w:after="0" w:line="150" w:lineRule="auto"/>
              <w:jc w:val="center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uk-UA"/>
              </w:rPr>
              <w:t>Середня чисельність працівників</w:t>
            </w:r>
          </w:p>
        </w:tc>
      </w:tr>
      <w:tr w:rsidR="003B4D41" w:rsidRPr="002F7B93" w:rsidTr="00B52704">
        <w:trPr>
          <w:trHeight w:hRule="exact" w:val="166"/>
        </w:trPr>
        <w:tc>
          <w:tcPr>
            <w:tcW w:w="5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4D41" w:rsidRPr="002F7B93" w:rsidRDefault="002F7B93">
            <w:pPr>
              <w:spacing w:after="0" w:line="120" w:lineRule="auto"/>
              <w:jc w:val="center"/>
              <w:rPr>
                <w:sz w:val="10"/>
                <w:szCs w:val="1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4D41" w:rsidRPr="002F7B93" w:rsidRDefault="002F7B93">
            <w:pPr>
              <w:spacing w:after="0" w:line="120" w:lineRule="auto"/>
              <w:jc w:val="center"/>
              <w:rPr>
                <w:sz w:val="10"/>
                <w:szCs w:val="1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2</w:t>
            </w:r>
          </w:p>
        </w:tc>
        <w:tc>
          <w:tcPr>
            <w:tcW w:w="1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4D41" w:rsidRPr="002F7B93" w:rsidRDefault="002F7B93">
            <w:pPr>
              <w:spacing w:after="0" w:line="120" w:lineRule="auto"/>
              <w:jc w:val="center"/>
              <w:rPr>
                <w:sz w:val="10"/>
                <w:szCs w:val="1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  <w:t>3</w:t>
            </w:r>
          </w:p>
        </w:tc>
      </w:tr>
      <w:tr w:rsidR="003B4D41" w:rsidRPr="002F7B93" w:rsidTr="007E77E4">
        <w:trPr>
          <w:trHeight w:hRule="exact" w:val="2043"/>
        </w:trPr>
        <w:tc>
          <w:tcPr>
            <w:tcW w:w="5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B4D41" w:rsidRPr="002F7B93" w:rsidRDefault="002F7B93">
            <w:pPr>
              <w:spacing w:after="0" w:line="150" w:lineRule="auto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 xml:space="preserve">Відповідно до Закону України «Про місцеві державні адміністрації» Дарницька районна в  місті Києві державна </w:t>
            </w: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адміністрація в межах своїх повноважень здійснює виконавчу владу в Дарницькому районі м. Києва.</w:t>
            </w:r>
          </w:p>
          <w:p w:rsidR="003B4D41" w:rsidRPr="002F7B93" w:rsidRDefault="002F7B93">
            <w:pPr>
              <w:spacing w:after="0" w:line="150" w:lineRule="auto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Дарницька районна в  м. Києві державна адміністрація є місцевим органом виконавчої влади і входить до системи органів виконавчої влади.</w:t>
            </w:r>
          </w:p>
          <w:p w:rsidR="003B4D41" w:rsidRPr="002F7B93" w:rsidRDefault="002F7B93">
            <w:pPr>
              <w:spacing w:after="0" w:line="150" w:lineRule="auto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 xml:space="preserve">Дарницька районна в  м. </w:t>
            </w: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Києві державна адміністрація забезпечує:</w:t>
            </w:r>
          </w:p>
          <w:p w:rsidR="003B4D41" w:rsidRPr="002F7B93" w:rsidRDefault="002F7B93">
            <w:pPr>
              <w:spacing w:after="0" w:line="150" w:lineRule="auto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1) виконання Конституції, законів України, актів Президента України, Кабінету Міністрів України, інших органів виконавчої влади вищого рівня;</w:t>
            </w:r>
          </w:p>
          <w:p w:rsidR="003B4D41" w:rsidRPr="002F7B93" w:rsidRDefault="002F7B93">
            <w:pPr>
              <w:spacing w:after="0" w:line="150" w:lineRule="auto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2) законність і правопорядок, додержання прав і свобод громадян;</w:t>
            </w:r>
          </w:p>
          <w:p w:rsidR="003B4D41" w:rsidRPr="002F7B93" w:rsidRDefault="002F7B93">
            <w:pPr>
              <w:spacing w:after="0" w:line="150" w:lineRule="auto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3) викон</w:t>
            </w: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ання державних і регіональних програм соціально-економічного та культурного розвитку, програм охорони довкілля;</w:t>
            </w:r>
          </w:p>
          <w:p w:rsidR="003B4D41" w:rsidRPr="002F7B93" w:rsidRDefault="002F7B93">
            <w:pPr>
              <w:spacing w:after="0" w:line="150" w:lineRule="auto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4) реалізацію інших наданих  державою, а також делегованих Київською міською радою повноважень.</w:t>
            </w:r>
          </w:p>
          <w:p w:rsidR="003B4D41" w:rsidRPr="002F7B93" w:rsidRDefault="002F7B93">
            <w:pPr>
              <w:spacing w:after="0" w:line="150" w:lineRule="auto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Дарницька районна в  м. Києві державна адміністр</w:t>
            </w: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ація діє на засадах:</w:t>
            </w:r>
          </w:p>
          <w:p w:rsidR="003B4D41" w:rsidRPr="002F7B93" w:rsidRDefault="002F7B93">
            <w:pPr>
              <w:spacing w:after="0" w:line="150" w:lineRule="auto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 відповідальності перед людиною і державою за свою діяльність;</w:t>
            </w:r>
          </w:p>
          <w:p w:rsidR="003B4D41" w:rsidRPr="002F7B93" w:rsidRDefault="002F7B93">
            <w:pPr>
              <w:spacing w:after="0" w:line="150" w:lineRule="auto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 верховенства права;</w:t>
            </w:r>
          </w:p>
          <w:p w:rsidR="003B4D41" w:rsidRPr="002F7B93" w:rsidRDefault="002F7B93">
            <w:pPr>
              <w:spacing w:after="0" w:line="150" w:lineRule="auto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 законності;</w:t>
            </w:r>
          </w:p>
          <w:p w:rsidR="003B4D41" w:rsidRPr="002F7B93" w:rsidRDefault="002F7B93">
            <w:pPr>
              <w:spacing w:after="0" w:line="150" w:lineRule="auto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 пріоритетності прав людини;</w:t>
            </w:r>
          </w:p>
          <w:p w:rsidR="003B4D41" w:rsidRPr="002F7B93" w:rsidRDefault="002F7B93">
            <w:pPr>
              <w:spacing w:after="0" w:line="150" w:lineRule="auto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 гласності;</w:t>
            </w:r>
          </w:p>
          <w:p w:rsidR="003B4D41" w:rsidRPr="002F7B93" w:rsidRDefault="002F7B93">
            <w:pPr>
              <w:spacing w:after="0" w:line="150" w:lineRule="auto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 поєднання державних і місцевих інтересів.</w:t>
            </w:r>
          </w:p>
          <w:p w:rsidR="003B4D41" w:rsidRPr="002F7B93" w:rsidRDefault="002F7B93">
            <w:pPr>
              <w:spacing w:after="0" w:line="150" w:lineRule="auto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Фактична та юридична адреса:</w:t>
            </w:r>
          </w:p>
          <w:p w:rsidR="003B4D41" w:rsidRPr="002F7B93" w:rsidRDefault="002F7B93">
            <w:pPr>
              <w:spacing w:after="0" w:line="150" w:lineRule="auto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 xml:space="preserve">02068, м. Київ, </w:t>
            </w: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вул. О. Кошиця, 11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B4D41" w:rsidRPr="002F7B93" w:rsidRDefault="002F7B93">
            <w:pPr>
              <w:spacing w:after="0" w:line="150" w:lineRule="auto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Київська міська державна адміністрація</w:t>
            </w:r>
          </w:p>
        </w:tc>
        <w:tc>
          <w:tcPr>
            <w:tcW w:w="1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B4D41" w:rsidRPr="002F7B93" w:rsidRDefault="002F7B93">
            <w:pPr>
              <w:spacing w:after="0" w:line="150" w:lineRule="auto"/>
              <w:jc w:val="center"/>
              <w:rPr>
                <w:sz w:val="12"/>
                <w:szCs w:val="12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129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6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Кредиторської заборгованості на початок року та на звітну дату немає .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6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Простроченої кредиторської заборгованості на початок року та на звітну дату немає.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6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Дебіторської 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заборгованості на початок року немає, на звітну дату заборгованості немає.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6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Простроченої дебіторської та кредиторської заборгованості, зазначеної у рядку "Інше"  на звітну дату немає.</w:t>
            </w:r>
          </w:p>
        </w:tc>
      </w:tr>
      <w:tr w:rsidR="003B4D41" w:rsidRPr="002F7B93" w:rsidTr="00B52704">
        <w:trPr>
          <w:trHeight w:hRule="exact" w:val="465"/>
        </w:trPr>
        <w:tc>
          <w:tcPr>
            <w:tcW w:w="1026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Простроченої кредиторської заборгованості за кодом економічної класифік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ації видатків  2110, та за кодом економічної класифікації видатків 2270 немає.</w:t>
            </w:r>
          </w:p>
        </w:tc>
      </w:tr>
      <w:tr w:rsidR="003B4D41" w:rsidRPr="002F7B93" w:rsidTr="00B52704">
        <w:trPr>
          <w:trHeight w:hRule="exact" w:val="690"/>
        </w:trPr>
        <w:tc>
          <w:tcPr>
            <w:tcW w:w="1026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“Кредиторської заборгованості за бюджетними зобов'язаннями, не взятими на облік органами Казначейства, зазначеної у Довідці про дебіторську та кредиторську заборгованість, які 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 відображаються у формі № 7д, № 7м “Звіт про заборгованість за бюджетними коштами”, на звітну дату немає.</w:t>
            </w:r>
          </w:p>
        </w:tc>
      </w:tr>
      <w:tr w:rsidR="003B4D41" w:rsidRPr="002F7B93" w:rsidTr="00B52704">
        <w:trPr>
          <w:trHeight w:hRule="exact" w:val="690"/>
        </w:trPr>
        <w:tc>
          <w:tcPr>
            <w:tcW w:w="1026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Зобов'язань, взятих без відповідних бюджетних асигнувань або з перевищенням повноважень, встановлених Бюджетним кодексом України, законом про 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Державний бюджет України, рішенням про місцевий бюджет, на звітну дату немає.</w:t>
            </w:r>
          </w:p>
        </w:tc>
      </w:tr>
      <w:tr w:rsidR="003B4D41" w:rsidRPr="002F7B93" w:rsidTr="00B52704">
        <w:trPr>
          <w:trHeight w:hRule="exact" w:val="465"/>
        </w:trPr>
        <w:tc>
          <w:tcPr>
            <w:tcW w:w="1026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Дебіторської та кредиторської заборгованості за бюджетними програмами, бюджетні призначення за якими законом про Державний бюджет України на звітний рік не затверджувалися, на з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вітну дату немає.</w:t>
            </w:r>
          </w:p>
        </w:tc>
      </w:tr>
      <w:tr w:rsidR="003B4D41" w:rsidRPr="002F7B93" w:rsidTr="00B52704">
        <w:trPr>
          <w:trHeight w:hRule="exact" w:val="465"/>
        </w:trPr>
        <w:tc>
          <w:tcPr>
            <w:tcW w:w="1026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Протоколи про порушення бюджетного законодавства органами Казначейства за звітний період не складалися, порушень бюджетного законодавства не було.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6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Поточних рахунків в установах банків немає.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6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Рахунку в системі електронного 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адміністрування податку на додану вартість немає.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6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Пояснення до форми Баланс №1-дс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6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Станом 01.01.2020: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6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1000 графа 3 – основні засоби – 4129675,00 грн.,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6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1001 графа 3 – первісна вартість - 8483495,00 грн.,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6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Рядок 1002 графа 3 – знос - 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4353820,00 грн.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6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Станом 01.04.2020: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6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1000 графа 4 – основні засоби - 4113187,00 грн.,</w:t>
            </w:r>
          </w:p>
        </w:tc>
      </w:tr>
    </w:tbl>
    <w:p w:rsidR="003B4D41" w:rsidRPr="002F7B93" w:rsidRDefault="003B4D41">
      <w:pPr>
        <w:rPr>
          <w:sz w:val="0"/>
          <w:szCs w:val="0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3B4D41" w:rsidRPr="002F7B93" w:rsidTr="00B52704">
        <w:trPr>
          <w:trHeight w:hRule="exact" w:val="240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Відбулася зміна на суму 16488,00 грн. в результаті:</w:t>
            </w:r>
          </w:p>
        </w:tc>
      </w:tr>
      <w:tr w:rsidR="003B4D41" w:rsidRPr="002F7B93" w:rsidTr="00B52704">
        <w:trPr>
          <w:trHeight w:hRule="exact" w:val="465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зміни первісної вартості 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основних засобів (інші необоротні матеріальні активи) на суму 967501,00 грн. та нарахування зносу на інші необоротні матеріальні активи 951013,00 грн.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1001 графа 4 – первісна вартість – 7515994,00 грн.,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Відбулася зміна на суму 967501,00 грн. в 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результаті:</w:t>
            </w:r>
          </w:p>
        </w:tc>
      </w:tr>
      <w:tr w:rsidR="003B4D41" w:rsidRPr="002F7B93" w:rsidTr="00B52704">
        <w:trPr>
          <w:trHeight w:hRule="exact" w:val="465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Збільшення основних засобів (інших необоротних матеріальних активів)  на суму 8865,00 грн, в тому числі за рахунок: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 придбання на суму 8865,00 грн.( за рахунок коштів загального фонду – 8864,80 грн,).</w:t>
            </w:r>
          </w:p>
        </w:tc>
      </w:tr>
      <w:tr w:rsidR="003B4D41" w:rsidRPr="002F7B93" w:rsidTr="00B52704">
        <w:trPr>
          <w:trHeight w:hRule="exact" w:val="465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Вибуття основних засобів (інших необоро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тних матеріальних активів)  на суму 976366,00 грн в тому числі за рахунок: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 списання як непридатних для використання – 976365,84 грн.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1002 графа 4 – знос - 3402807,00 грн.,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Відбулася зміна на суму 951013,00 грн. в результаті збільшення зносу:</w:t>
            </w:r>
          </w:p>
        </w:tc>
      </w:tr>
      <w:tr w:rsidR="003B4D41" w:rsidRPr="002F7B93" w:rsidTr="00B52704">
        <w:trPr>
          <w:trHeight w:hRule="exact" w:val="465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 суму 4432,00 грн. нараховано знос у зв’язку з придбанням основних засобів (інших необоротних матеріальних активів);</w:t>
            </w:r>
          </w:p>
        </w:tc>
      </w:tr>
      <w:tr w:rsidR="003B4D41" w:rsidRPr="002F7B93" w:rsidTr="00B52704">
        <w:trPr>
          <w:trHeight w:hRule="exact" w:val="465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 на суму 20921,00 грн. при донарахуванні зносу 50% при списанні основних засобів (інших необоротних матеріальних активів);</w:t>
            </w:r>
          </w:p>
        </w:tc>
      </w:tr>
      <w:tr w:rsidR="003B4D41" w:rsidRPr="002F7B93" w:rsidTr="00B52704">
        <w:trPr>
          <w:trHeight w:hRule="exact" w:val="465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 зменшенн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я зносу на суму 976366,00 грн. у зв’язку з списанням основних засобів (інших необоротних матеріальних активів)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Нарахування амортизації згідно наказу про облікову політику проводиться на річну дату балансу.</w:t>
            </w:r>
          </w:p>
        </w:tc>
      </w:tr>
      <w:tr w:rsidR="003B4D41" w:rsidRPr="002F7B93" w:rsidTr="00B52704">
        <w:trPr>
          <w:trHeight w:hRule="exact" w:val="465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Рядок 1021 станом на 01.01.2020 – 37000,00 грн, 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станом на 01.04.2020 – 370000,00 грн. відображена первісна вартість нематеріальних активів, змін не відбулося.</w:t>
            </w:r>
          </w:p>
        </w:tc>
      </w:tr>
      <w:tr w:rsidR="003B4D41" w:rsidRPr="002F7B93" w:rsidTr="00B52704">
        <w:trPr>
          <w:trHeight w:hRule="exact" w:val="465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1050 станом на 01.01.2020 – 412453,00 грн, станом на 01.04.2020 – 239011,00 грн. Відбулася зміна на суму 173442,00 грн. в результаті: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 п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ридбання запасів на суму 19731,00 грн;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 списання, як використаних в роботі, запасів на суму 193173,00 грн</w:t>
            </w:r>
          </w:p>
        </w:tc>
      </w:tr>
      <w:tr w:rsidR="003B4D41" w:rsidRPr="002F7B93" w:rsidTr="00B52704">
        <w:trPr>
          <w:trHeight w:hRule="exact" w:val="465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Рядок 1140 станом на 01.01.2020 – 7178,00 грн. (кошти виплачені), станом на 01.04.2020 –14177,00 грн. відображається заборгованість нарахованої 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допомоги у зв’язку з тимчасовою непрацездатністю.</w:t>
            </w:r>
          </w:p>
        </w:tc>
      </w:tr>
      <w:tr w:rsidR="003B4D41" w:rsidRPr="002F7B93" w:rsidTr="00B52704">
        <w:trPr>
          <w:trHeight w:hRule="exact" w:val="690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1161 відображаються грошові документи в національній валюті (бланки ордерів на службові та житлові приміщення,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трудові книжки, марки та марковані конверти, проїзні квитки) станом на 01.01.2020 – 65713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,00 грн, станом на 01.04.2020 – 43892,00 грн. Відбулася зміна на суму 21821,00 грн. в результаті: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 придбання грошових документів у національній валюті на суму 1160,00 грн.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списання, як використаних в роботі, грошових документів у національній валюті 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 суму 22981,00 грн.</w:t>
            </w:r>
          </w:p>
        </w:tc>
      </w:tr>
      <w:tr w:rsidR="003B4D41" w:rsidRPr="002F7B93" w:rsidTr="00B52704">
        <w:trPr>
          <w:trHeight w:hRule="exact" w:val="465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1162 графа 4 відображається залишок коштів в національній валюті на реєстраційних рахунках в казначействі станом на 01.04.2020 – 73556,00 грн.</w:t>
            </w:r>
          </w:p>
        </w:tc>
      </w:tr>
      <w:tr w:rsidR="003B4D41" w:rsidRPr="002F7B93" w:rsidTr="00B52704">
        <w:trPr>
          <w:trHeight w:hRule="exact" w:val="465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 загальному фонду – 73555,95  КПКВ 4110160: КЕКВ 2111 – 20273,58 грн; КЕКВ 2120 –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44062,52 грн; КЕКВ 2271 – 8893,72 грн;  КЕКВ 2272 –47,02 грн; КЕКВ 2273 – 278,20 грн; КЕКВ 2275 – 0,91 грн</w:t>
            </w:r>
          </w:p>
        </w:tc>
      </w:tr>
      <w:tr w:rsidR="003B4D41" w:rsidRPr="002F7B93" w:rsidTr="00B52704">
        <w:trPr>
          <w:trHeight w:hRule="exact" w:val="465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1400 станом на 01.01.2020 – 8520495,00 грн, станом на 01.04.2020 – 7552994,00 грн. відображається внесений капітал. Відбулася зміна на суму 9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67501,00 грн. в результаті зміни первісної вартості основних засобів.</w:t>
            </w:r>
          </w:p>
        </w:tc>
      </w:tr>
      <w:tr w:rsidR="003B4D41" w:rsidRPr="002F7B93" w:rsidTr="00B52704">
        <w:trPr>
          <w:trHeight w:hRule="exact" w:val="1141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1420 станом на 01.01.2020 – (-3875654,00) грн, станом на 01.04.2020 – (-3046348,00) грн відображається фінансовий результат. Відбулася зміна на суму 829306,00 грн. в результаті: с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писання виконання кошторису на фінансовий результат звітного періоду на суму (-147059,00) грн, та віднесено до накопичених фінансових результатів первісну вартість списаних основних засобів (інших необоротних матеріальних активів)  на суму 976365,00 грн.</w:t>
            </w:r>
          </w:p>
        </w:tc>
      </w:tr>
      <w:tr w:rsidR="003B4D41" w:rsidRPr="002F7B93" w:rsidTr="00B52704">
        <w:trPr>
          <w:trHeight w:hRule="exact" w:val="465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1540 станом на 01.01.2020 - 1400,00 грн, станом на 01.04.2020 –2765,00 грн відображаються зобов’язання за податками та зборами:</w:t>
            </w:r>
          </w:p>
        </w:tc>
      </w:tr>
      <w:tr w:rsidR="003B4D41" w:rsidRPr="002F7B93" w:rsidTr="00B52704">
        <w:trPr>
          <w:trHeight w:hRule="exact" w:val="465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не перераховано податок з доходів фізичних осіб та військовий збір із допомоги у зв’язку з тимчасової працездатності в 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сумі 2764,45 грн.</w:t>
            </w:r>
          </w:p>
        </w:tc>
      </w:tr>
      <w:tr w:rsidR="003B4D41" w:rsidRPr="002F7B93" w:rsidTr="00B52704">
        <w:trPr>
          <w:trHeight w:hRule="exact" w:val="465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1560 станом на 01.01.2020 – 5778,00 грн, станом на 01.04.2020 – 11412,00 грн відображаються зобов’язання за розрахунками з працівниками: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 не виплачена допомога у зв’язку з тимчасовою працездатністю</w:t>
            </w:r>
            <w:bookmarkStart w:id="0" w:name="_GoBack"/>
            <w:bookmarkEnd w:id="0"/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 сумі 11412,20 грн.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Пояснення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до форми Звіт про фінансові результати №2-дс</w:t>
            </w:r>
          </w:p>
        </w:tc>
      </w:tr>
      <w:tr w:rsidR="003B4D41" w:rsidRPr="002F7B93" w:rsidTr="00B52704">
        <w:trPr>
          <w:trHeight w:hRule="exact" w:val="690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2010 відображена сума 10674090,00 грн, яка включає суми отриманих бюджетних асигнувань за загальним фондом за винятком суми, яка вилучена з доходу звітного періоду асигнувань у сумі поточних витрат, що в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ключені до первісної вартості основних засобів (інших необоротних матеріальних активів) - 8865,00 грн.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2210 відображена сума 10813864,00 грн - витрати на виконання бюджетних програм: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 загальним фондом – 10813864,43 грн;</w:t>
            </w:r>
          </w:p>
        </w:tc>
      </w:tr>
      <w:tr w:rsidR="003B4D41" w:rsidRPr="002F7B93" w:rsidTr="00B52704">
        <w:trPr>
          <w:trHeight w:hRule="exact" w:val="465"/>
        </w:trPr>
        <w:tc>
          <w:tcPr>
            <w:tcW w:w="102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2250 відображена су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ма 1160,00 грн - витрати за обмінними операціями (витрати на проїзні квитки) - загальний фонд.</w:t>
            </w:r>
          </w:p>
        </w:tc>
      </w:tr>
    </w:tbl>
    <w:p w:rsidR="003B4D41" w:rsidRPr="002F7B93" w:rsidRDefault="003B4D41">
      <w:pPr>
        <w:rPr>
          <w:sz w:val="0"/>
          <w:szCs w:val="0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2"/>
      </w:tblGrid>
      <w:tr w:rsidR="003B4D41" w:rsidRPr="002F7B93" w:rsidTr="00B52704">
        <w:trPr>
          <w:trHeight w:hRule="exact" w:val="465"/>
        </w:trPr>
        <w:tc>
          <w:tcPr>
            <w:tcW w:w="1028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Рядок 2310 відображена сума 6125,00 грн витрат за необмінними операціями (витрати на судовий 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збір) – загальний фонд.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8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 КПКВ 4110160 на 2020 рік затверджено асигнувань в сумі 46765100,00 грн.: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8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загальний фонд 46765100,00 грн.;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8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Надійшло коштів за звітний період – 10682954,78 грн: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8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загальний фонд – 10682954,78 грн.;</w:t>
            </w:r>
          </w:p>
        </w:tc>
      </w:tr>
      <w:tr w:rsidR="003B4D41" w:rsidRPr="002F7B93" w:rsidTr="00B52704">
        <w:trPr>
          <w:trHeight w:hRule="exact" w:val="240"/>
        </w:trPr>
        <w:tc>
          <w:tcPr>
            <w:tcW w:w="1028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B4D41" w:rsidRPr="002F7B93" w:rsidRDefault="002F7B9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Касові видатки за звітний </w:t>
            </w: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період – 10609398,83грн:</w:t>
            </w:r>
          </w:p>
        </w:tc>
      </w:tr>
      <w:tr w:rsidR="003B4D41" w:rsidRPr="002F7B93" w:rsidTr="00B52704">
        <w:trPr>
          <w:trHeight w:hRule="exact" w:val="681"/>
        </w:trPr>
        <w:tc>
          <w:tcPr>
            <w:tcW w:w="1028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2704" w:rsidRPr="002F7B93" w:rsidRDefault="002F7B93" w:rsidP="00B52704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2F7B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загальний фонд – 10609398,83 грн.;</w:t>
            </w:r>
          </w:p>
        </w:tc>
      </w:tr>
    </w:tbl>
    <w:p w:rsidR="003B4D41" w:rsidRPr="002F7B93" w:rsidRDefault="003B4D41">
      <w:pPr>
        <w:rPr>
          <w:lang w:val="uk-UA"/>
        </w:rPr>
      </w:pPr>
    </w:p>
    <w:sectPr w:rsidR="003B4D41" w:rsidRPr="002F7B9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7B93"/>
    <w:rsid w:val="003B4D41"/>
    <w:rsid w:val="007E77E4"/>
    <w:rsid w:val="00977450"/>
    <w:rsid w:val="00AC3DCB"/>
    <w:rsid w:val="00B5270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36BD25-D454-450C-98BB-32E8F34D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5119</Words>
  <Characters>2918</Characters>
  <Application>Microsoft Office Word</Application>
  <DocSecurity>0</DocSecurity>
  <Lines>24</Lines>
  <Paragraphs>16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Form_f_d10</dc:title>
  <dc:creator>FastReport.NET</dc:creator>
  <cp:lastModifiedBy>Тимошенко Тетяна Володимирівна</cp:lastModifiedBy>
  <cp:revision>8</cp:revision>
  <dcterms:created xsi:type="dcterms:W3CDTF">2009-06-17T07:33:00Z</dcterms:created>
  <dcterms:modified xsi:type="dcterms:W3CDTF">2021-04-15T11:49:00Z</dcterms:modified>
</cp:coreProperties>
</file>