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533E12" w:rsidRPr="00533E12" w14:paraId="1CEAFB33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6CC8CDBC" w14:textId="77777777" w:rsidR="00533E1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5280E61" w14:textId="35828F86" w:rsidR="00533E12" w:rsidRPr="00533E1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CBC727B" w14:textId="77777777" w:rsidR="00533E12" w:rsidRPr="00533E12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17EAAFAD" wp14:editId="21624E86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AD70C52" w14:textId="77777777" w:rsidR="00533E1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4480D151" w14:textId="600F6D0A" w:rsidR="00533E12" w:rsidRPr="00533E12" w:rsidRDefault="00533E12" w:rsidP="00BA52EC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BA52EC" w:rsidRPr="00BA52EC" w14:paraId="70608121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50F9BD2" w14:textId="77777777" w:rsidR="00BA52EC" w:rsidRPr="00BA52EC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2D97A3E" w14:textId="77777777" w:rsidR="00BA52EC" w:rsidRPr="00BA52EC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1A87BF88" w14:textId="77777777" w:rsidR="00BA52EC" w:rsidRPr="00BA52EC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CB9002" w14:textId="77777777" w:rsidR="00BA52EC" w:rsidRPr="00BA52EC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533E12" w:rsidRPr="00533E12" w14:paraId="00CCBBCF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BCD8335" w14:textId="113BB9C4" w:rsidR="00533E12" w:rsidRPr="00533E12" w:rsidRDefault="00533E12" w:rsidP="00BA52EC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3602CDEC" w14:textId="77777777" w:rsidR="00533E12" w:rsidRDefault="00533E12" w:rsidP="00BA52EC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362F52F5" w14:textId="24A2B346" w:rsidR="00533E12" w:rsidRPr="00533E12" w:rsidRDefault="00533E12" w:rsidP="00BA52EC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08E5E84" w14:textId="3B5259E3" w:rsidR="00533E12" w:rsidRPr="00533E12" w:rsidRDefault="00533E12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533E12" w:rsidRPr="00533E12" w14:paraId="274ED01C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EC56093" w14:textId="19F88C63" w:rsidR="00533E12" w:rsidRPr="001C368D" w:rsidRDefault="00DF536A" w:rsidP="00AD7464">
            <w:pPr>
              <w:ind w:left="-113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3354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AD7464"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березня</w:t>
            </w:r>
            <w:r w:rsidR="00AD7464"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33E12"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7307C9"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AD7464"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3516AE5C" w14:textId="77777777" w:rsidR="00533E12" w:rsidRPr="001C368D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22BD9C9" w14:textId="185F5D10" w:rsidR="00533E12" w:rsidRPr="00533E12" w:rsidRDefault="00D100E9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DF53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3354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-кя</w:t>
            </w:r>
          </w:p>
        </w:tc>
      </w:tr>
    </w:tbl>
    <w:p w14:paraId="678C8AE0" w14:textId="7205C524" w:rsidR="00533E12" w:rsidRDefault="00533E12" w:rsidP="00BA52EC">
      <w:pPr>
        <w:pStyle w:val="tl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</w:rPr>
      </w:pPr>
    </w:p>
    <w:p w14:paraId="41CD35D2" w14:textId="77777777" w:rsidR="001E4458" w:rsidRPr="001E4458" w:rsidRDefault="001E4458" w:rsidP="001E445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1E4458">
        <w:rPr>
          <w:rFonts w:ascii="Times New Roman" w:hAnsi="Times New Roman" w:hint="eastAsia"/>
          <w:b/>
          <w:sz w:val="28"/>
          <w:szCs w:val="28"/>
        </w:rPr>
        <w:t>Про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проходження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перевірки</w:t>
      </w:r>
    </w:p>
    <w:p w14:paraId="66DDE781" w14:textId="78968424" w:rsidR="00AD7464" w:rsidRPr="00801788" w:rsidRDefault="001E4458" w:rsidP="001E445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1E4458">
        <w:rPr>
          <w:rFonts w:ascii="Times New Roman" w:hAnsi="Times New Roman" w:hint="eastAsia"/>
          <w:b/>
          <w:sz w:val="28"/>
          <w:szCs w:val="28"/>
        </w:rPr>
        <w:t>з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контролю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якості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аудиторських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послуг</w:t>
      </w:r>
    </w:p>
    <w:p w14:paraId="6A072EAE" w14:textId="77777777" w:rsidR="00AD7464" w:rsidRPr="00801788" w:rsidRDefault="00AD7464" w:rsidP="00AD7464">
      <w:pPr>
        <w:ind w:right="28"/>
        <w:rPr>
          <w:rFonts w:ascii="Times New Roman" w:hAnsi="Times New Roman"/>
          <w:sz w:val="24"/>
        </w:rPr>
      </w:pPr>
    </w:p>
    <w:p w14:paraId="299C4EAD" w14:textId="6639BCDE" w:rsidR="00162E42" w:rsidRDefault="001E4458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85306">
        <w:rPr>
          <w:rFonts w:ascii="Times New Roman" w:eastAsia="Calibri" w:hAnsi="Times New Roman"/>
          <w:sz w:val="28"/>
          <w:szCs w:val="28"/>
          <w:lang w:eastAsia="en-US"/>
        </w:rPr>
        <w:t>Відповідно до статті 40 Закону України «Про аудит фінансової звітності та аудиторську діяльність»</w:t>
      </w:r>
      <w:r w:rsidR="00A942C3">
        <w:rPr>
          <w:rFonts w:ascii="Times New Roman" w:eastAsia="Calibri" w:hAnsi="Times New Roman"/>
          <w:sz w:val="28"/>
          <w:szCs w:val="28"/>
          <w:lang w:eastAsia="en-US"/>
        </w:rPr>
        <w:t xml:space="preserve"> (далі – Закон)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, Порядку проведення перевірок з контролю якості аудиторських послуг та інших перевірок, затвердженого наказом Міністерства фінансів України від 17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травня 2023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року №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253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(далі – Порядок)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та 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жовтня 2023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року № 3/9/63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(далі – Рекомендації)</w:t>
      </w:r>
      <w:r w:rsidR="00AD7464" w:rsidRPr="00985306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67634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478D7">
        <w:rPr>
          <w:rFonts w:ascii="Times New Roman" w:eastAsia="Calibri" w:hAnsi="Times New Roman"/>
          <w:sz w:val="28"/>
          <w:szCs w:val="28"/>
          <w:lang w:eastAsia="en-US"/>
        </w:rPr>
        <w:t xml:space="preserve">Інспекцією із забезпечення якості Органу суспільного нагляду за аудиторською діяльністю </w:t>
      </w:r>
      <w:r w:rsidR="00162E42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проведено 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>перевірк</w:t>
      </w:r>
      <w:r w:rsidR="00162E42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 з контролю якості аудиторських послуг</w:t>
      </w:r>
      <w:r w:rsidR="00676346" w:rsidRPr="00676346">
        <w:rPr>
          <w:rFonts w:ascii="Times New Roman" w:eastAsia="Calibri" w:hAnsi="Times New Roman"/>
          <w:sz w:val="28"/>
          <w:szCs w:val="28"/>
        </w:rPr>
        <w:t xml:space="preserve"> </w:t>
      </w:r>
      <w:bookmarkStart w:id="0" w:name="_Hlk161308321"/>
      <w:r w:rsidR="003354E9" w:rsidRPr="003354E9">
        <w:rPr>
          <w:rFonts w:ascii="Times New Roman" w:eastAsia="Calibri" w:hAnsi="Times New Roman"/>
          <w:sz w:val="28"/>
          <w:szCs w:val="28"/>
          <w:lang w:eastAsia="en-US"/>
        </w:rPr>
        <w:t>ТОВАРИСТВ</w:t>
      </w:r>
      <w:r w:rsidR="003354E9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3354E9" w:rsidRPr="003354E9">
        <w:rPr>
          <w:rFonts w:ascii="Times New Roman" w:eastAsia="Calibri" w:hAnsi="Times New Roman"/>
          <w:sz w:val="28"/>
          <w:szCs w:val="28"/>
          <w:lang w:eastAsia="en-US"/>
        </w:rPr>
        <w:t xml:space="preserve"> З ОБМЕЖЕНОЮ ВІДПОВІДАЛЬНІСТЮ </w:t>
      </w:r>
      <w:r w:rsidR="003354E9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3354E9" w:rsidRPr="003354E9">
        <w:rPr>
          <w:rFonts w:ascii="Times New Roman" w:eastAsia="Calibri" w:hAnsi="Times New Roman"/>
          <w:sz w:val="28"/>
          <w:szCs w:val="28"/>
          <w:lang w:eastAsia="en-US"/>
        </w:rPr>
        <w:t>УКРАЇНСЬКА АУДИТОРСЬКА СЛУЖБА</w:t>
      </w:r>
      <w:r w:rsidR="003354E9">
        <w:rPr>
          <w:rFonts w:ascii="Times New Roman" w:eastAsia="Calibri" w:hAnsi="Times New Roman"/>
          <w:sz w:val="28"/>
          <w:szCs w:val="28"/>
          <w:lang w:eastAsia="en-US"/>
        </w:rPr>
        <w:t>»</w:t>
      </w:r>
      <w:bookmarkEnd w:id="0"/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 (код ЄДРПОУ </w:t>
      </w:r>
      <w:bookmarkStart w:id="1" w:name="_Hlk161308366"/>
      <w:r w:rsidR="003354E9" w:rsidRPr="003354E9">
        <w:rPr>
          <w:rFonts w:ascii="Times New Roman" w:eastAsia="Calibri" w:hAnsi="Times New Roman"/>
          <w:sz w:val="28"/>
          <w:szCs w:val="28"/>
          <w:lang w:eastAsia="en-US"/>
        </w:rPr>
        <w:t>21198495</w:t>
      </w:r>
      <w:bookmarkEnd w:id="1"/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, реєстровий номер у Реєстрі аудиторів та суб’єктів аудиторської діяльності </w:t>
      </w:r>
      <w:r w:rsidR="003354E9" w:rsidRPr="003354E9">
        <w:rPr>
          <w:rFonts w:ascii="Times New Roman" w:eastAsia="Calibri" w:hAnsi="Times New Roman"/>
          <w:sz w:val="28"/>
          <w:szCs w:val="28"/>
          <w:lang w:eastAsia="en-US"/>
        </w:rPr>
        <w:t>2013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162E42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167325DD" w14:textId="2D1DA437" w:rsidR="00676346" w:rsidRDefault="00162E42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З</w:t>
      </w:r>
      <w:r w:rsidRPr="00162E42">
        <w:rPr>
          <w:rFonts w:ascii="Times New Roman" w:eastAsia="Calibri" w:hAnsi="Times New Roman"/>
          <w:sz w:val="28"/>
          <w:szCs w:val="28"/>
          <w:lang w:eastAsia="en-US"/>
        </w:rPr>
        <w:t>а результатами проведеної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перевірки </w:t>
      </w:r>
      <w:r w:rsidR="004478D7">
        <w:rPr>
          <w:rFonts w:ascii="Times New Roman" w:eastAsia="Calibri" w:hAnsi="Times New Roman"/>
          <w:sz w:val="28"/>
          <w:szCs w:val="28"/>
          <w:lang w:eastAsia="en-US"/>
        </w:rPr>
        <w:t xml:space="preserve">складено звіт </w:t>
      </w:r>
      <w:r w:rsidR="00A942C3" w:rsidRPr="00A942C3">
        <w:rPr>
          <w:rFonts w:ascii="Times New Roman" w:eastAsia="Calibri" w:hAnsi="Times New Roman"/>
          <w:sz w:val="28"/>
          <w:szCs w:val="28"/>
          <w:lang w:eastAsia="en-US"/>
        </w:rPr>
        <w:t>про результати перевірки з контролю якості</w:t>
      </w:r>
      <w:r w:rsidR="00A942C3">
        <w:rPr>
          <w:rFonts w:ascii="Times New Roman" w:eastAsia="Calibri" w:hAnsi="Times New Roman"/>
          <w:sz w:val="28"/>
          <w:szCs w:val="28"/>
          <w:lang w:eastAsia="en-US"/>
        </w:rPr>
        <w:t xml:space="preserve"> аудиторських послуг </w:t>
      </w:r>
      <w:r w:rsidR="003354E9" w:rsidRPr="003354E9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«УКРАЇНСЬКА АУДИТОРСЬКА СЛУЖБА»</w:t>
      </w:r>
      <w:r w:rsidRPr="00162E4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942C3" w:rsidRPr="001C368D">
        <w:rPr>
          <w:rFonts w:ascii="Times New Roman" w:eastAsia="Calibri" w:hAnsi="Times New Roman"/>
          <w:sz w:val="28"/>
          <w:szCs w:val="28"/>
          <w:lang w:eastAsia="en-US"/>
        </w:rPr>
        <w:t xml:space="preserve">від 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3354E9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A942C3" w:rsidRPr="001C368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>березня</w:t>
      </w:r>
      <w:r w:rsidR="00A942C3" w:rsidRPr="001C368D">
        <w:rPr>
          <w:rFonts w:ascii="Times New Roman" w:eastAsia="Calibri" w:hAnsi="Times New Roman"/>
          <w:sz w:val="28"/>
          <w:szCs w:val="28"/>
          <w:lang w:eastAsia="en-US"/>
        </w:rPr>
        <w:t xml:space="preserve"> 2024 року (</w:t>
      </w:r>
      <w:r w:rsidR="00A942C3">
        <w:rPr>
          <w:rFonts w:ascii="Times New Roman" w:eastAsia="Calibri" w:hAnsi="Times New Roman"/>
          <w:sz w:val="28"/>
          <w:szCs w:val="28"/>
          <w:lang w:eastAsia="en-US"/>
        </w:rPr>
        <w:t>далі – звіт про результати перевірки), у якому</w:t>
      </w:r>
      <w:r w:rsidR="004478D7">
        <w:rPr>
          <w:rFonts w:ascii="Times New Roman" w:eastAsia="Calibri" w:hAnsi="Times New Roman"/>
          <w:sz w:val="28"/>
          <w:szCs w:val="28"/>
          <w:lang w:eastAsia="en-US"/>
        </w:rPr>
        <w:t xml:space="preserve"> сформовано</w:t>
      </w:r>
      <w:r w:rsidR="004478D7" w:rsidRPr="004478D7">
        <w:rPr>
          <w:rFonts w:ascii="Times New Roman" w:eastAsia="Calibri" w:hAnsi="Times New Roman"/>
          <w:sz w:val="28"/>
          <w:szCs w:val="28"/>
          <w:lang w:eastAsia="en-US"/>
        </w:rPr>
        <w:t xml:space="preserve"> узагальнюючий висновок щодо відповідності міжнародним стандартам аудиту та Закону системи внутрішнього контролю якості (системи управління якістю) за дослідженими під час перевірки матеріалами</w:t>
      </w:r>
      <w:r w:rsidR="00A942C3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3AC035C4" w14:textId="471C5587" w:rsidR="00162E42" w:rsidRDefault="00162E42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З</w:t>
      </w:r>
      <w:r w:rsidRPr="00A942C3">
        <w:rPr>
          <w:rFonts w:ascii="Times New Roman" w:eastAsia="Calibri" w:hAnsi="Times New Roman"/>
          <w:sz w:val="28"/>
          <w:szCs w:val="28"/>
          <w:lang w:eastAsia="en-US"/>
        </w:rPr>
        <w:t>віт про результати перевірки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складено </w:t>
      </w:r>
      <w:r w:rsidRPr="00A942C3">
        <w:rPr>
          <w:rFonts w:ascii="Times New Roman" w:eastAsia="Calibri" w:hAnsi="Times New Roman"/>
          <w:sz w:val="28"/>
          <w:szCs w:val="28"/>
          <w:lang w:eastAsia="en-US"/>
        </w:rPr>
        <w:t xml:space="preserve">в електронній формі з дотриманням вимог законодавства про електронні документи та електронний документообіг </w:t>
      </w:r>
      <w:r w:rsidR="0024521A">
        <w:rPr>
          <w:rFonts w:ascii="Times New Roman" w:eastAsia="Calibri" w:hAnsi="Times New Roman"/>
          <w:sz w:val="28"/>
          <w:szCs w:val="28"/>
          <w:lang w:eastAsia="en-US"/>
        </w:rPr>
        <w:t xml:space="preserve">та </w:t>
      </w:r>
      <w:r>
        <w:rPr>
          <w:rFonts w:ascii="Times New Roman" w:eastAsia="Calibri" w:hAnsi="Times New Roman"/>
          <w:sz w:val="28"/>
          <w:szCs w:val="28"/>
          <w:lang w:eastAsia="en-US"/>
        </w:rPr>
        <w:t>доведен</w:t>
      </w:r>
      <w:r w:rsidR="0024521A">
        <w:rPr>
          <w:rFonts w:ascii="Times New Roman" w:eastAsia="Calibri" w:hAnsi="Times New Roman"/>
          <w:sz w:val="28"/>
          <w:szCs w:val="28"/>
          <w:lang w:eastAsia="en-US"/>
        </w:rPr>
        <w:t>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до відома </w:t>
      </w:r>
      <w:r w:rsidR="003354E9" w:rsidRPr="003354E9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«УКРАЇНСЬКА АУДИТОРСЬКА СЛУЖБА»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шляхом його надсилання </w:t>
      </w:r>
      <w:r w:rsidRPr="00A942C3">
        <w:rPr>
          <w:rFonts w:ascii="Times New Roman" w:eastAsia="Calibri" w:hAnsi="Times New Roman"/>
          <w:sz w:val="28"/>
          <w:szCs w:val="28"/>
          <w:lang w:eastAsia="en-US"/>
        </w:rPr>
        <w:t>через електронний кабінет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3096BBDA" w14:textId="436367CD" w:rsidR="00AD7464" w:rsidRDefault="00A942C3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 звіті про результати перевірки сформовано в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>исновок про те, що за винятком питань, пов’язаних з ідентифікованими значущими недоліками, які наведені у додатку до звіту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про результати перевірки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, ніщо не привернуло уваги інспекторів, що дало б їм підстави вважати, що система управління якістю </w:t>
      </w:r>
      <w:r w:rsidR="003354E9" w:rsidRPr="003354E9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«УКРАЇНСЬКА АУДИТОРСЬКА СЛУЖБА»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 не забезпечує обґрунтовану впевненість у тому, що 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цілі системи управління якістю досягаються, а діяльність </w:t>
      </w:r>
      <w:r w:rsidR="003354E9" w:rsidRPr="003354E9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«УКРАЇНСЬКА АУДИТОРСЬКА СЛУЖБА»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 не відповідає Закону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28A18A2" w14:textId="235E6B5F" w:rsidR="00676346" w:rsidRPr="00985306" w:rsidRDefault="0058276D" w:rsidP="001C368D">
      <w:pPr>
        <w:spacing w:after="120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Керуючись Законом, Порядком та Рекомендаціями, </w:t>
      </w:r>
      <w:r w:rsidR="000302D8" w:rsidRPr="000302D8">
        <w:rPr>
          <w:rFonts w:ascii="Times New Roman" w:eastAsia="Calibri" w:hAnsi="Times New Roman"/>
          <w:sz w:val="28"/>
          <w:szCs w:val="28"/>
          <w:lang w:eastAsia="en-US"/>
        </w:rPr>
        <w:t>з урахуванням Закону України «Про адміністративну процедуру»</w:t>
      </w:r>
      <w:r w:rsidR="00E410CE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0302D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218CC">
        <w:rPr>
          <w:rFonts w:ascii="Times New Roman" w:eastAsia="Calibri" w:hAnsi="Times New Roman"/>
          <w:sz w:val="28"/>
          <w:szCs w:val="28"/>
          <w:lang w:eastAsia="en-US"/>
        </w:rPr>
        <w:t xml:space="preserve">на підставі </w:t>
      </w:r>
      <w:r w:rsidR="00B218CC" w:rsidRPr="00162E42">
        <w:rPr>
          <w:rFonts w:ascii="Times New Roman" w:eastAsia="Calibri" w:hAnsi="Times New Roman"/>
          <w:sz w:val="28"/>
          <w:szCs w:val="28"/>
          <w:lang w:eastAsia="en-US"/>
        </w:rPr>
        <w:t>звіт</w:t>
      </w:r>
      <w:r w:rsidR="00B218CC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B218CC" w:rsidRPr="00162E42">
        <w:rPr>
          <w:rFonts w:ascii="Times New Roman" w:eastAsia="Calibri" w:hAnsi="Times New Roman"/>
          <w:sz w:val="28"/>
          <w:szCs w:val="28"/>
          <w:lang w:eastAsia="en-US"/>
        </w:rPr>
        <w:t xml:space="preserve"> про результати перевірки</w:t>
      </w:r>
      <w:r w:rsidR="00B218CC">
        <w:rPr>
          <w:rFonts w:ascii="Times New Roman" w:eastAsia="Calibri" w:hAnsi="Times New Roman"/>
          <w:sz w:val="28"/>
          <w:szCs w:val="28"/>
          <w:lang w:eastAsia="en-US"/>
        </w:rPr>
        <w:t xml:space="preserve"> та </w:t>
      </w:r>
      <w:r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162E42">
        <w:rPr>
          <w:rFonts w:ascii="Times New Roman" w:eastAsia="Calibri" w:hAnsi="Times New Roman"/>
          <w:sz w:val="28"/>
          <w:szCs w:val="28"/>
          <w:lang w:eastAsia="en-US"/>
        </w:rPr>
        <w:t xml:space="preserve">раховуючи </w:t>
      </w:r>
      <w:r w:rsidR="00162E42" w:rsidRPr="00162E42">
        <w:rPr>
          <w:rFonts w:ascii="Times New Roman" w:eastAsia="Calibri" w:hAnsi="Times New Roman"/>
          <w:sz w:val="28"/>
          <w:szCs w:val="28"/>
          <w:lang w:eastAsia="en-US"/>
        </w:rPr>
        <w:t>узагальнюючий висновок щодо відповідності міжнародним стандартам аудиту та Закону системи внутрішнього контролю якості (системи управління якістю) за дослідженими під час перевірки матеріалами</w:t>
      </w:r>
      <w:r w:rsidR="00B218CC">
        <w:rPr>
          <w:rFonts w:ascii="Times New Roman" w:eastAsia="Calibri" w:hAnsi="Times New Roman"/>
          <w:sz w:val="28"/>
          <w:szCs w:val="28"/>
          <w:lang w:eastAsia="en-US"/>
        </w:rPr>
        <w:t>,</w:t>
      </w:r>
    </w:p>
    <w:p w14:paraId="2F3914E4" w14:textId="77777777" w:rsidR="00AD7464" w:rsidRPr="00EC1073" w:rsidRDefault="00AD7464" w:rsidP="001C368D">
      <w:pPr>
        <w:spacing w:after="120"/>
        <w:ind w:right="28"/>
        <w:rPr>
          <w:rFonts w:ascii="Times New Roman" w:hAnsi="Times New Roman"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НАКАЗУЮ:</w:t>
      </w:r>
      <w:r w:rsidRPr="00EC1073">
        <w:rPr>
          <w:rFonts w:ascii="Times New Roman" w:hAnsi="Times New Roman"/>
          <w:sz w:val="24"/>
        </w:rPr>
        <w:t xml:space="preserve"> </w:t>
      </w:r>
    </w:p>
    <w:p w14:paraId="3BE345F8" w14:textId="01ADBB93" w:rsidR="00AD7464" w:rsidRPr="005A5D44" w:rsidRDefault="00676346" w:rsidP="00504CBD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1E4458" w:rsidRPr="001E44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изнати суб’єкта аудиторської діяльності </w:t>
      </w:r>
      <w:bookmarkStart w:id="2" w:name="_Hlk161308492"/>
      <w:r w:rsidR="003354E9" w:rsidRPr="003354E9">
        <w:rPr>
          <w:rFonts w:ascii="Times New Roman" w:eastAsia="Calibri" w:hAnsi="Times New Roman" w:cs="Times New Roman"/>
          <w:sz w:val="28"/>
          <w:szCs w:val="28"/>
          <w:lang w:val="uk-UA"/>
        </w:rPr>
        <w:t>ТОВАРИСТВ</w:t>
      </w:r>
      <w:r w:rsidR="003354E9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3354E9" w:rsidRPr="003354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ОБМЕЖЕНОЮ ВІДПОВІДАЛЬНІСТЮ «УКРАЇНСЬКА АУДИТОРСЬКА СЛУЖБА»</w:t>
      </w:r>
      <w:bookmarkEnd w:id="2"/>
      <w:r w:rsidR="001E4458" w:rsidRPr="001E44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(код ЄДРПОУ </w:t>
      </w:r>
      <w:r w:rsidR="003354E9" w:rsidRPr="003354E9">
        <w:rPr>
          <w:rFonts w:ascii="Times New Roman" w:eastAsia="Calibri" w:hAnsi="Times New Roman" w:cs="Times New Roman"/>
          <w:sz w:val="28"/>
          <w:szCs w:val="28"/>
          <w:lang w:val="uk-UA"/>
        </w:rPr>
        <w:t>21198495</w:t>
      </w:r>
      <w:r w:rsidR="001E4458" w:rsidRPr="001E44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реєстровий номер у Реєстрі аудиторів та суб’єктів аудиторської діяльності </w:t>
      </w:r>
      <w:r w:rsidR="003354E9">
        <w:rPr>
          <w:rFonts w:ascii="Times New Roman" w:eastAsia="Calibri" w:hAnsi="Times New Roman" w:cs="Times New Roman"/>
          <w:sz w:val="28"/>
          <w:szCs w:val="28"/>
          <w:lang w:val="uk-UA"/>
        </w:rPr>
        <w:t>2013</w:t>
      </w:r>
      <w:r w:rsidR="001E4458" w:rsidRPr="001E4458">
        <w:rPr>
          <w:rFonts w:ascii="Times New Roman" w:eastAsia="Calibri" w:hAnsi="Times New Roman" w:cs="Times New Roman"/>
          <w:sz w:val="28"/>
          <w:szCs w:val="28"/>
          <w:lang w:val="uk-UA"/>
        </w:rPr>
        <w:t>) таким, що пройшов перевірку з контролю якості аудиторських послуг з обов’язковими до виконання рекомендаціями</w:t>
      </w:r>
      <w:r w:rsidR="00AD7464" w:rsidRPr="005A5D4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5A5D44" w:rsidRPr="005A5D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860AEB7" w14:textId="098E7036" w:rsidR="003D7118" w:rsidRDefault="0074149E" w:rsidP="00504CBD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1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контролю Інспекції із забезпечення якості Органу суспільного нагляду за аудиторською діяльністю здійснити відповідно до вимог Порядку та Рекомендацій відстеження виконання </w:t>
      </w:r>
      <w:r w:rsidR="003354E9" w:rsidRPr="003354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ТОВАРИСТВО</w:t>
      </w:r>
      <w:r w:rsidR="003354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3354E9" w:rsidRPr="003354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ОБМЕЖЕНОЮ ВІДПОВІДАЛЬНІСТЮ «УКРАЇНСЬКА АУДИТОРСЬКА СЛУЖБА»</w:t>
      </w:r>
      <w:r w:rsidRPr="00741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наданих обов’язкових до виконання суб’єкту аудиторської діяльності рекомендацій і результатів їх упровадження</w:t>
      </w:r>
      <w:r w:rsidR="00AD7464"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1919BB0" w14:textId="293C9707" w:rsidR="003D7118" w:rsidRPr="00EE7807" w:rsidRDefault="00B218CC" w:rsidP="00504CBD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D7118" w:rsidRPr="003D7118">
        <w:rPr>
          <w:rFonts w:ascii="Times New Roman" w:hAnsi="Times New Roman" w:cs="Times New Roman"/>
          <w:sz w:val="28"/>
          <w:szCs w:val="28"/>
          <w:lang w:val="uk-UA"/>
        </w:rPr>
        <w:t>Суб’єкту аудиторської діяльності</w:t>
      </w:r>
      <w:r w:rsidR="003D7118" w:rsidRPr="00504C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54E9" w:rsidRPr="003354E9">
        <w:rPr>
          <w:rFonts w:ascii="Times New Roman" w:hAnsi="Times New Roman" w:cs="Times New Roman"/>
          <w:sz w:val="28"/>
          <w:szCs w:val="28"/>
          <w:lang w:val="uk-UA"/>
        </w:rPr>
        <w:t>ТОВАРИСТВ</w:t>
      </w:r>
      <w:r w:rsidR="003354E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354E9" w:rsidRPr="003354E9">
        <w:rPr>
          <w:rFonts w:ascii="Times New Roman" w:hAnsi="Times New Roman" w:cs="Times New Roman"/>
          <w:sz w:val="28"/>
          <w:szCs w:val="28"/>
          <w:lang w:val="uk-UA"/>
        </w:rPr>
        <w:t xml:space="preserve"> З ОБМЕЖЕНОЮ ВІДПОВІДАЛЬНІСТЮ «УКРАЇНСЬКА АУДИТОРСЬКА СЛУЖБА»</w:t>
      </w:r>
      <w:r w:rsidR="003354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впровадження обов’язкових до виконання рекомендацій та не пізніше </w:t>
      </w:r>
      <w:r w:rsidR="003B2713" w:rsidRPr="00AB6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</w:t>
      </w:r>
      <w:r w:rsidR="00C400CE" w:rsidRPr="00AB6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B2713" w:rsidRPr="00AB6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січня </w:t>
      </w:r>
      <w:r w:rsidR="003D7118" w:rsidRPr="00AB6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DD6B58" w:rsidRPr="00AB6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400CE" w:rsidRPr="00AB6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AB6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  <w:r w:rsidR="003D7118" w:rsidRPr="003B27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подати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Інспекції із забезпечення якості Органу суспільного нагляду за аудиторською діяльністю відомості про їх виконання та матеріали, відповідно до Порядку, для здійснення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відстеження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виконання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наданих</w:t>
      </w:r>
      <w:r w:rsid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рекомендацій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і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результатів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їх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упровадження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49CF613" w14:textId="029D6B9F" w:rsidR="00AD7464" w:rsidRPr="00EE7807" w:rsidRDefault="00C91954" w:rsidP="00622EDF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r w:rsidR="00B21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Довести цей наказ </w:t>
      </w:r>
      <w:r w:rsidR="00B218CC" w:rsidRPr="00B21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відома </w:t>
      </w:r>
      <w:r w:rsidR="00B21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суб’єкта аудиторської діяльності </w:t>
      </w:r>
      <w:r w:rsidR="003354E9" w:rsidRPr="003354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ТОВАРИСТВ</w:t>
      </w:r>
      <w:r w:rsidR="003354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3354E9" w:rsidRPr="003354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ОБМЕЖЕНОЮ ВІДПОВІДАЛЬНІСТЮ «УКРАЇНСЬКА АУДИТОРСЬКА СЛУЖБА»</w:t>
      </w:r>
      <w:r w:rsidR="00B218CC" w:rsidRPr="00B21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1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його</w:t>
      </w:r>
      <w:r w:rsidR="00B218CC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оприлюднення на офіційному вебсайті Органу суспільного нагляду за аудиторською діяльністю</w:t>
      </w:r>
      <w:r w:rsidR="00AD7464"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498F7A5" w14:textId="25D4AD4B" w:rsidR="00AD7464" w:rsidRPr="00EE7807" w:rsidRDefault="00C91954" w:rsidP="00D100E9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</w:t>
      </w:r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наказ набирає чинності з дня його </w:t>
      </w:r>
      <w:r w:rsidR="00C400CE" w:rsidRPr="00AB6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опублікування</w:t>
      </w:r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вебсайті Органу суспільного нагляду за аудиторською діяльністю та чинний три роки. Наказ втрачає чинність до закінчення трирічного терміну з прийняттям рішення за результатами наступного контролю якості аудиторських послуг </w:t>
      </w:r>
      <w:r w:rsidR="003354E9" w:rsidRPr="003354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ТОВАРИСТВ</w:t>
      </w:r>
      <w:r w:rsidR="003354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3354E9" w:rsidRPr="003354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ОБМЕЖЕНОЮ ВІДПОВІДАЛЬНІСТЮ «УКРАЇНСЬКА АУДИТОРСЬКА СЛУЖБА»</w:t>
      </w:r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невиконання суб’єктом аудиторської діяльності обов’язкових до виконання рекомендацій</w:t>
      </w:r>
      <w:r w:rsidR="00AD7464"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2A03498" w14:textId="691F484C" w:rsidR="00B218CC" w:rsidRPr="00B34254" w:rsidRDefault="00C91954" w:rsidP="00AB6E8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0302D8" w:rsidRPr="000302D8">
        <w:rPr>
          <w:rFonts w:ascii="Times New Roman" w:hAnsi="Times New Roman"/>
          <w:sz w:val="28"/>
          <w:szCs w:val="28"/>
        </w:rPr>
        <w:t xml:space="preserve">Цей наказ може бути оскаржено </w:t>
      </w:r>
      <w:r w:rsidR="003354E9" w:rsidRPr="003354E9">
        <w:rPr>
          <w:rFonts w:ascii="Times New Roman" w:hAnsi="Times New Roman"/>
          <w:sz w:val="28"/>
          <w:szCs w:val="28"/>
        </w:rPr>
        <w:t>ТОВАРИСТВО</w:t>
      </w:r>
      <w:r w:rsidR="003354E9">
        <w:rPr>
          <w:rFonts w:ascii="Times New Roman" w:hAnsi="Times New Roman"/>
          <w:sz w:val="28"/>
          <w:szCs w:val="28"/>
        </w:rPr>
        <w:t>М</w:t>
      </w:r>
      <w:r w:rsidR="003354E9" w:rsidRPr="003354E9">
        <w:rPr>
          <w:rFonts w:ascii="Times New Roman" w:hAnsi="Times New Roman"/>
          <w:sz w:val="28"/>
          <w:szCs w:val="28"/>
        </w:rPr>
        <w:t xml:space="preserve"> З ОБМЕЖЕНОЮ ВІДПОВІДАЛЬНІСТЮ «УКРАЇНСЬКА АУДИТОРСЬКА СЛУЖБА»</w:t>
      </w:r>
      <w:r w:rsidR="000302D8" w:rsidRPr="000302D8">
        <w:rPr>
          <w:rFonts w:ascii="Times New Roman" w:hAnsi="Times New Roman"/>
          <w:sz w:val="28"/>
          <w:szCs w:val="28"/>
        </w:rPr>
        <w:t xml:space="preserve"> до Ради нагляду за аудиторською діяльністю Органу суспільного нагляду за </w:t>
      </w:r>
      <w:r w:rsidR="000302D8" w:rsidRPr="000302D8">
        <w:rPr>
          <w:rFonts w:ascii="Times New Roman" w:hAnsi="Times New Roman"/>
          <w:sz w:val="28"/>
          <w:szCs w:val="28"/>
        </w:rPr>
        <w:lastRenderedPageBreak/>
        <w:t>аудиторською діяльністю (місцезнаходження Органу суспільного нагляду за аудиторською діяльністю: місто Київ, вулиця Отто Шмідта, будинок 26) шляхом подання через електронний кабінет скарги протягом тридцяти календарних днів з дня оприлюднення цього наказу або до окружного адміністративного суду в порядку, визначеному Кодексом адміністративного судочинства України.</w:t>
      </w:r>
    </w:p>
    <w:p w14:paraId="7B612604" w14:textId="365127D1" w:rsidR="00AD7464" w:rsidRPr="00EE7807" w:rsidRDefault="00C91954" w:rsidP="00D100E9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</w:t>
      </w:r>
      <w:r w:rsidR="00AD7464"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наказу покласти на </w:t>
      </w:r>
      <w:r w:rsidR="00AD74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AD7464"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аступника </w:t>
      </w:r>
      <w:r w:rsidR="00AD7464" w:rsidRPr="00AA77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директора</w:t>
      </w:r>
      <w:r w:rsidR="002247F9" w:rsidRPr="00AA77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Інспекції із забезпечення якості</w:t>
      </w:r>
      <w:r w:rsidR="00AD7464" w:rsidRPr="00AA77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інспектора Суворова О. І.</w:t>
      </w:r>
    </w:p>
    <w:p w14:paraId="58FC66AE" w14:textId="77777777" w:rsidR="00AD7464" w:rsidRDefault="00AD7464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345B93AD" w14:textId="77777777" w:rsidR="00D100E9" w:rsidRDefault="00D100E9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65FC0B88" w14:textId="77777777" w:rsidR="00AD7464" w:rsidRPr="00801788" w:rsidRDefault="00AD7464" w:rsidP="00AD7464">
      <w:pPr>
        <w:ind w:right="28"/>
        <w:rPr>
          <w:rFonts w:ascii="Times New Roman" w:hAnsi="Times New Roman"/>
          <w:b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Виконавчий директор</w:t>
      </w:r>
    </w:p>
    <w:p w14:paraId="6BA969E1" w14:textId="4E264FA3" w:rsidR="00533E12" w:rsidRDefault="00AD7464" w:rsidP="00040922">
      <w:pPr>
        <w:ind w:right="28"/>
        <w:rPr>
          <w:color w:val="000000" w:themeColor="text1"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Інспекції із забезпечення якості                                              Олег КАНЦУРОВ</w:t>
      </w:r>
    </w:p>
    <w:sectPr w:rsidR="00533E12" w:rsidSect="00040922">
      <w:headerReference w:type="even" r:id="rId9"/>
      <w:headerReference w:type="default" r:id="rId10"/>
      <w:pgSz w:w="11906" w:h="16838" w:code="9"/>
      <w:pgMar w:top="1135" w:right="567" w:bottom="1560" w:left="1701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C025A" w14:textId="77777777" w:rsidR="00447BBC" w:rsidRDefault="00447BBC" w:rsidP="00533E12">
      <w:r>
        <w:separator/>
      </w:r>
    </w:p>
  </w:endnote>
  <w:endnote w:type="continuationSeparator" w:id="0">
    <w:p w14:paraId="40C74B95" w14:textId="77777777" w:rsidR="00447BBC" w:rsidRDefault="00447BBC" w:rsidP="005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CF87E" w14:textId="77777777" w:rsidR="00447BBC" w:rsidRDefault="00447BBC" w:rsidP="00533E12">
      <w:r>
        <w:separator/>
      </w:r>
    </w:p>
  </w:footnote>
  <w:footnote w:type="continuationSeparator" w:id="0">
    <w:p w14:paraId="0039AAA6" w14:textId="77777777" w:rsidR="00447BBC" w:rsidRDefault="00447BBC" w:rsidP="0053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14BE3" w14:textId="77777777" w:rsidR="00C7006A" w:rsidRDefault="0000000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0CA8F36C" w14:textId="77777777" w:rsidR="00C7006A" w:rsidRDefault="00C700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3378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8E6294F" w14:textId="308D0524" w:rsidR="00AD7464" w:rsidRPr="00AD7464" w:rsidRDefault="00AD7464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AD7464">
          <w:rPr>
            <w:rFonts w:ascii="Times New Roman" w:hAnsi="Times New Roman"/>
            <w:sz w:val="28"/>
            <w:szCs w:val="28"/>
          </w:rPr>
          <w:fldChar w:fldCharType="begin"/>
        </w:r>
        <w:r w:rsidRPr="00AD746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7464">
          <w:rPr>
            <w:rFonts w:ascii="Times New Roman" w:hAnsi="Times New Roman"/>
            <w:sz w:val="28"/>
            <w:szCs w:val="28"/>
          </w:rPr>
          <w:fldChar w:fldCharType="separate"/>
        </w:r>
        <w:r w:rsidRPr="00AD7464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AD746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64BDAC1" w14:textId="77777777" w:rsidR="00AD7464" w:rsidRDefault="00AD74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20386"/>
    <w:multiLevelType w:val="hybridMultilevel"/>
    <w:tmpl w:val="CCDCCCB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05635676">
    <w:abstractNumId w:val="0"/>
  </w:num>
  <w:num w:numId="2" w16cid:durableId="2013140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17"/>
    <w:rsid w:val="00012B7C"/>
    <w:rsid w:val="00014707"/>
    <w:rsid w:val="000302D8"/>
    <w:rsid w:val="00032650"/>
    <w:rsid w:val="00040922"/>
    <w:rsid w:val="00042092"/>
    <w:rsid w:val="00077EAB"/>
    <w:rsid w:val="00080DAB"/>
    <w:rsid w:val="00085AAF"/>
    <w:rsid w:val="000A5131"/>
    <w:rsid w:val="000B66F1"/>
    <w:rsid w:val="000B792A"/>
    <w:rsid w:val="000C56D4"/>
    <w:rsid w:val="000E413B"/>
    <w:rsid w:val="001066CF"/>
    <w:rsid w:val="001152E3"/>
    <w:rsid w:val="00157C40"/>
    <w:rsid w:val="00162E42"/>
    <w:rsid w:val="00184132"/>
    <w:rsid w:val="00191350"/>
    <w:rsid w:val="00193510"/>
    <w:rsid w:val="00197B2B"/>
    <w:rsid w:val="001C368D"/>
    <w:rsid w:val="001E4458"/>
    <w:rsid w:val="001F7E17"/>
    <w:rsid w:val="002069F6"/>
    <w:rsid w:val="002247F9"/>
    <w:rsid w:val="00233F5A"/>
    <w:rsid w:val="0024521A"/>
    <w:rsid w:val="00294CAB"/>
    <w:rsid w:val="002C2E83"/>
    <w:rsid w:val="003174E9"/>
    <w:rsid w:val="003354E9"/>
    <w:rsid w:val="00341830"/>
    <w:rsid w:val="00367366"/>
    <w:rsid w:val="003711F0"/>
    <w:rsid w:val="003B2713"/>
    <w:rsid w:val="003D7118"/>
    <w:rsid w:val="003E7C04"/>
    <w:rsid w:val="003F0863"/>
    <w:rsid w:val="003F31A6"/>
    <w:rsid w:val="00444656"/>
    <w:rsid w:val="004478D7"/>
    <w:rsid w:val="00447BBC"/>
    <w:rsid w:val="004B244D"/>
    <w:rsid w:val="004B4F45"/>
    <w:rsid w:val="00501DBF"/>
    <w:rsid w:val="00504CBD"/>
    <w:rsid w:val="00507208"/>
    <w:rsid w:val="00510B3C"/>
    <w:rsid w:val="005267C8"/>
    <w:rsid w:val="00533E12"/>
    <w:rsid w:val="005705E2"/>
    <w:rsid w:val="0058276D"/>
    <w:rsid w:val="005A1510"/>
    <w:rsid w:val="005A3289"/>
    <w:rsid w:val="005A5D44"/>
    <w:rsid w:val="005D6A89"/>
    <w:rsid w:val="005F3CDE"/>
    <w:rsid w:val="0061778D"/>
    <w:rsid w:val="00622EDF"/>
    <w:rsid w:val="006509B8"/>
    <w:rsid w:val="00671DA0"/>
    <w:rsid w:val="00676346"/>
    <w:rsid w:val="006B78B3"/>
    <w:rsid w:val="007307C9"/>
    <w:rsid w:val="00736667"/>
    <w:rsid w:val="0074149E"/>
    <w:rsid w:val="00760E86"/>
    <w:rsid w:val="007F533D"/>
    <w:rsid w:val="007F626B"/>
    <w:rsid w:val="008440F4"/>
    <w:rsid w:val="008A5A51"/>
    <w:rsid w:val="0091618C"/>
    <w:rsid w:val="009326AF"/>
    <w:rsid w:val="00951D5A"/>
    <w:rsid w:val="00964590"/>
    <w:rsid w:val="00967EE3"/>
    <w:rsid w:val="00973CFF"/>
    <w:rsid w:val="00974B0A"/>
    <w:rsid w:val="00974D3C"/>
    <w:rsid w:val="00980ABC"/>
    <w:rsid w:val="00985306"/>
    <w:rsid w:val="00987315"/>
    <w:rsid w:val="00987946"/>
    <w:rsid w:val="009B072B"/>
    <w:rsid w:val="00A0313A"/>
    <w:rsid w:val="00A27A56"/>
    <w:rsid w:val="00A75E78"/>
    <w:rsid w:val="00A942C3"/>
    <w:rsid w:val="00AA773E"/>
    <w:rsid w:val="00AB6E8A"/>
    <w:rsid w:val="00AC2507"/>
    <w:rsid w:val="00AC7282"/>
    <w:rsid w:val="00AC7AB4"/>
    <w:rsid w:val="00AD7464"/>
    <w:rsid w:val="00B03F2A"/>
    <w:rsid w:val="00B218CC"/>
    <w:rsid w:val="00B4289E"/>
    <w:rsid w:val="00B55F9E"/>
    <w:rsid w:val="00B63013"/>
    <w:rsid w:val="00B7611C"/>
    <w:rsid w:val="00B8610C"/>
    <w:rsid w:val="00B9620C"/>
    <w:rsid w:val="00BA52EC"/>
    <w:rsid w:val="00BB59F7"/>
    <w:rsid w:val="00BC1D13"/>
    <w:rsid w:val="00C158C6"/>
    <w:rsid w:val="00C214B2"/>
    <w:rsid w:val="00C400CE"/>
    <w:rsid w:val="00C611BB"/>
    <w:rsid w:val="00C7006A"/>
    <w:rsid w:val="00C91954"/>
    <w:rsid w:val="00D07E7C"/>
    <w:rsid w:val="00D100E9"/>
    <w:rsid w:val="00D409EF"/>
    <w:rsid w:val="00D438AA"/>
    <w:rsid w:val="00D57696"/>
    <w:rsid w:val="00D66378"/>
    <w:rsid w:val="00DA2A84"/>
    <w:rsid w:val="00DC0575"/>
    <w:rsid w:val="00DC3AF5"/>
    <w:rsid w:val="00DD6B58"/>
    <w:rsid w:val="00DF1649"/>
    <w:rsid w:val="00DF536A"/>
    <w:rsid w:val="00E20F19"/>
    <w:rsid w:val="00E40A47"/>
    <w:rsid w:val="00E410CE"/>
    <w:rsid w:val="00E433B4"/>
    <w:rsid w:val="00E43648"/>
    <w:rsid w:val="00E51717"/>
    <w:rsid w:val="00E522EA"/>
    <w:rsid w:val="00E529B3"/>
    <w:rsid w:val="00E726FA"/>
    <w:rsid w:val="00E81EC7"/>
    <w:rsid w:val="00E913CA"/>
    <w:rsid w:val="00EE7479"/>
    <w:rsid w:val="00EF15BF"/>
    <w:rsid w:val="00F373B1"/>
    <w:rsid w:val="00F47367"/>
    <w:rsid w:val="00F662FB"/>
    <w:rsid w:val="00F77034"/>
    <w:rsid w:val="00FB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BDD6"/>
  <w15:chartTrackingRefBased/>
  <w15:docId w15:val="{413CF81C-105E-43E5-830C-134A20A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E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customStyle="1" w:styleId="3">
    <w:name w:val="Сітка таблиці3"/>
    <w:basedOn w:val="a1"/>
    <w:next w:val="a3"/>
    <w:uiPriority w:val="39"/>
    <w:rsid w:val="00533E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AD746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9">
    <w:name w:val="Revision"/>
    <w:hidden/>
    <w:uiPriority w:val="99"/>
    <w:semiHidden/>
    <w:rsid w:val="00DC3AF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F3C38-5CD9-416B-B497-F4FB60D3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3464</Words>
  <Characters>1976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Рудаков</dc:creator>
  <cp:keywords/>
  <dc:description/>
  <cp:lastModifiedBy>Антон Рудаков</cp:lastModifiedBy>
  <cp:revision>2</cp:revision>
  <cp:lastPrinted>2024-03-14T13:21:00Z</cp:lastPrinted>
  <dcterms:created xsi:type="dcterms:W3CDTF">2024-05-29T12:47:00Z</dcterms:created>
  <dcterms:modified xsi:type="dcterms:W3CDTF">2024-05-29T12:47:00Z</dcterms:modified>
</cp:coreProperties>
</file>