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215CF4" w14:textId="77777777" w:rsidR="008A4B0E" w:rsidRPr="0031688E" w:rsidRDefault="008A4B0E" w:rsidP="00DD76BF">
      <w:pPr>
        <w:tabs>
          <w:tab w:val="left" w:pos="2235"/>
          <w:tab w:val="left" w:pos="4160"/>
          <w:tab w:val="left" w:pos="14000"/>
        </w:tabs>
        <w:spacing w:after="0" w:line="23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bookmarkStart w:id="0" w:name="2"/>
      <w:r w:rsidRPr="0031688E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КОМІСІЯ З АТЕСТАЦІЇ</w:t>
      </w:r>
    </w:p>
    <w:p w14:paraId="10F7F282" w14:textId="77777777" w:rsidR="00C9069F" w:rsidRPr="0031688E" w:rsidRDefault="00C9069F" w:rsidP="00DD76BF">
      <w:pPr>
        <w:tabs>
          <w:tab w:val="left" w:pos="2235"/>
          <w:tab w:val="left" w:pos="4160"/>
          <w:tab w:val="left" w:pos="14000"/>
        </w:tabs>
        <w:spacing w:after="0" w:line="23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</w:pPr>
    </w:p>
    <w:p w14:paraId="131F0E11" w14:textId="77777777" w:rsidR="008A4B0E" w:rsidRPr="0031688E" w:rsidRDefault="008A4B0E" w:rsidP="00DD76BF">
      <w:pPr>
        <w:tabs>
          <w:tab w:val="left" w:pos="2235"/>
          <w:tab w:val="left" w:pos="4160"/>
          <w:tab w:val="left" w:pos="14000"/>
        </w:tabs>
        <w:spacing w:after="0" w:line="23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31688E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Р І Ш Е Н Н Я</w:t>
      </w:r>
    </w:p>
    <w:tbl>
      <w:tblPr>
        <w:tblpPr w:leftFromText="180" w:rightFromText="180" w:vertAnchor="text" w:horzAnchor="margin" w:tblpY="270"/>
        <w:tblW w:w="9606" w:type="dxa"/>
        <w:tblLook w:val="04A0" w:firstRow="1" w:lastRow="0" w:firstColumn="1" w:lastColumn="0" w:noHBand="0" w:noVBand="1"/>
      </w:tblPr>
      <w:tblGrid>
        <w:gridCol w:w="3119"/>
        <w:gridCol w:w="3201"/>
        <w:gridCol w:w="3286"/>
      </w:tblGrid>
      <w:tr w:rsidR="00F557E7" w:rsidRPr="0031688E" w14:paraId="62F06F40" w14:textId="77777777" w:rsidTr="00A0529F">
        <w:tc>
          <w:tcPr>
            <w:tcW w:w="3119" w:type="dxa"/>
            <w:shd w:val="clear" w:color="auto" w:fill="auto"/>
          </w:tcPr>
          <w:p w14:paraId="296B556E" w14:textId="77777777" w:rsidR="00181339" w:rsidRPr="0031688E" w:rsidRDefault="003F67E6" w:rsidP="00DD76BF">
            <w:pPr>
              <w:tabs>
                <w:tab w:val="left" w:pos="2235"/>
                <w:tab w:val="left" w:pos="4160"/>
                <w:tab w:val="left" w:pos="14000"/>
              </w:tabs>
              <w:spacing w:after="0" w:line="230" w:lineRule="auto"/>
              <w:contextualSpacing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B0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березня</w:t>
            </w:r>
            <w:r w:rsidR="00A5738C" w:rsidRPr="003168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81339" w:rsidRPr="003168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F557E7" w:rsidRPr="003168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81339" w:rsidRPr="003168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201" w:type="dxa"/>
            <w:shd w:val="clear" w:color="auto" w:fill="auto"/>
          </w:tcPr>
          <w:p w14:paraId="15B919BB" w14:textId="77777777" w:rsidR="00181339" w:rsidRPr="0031688E" w:rsidRDefault="00181339" w:rsidP="00DD76BF">
            <w:pPr>
              <w:tabs>
                <w:tab w:val="left" w:pos="2235"/>
                <w:tab w:val="left" w:pos="4160"/>
                <w:tab w:val="left" w:pos="14000"/>
              </w:tabs>
              <w:spacing w:after="0" w:line="230" w:lineRule="auto"/>
              <w:ind w:left="317" w:hanging="42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3168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Київ</w:t>
            </w:r>
          </w:p>
        </w:tc>
        <w:tc>
          <w:tcPr>
            <w:tcW w:w="3286" w:type="dxa"/>
            <w:shd w:val="clear" w:color="auto" w:fill="auto"/>
          </w:tcPr>
          <w:p w14:paraId="791CDA52" w14:textId="77777777" w:rsidR="00181339" w:rsidRPr="0031688E" w:rsidRDefault="00181339" w:rsidP="00DD76BF">
            <w:pPr>
              <w:tabs>
                <w:tab w:val="left" w:pos="2235"/>
                <w:tab w:val="left" w:pos="4160"/>
                <w:tab w:val="left" w:pos="14000"/>
              </w:tabs>
              <w:spacing w:after="0" w:line="230" w:lineRule="auto"/>
              <w:ind w:right="-108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US" w:eastAsia="ru-RU"/>
              </w:rPr>
            </w:pPr>
            <w:r w:rsidRPr="003168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B94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B0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3168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FB0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3168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FB0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</w:tr>
    </w:tbl>
    <w:p w14:paraId="3CE8E702" w14:textId="77777777" w:rsidR="008A4B0E" w:rsidRPr="0031688E" w:rsidRDefault="008A4B0E" w:rsidP="00DD76BF">
      <w:pPr>
        <w:tabs>
          <w:tab w:val="left" w:pos="2235"/>
          <w:tab w:val="left" w:pos="4160"/>
          <w:tab w:val="left" w:pos="14000"/>
        </w:tabs>
        <w:spacing w:after="0" w:line="230" w:lineRule="auto"/>
        <w:contextualSpacing/>
        <w:jc w:val="center"/>
        <w:rPr>
          <w:rFonts w:ascii="Times New Roman" w:eastAsia="Times New Roman" w:hAnsi="Times New Roman" w:cs="Times New Roman"/>
          <w:bCs/>
          <w:i/>
          <w:iCs/>
          <w:sz w:val="32"/>
          <w:szCs w:val="32"/>
          <w:lang w:eastAsia="ru-RU"/>
        </w:rPr>
      </w:pPr>
    </w:p>
    <w:p w14:paraId="4DF2FBC3" w14:textId="77777777" w:rsidR="00F557E7" w:rsidRPr="0031688E" w:rsidRDefault="00F557E7" w:rsidP="00DD76BF">
      <w:pPr>
        <w:spacing w:after="0" w:line="23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31688E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Про виключення юридичних осіб</w:t>
      </w:r>
    </w:p>
    <w:p w14:paraId="7DB13EFA" w14:textId="77777777" w:rsidR="008A4B0E" w:rsidRPr="0031688E" w:rsidRDefault="00F557E7" w:rsidP="00DD76BF">
      <w:pPr>
        <w:spacing w:after="0" w:line="23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31688E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з переліку осіб, які можуть проводити освітні заходи</w:t>
      </w:r>
    </w:p>
    <w:p w14:paraId="13CA068B" w14:textId="77777777" w:rsidR="008A4B0E" w:rsidRPr="0031688E" w:rsidRDefault="008A4B0E" w:rsidP="00DD76BF">
      <w:pPr>
        <w:spacing w:after="0" w:line="230" w:lineRule="auto"/>
        <w:ind w:right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69B094" w14:textId="77777777" w:rsidR="007C79BF" w:rsidRDefault="00337646" w:rsidP="00DD76BF">
      <w:pPr>
        <w:spacing w:after="0" w:line="23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19 Закону України «Про аудит фінансової звітності та аудиторську діяльність», </w:t>
      </w:r>
      <w:r w:rsidR="007C79BF" w:rsidRPr="007C79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«Про адміністративну процедуру»</w:t>
      </w:r>
      <w:r w:rsidR="007C7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Положення про Комісію з атестації, затвердженого наказом Міністерства фінансів України </w:t>
      </w:r>
      <w:r w:rsidR="007C7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 січня 2020 року № 20 (із змінами), та Порядку безперервного професійного навчання аудиторів, затвердженого наказом Міністерства фінансів України від 06 липня 2020 року № 400 (із змінами) (далі – Порядок), у зв’язку із неподанням </w:t>
      </w:r>
      <w:r w:rsidR="002F74DD"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юридичними особами: ДОНЕЦЬКИМ НАЦІОНАЛЬНИМ УНІВЕРСИТЕТОМ ІМЕНІ ВАСИЛЯ СТУСА</w:t>
      </w:r>
      <w:r w:rsidR="0066371C"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74DD"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(код ЄДРПОУ 02070803, </w:t>
      </w:r>
      <w:r w:rsidR="005918CC"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600-річчя, </w:t>
      </w:r>
      <w:r w:rsidR="0031688E"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буд. </w:t>
      </w:r>
      <w:r w:rsidR="005918CC"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>21, м. Вінниця, 21021</w:t>
      </w:r>
      <w:r w:rsidR="002F74DD"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ЗАХІДНОУКРАЇНСЬКИМ НАЦІОНАЛЬНИМ УНІВЕРСИТЕТОМ (код ЄДРПОУ 33680120, </w:t>
      </w:r>
      <w:r w:rsidR="005918CC"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Львівська, </w:t>
      </w:r>
      <w:r w:rsidR="0031688E"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буд. </w:t>
      </w:r>
      <w:r w:rsidR="005918CC"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>11, м.</w:t>
      </w:r>
      <w:r w:rsidR="0031688E"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918CC"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Тернопіль, 46009</w:t>
      </w:r>
      <w:r w:rsidR="002F74DD"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МАЛИМ ПРИВАТНИМ ПІДПРИЄМСТВОМ «АЛЬВІС» (код ЄДРПОУ </w:t>
      </w:r>
      <w:bookmarkStart w:id="1" w:name="_Hlk156553793"/>
      <w:r w:rsidR="002F74DD"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>24775409</w:t>
      </w:r>
      <w:bookmarkEnd w:id="1"/>
      <w:r w:rsidR="002F74DD"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1688E"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Велика </w:t>
      </w:r>
      <w:proofErr w:type="spellStart"/>
      <w:r w:rsidR="0031688E"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>Арнаутська</w:t>
      </w:r>
      <w:proofErr w:type="spellEnd"/>
      <w:r w:rsidR="0031688E"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>, буд</w:t>
      </w:r>
      <w:r w:rsidR="0031688E" w:rsidRPr="00A739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31688E"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71, </w:t>
      </w:r>
      <w:proofErr w:type="spellStart"/>
      <w:r w:rsidR="0031688E"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="0031688E" w:rsidRPr="00A739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 w:rsidR="0031688E"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>1 а, м. Одеса, 65023</w:t>
      </w:r>
      <w:r w:rsidR="002F74DD"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та ОДЕСЬКИМ НАЦІОНАЛЬНИМ ЕКОНОМІЧНИМ УНІВЕРСИТЕТОМ (код ЄДРПОУ 02071079, </w:t>
      </w:r>
      <w:r w:rsidR="005918CC"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 Преображенська</w:t>
      </w:r>
      <w:r w:rsidR="0031688E"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 </w:t>
      </w:r>
      <w:r w:rsidR="005918CC"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>8, м. Одеса</w:t>
      </w:r>
      <w:r w:rsidR="00DD5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D58C2" w:rsidRPr="00DD58C2">
        <w:rPr>
          <w:rFonts w:ascii="Times New Roman" w:eastAsia="Times New Roman" w:hAnsi="Times New Roman" w:cs="Times New Roman"/>
          <w:sz w:val="28"/>
          <w:szCs w:val="28"/>
          <w:lang w:eastAsia="ru-RU"/>
        </w:rPr>
        <w:t>03037</w:t>
      </w:r>
      <w:r w:rsidR="002F74DD"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документів відповідно до пунктів 3 та 10 розділу ІІІ Порядку</w:t>
      </w:r>
      <w:r w:rsidRPr="0031688E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</w:t>
      </w:r>
      <w:r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підтвердження відповідності вимогам, встановленим для юридичних осіб, які можуть проводити освітні заходи, </w:t>
      </w:r>
      <w:r w:rsidR="007C79BF"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Комісія з атестації, </w:t>
      </w:r>
    </w:p>
    <w:p w14:paraId="19A7EC71" w14:textId="77777777" w:rsidR="007C79BF" w:rsidRDefault="007C79BF" w:rsidP="00DD76BF">
      <w:pPr>
        <w:spacing w:after="0" w:line="23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A267A40" w14:textId="77777777" w:rsidR="00337646" w:rsidRPr="0031688E" w:rsidRDefault="00337646" w:rsidP="00DD76BF">
      <w:pPr>
        <w:spacing w:after="0" w:line="23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68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ВСТАНОВИЛА:</w:t>
      </w:r>
    </w:p>
    <w:p w14:paraId="112CC2DE" w14:textId="77777777" w:rsidR="008A2A7F" w:rsidRPr="0031688E" w:rsidRDefault="00337646" w:rsidP="00DD76BF">
      <w:pPr>
        <w:spacing w:after="0" w:line="23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Рішенням Комісії з атестації від </w:t>
      </w:r>
      <w:r w:rsidR="008A2A7F"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>09 грудня 2020 року № 3.1/4/10</w:t>
      </w:r>
      <w:r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відповідність юридичних осіб вимогам для проведення освітніх заходів» визнан</w:t>
      </w:r>
      <w:r w:rsidR="008A2A7F"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2A7F"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такими</w:t>
      </w:r>
      <w:r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відповіда</w:t>
      </w:r>
      <w:r w:rsidR="008A2A7F"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>ють</w:t>
      </w:r>
      <w:r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вимогам</w:t>
      </w:r>
      <w:r w:rsidR="00A739B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встановленим Комісією з атестації</w:t>
      </w:r>
      <w:r w:rsidR="00A739B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A2A7F"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такі юридичні особи:</w:t>
      </w:r>
      <w:r w:rsidR="00C8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2A7F"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ДОНЕЦЬКИЙ НАЦІОНАЛЬНИЙ УНІВЕРСИТЕТ ІМЕНІ ВАСИЛЯ СТУСА</w:t>
      </w:r>
      <w:r w:rsidR="00C8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A2A7F"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ЗАХІДНОУКРАЇНСЬКИЙ НАЦІОНАЛЬНИЙ УНІВЕРСИТЕТ</w:t>
      </w:r>
      <w:r w:rsidR="00C8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A2A7F"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МАЛЕ ПРИВАТНЕ ПІДПРИЄМСТВО «АЛЬВІС»</w:t>
      </w:r>
      <w:r w:rsidR="00C8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A2A7F"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ОДЕСЬКИЙ НАЦІОНАЛЬНИЙ ЕКОНОМІЧНИЙ УНІВЕРСИТЕТ.</w:t>
      </w:r>
    </w:p>
    <w:p w14:paraId="7D3C7B69" w14:textId="77777777" w:rsidR="00337646" w:rsidRPr="0031688E" w:rsidRDefault="00337646" w:rsidP="00DD76BF">
      <w:pPr>
        <w:spacing w:after="0" w:line="23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абзацу першого пункту 10 розділу ІІІ Порядку для забезпечення якості проведення освітніх заходів юридичні особи, які відповідають вимогам, встановленим Комісією з атестації, аудиторські фірми, що розробили власні програми безперервного професійного навчання, визнані професійними організаціями </w:t>
      </w:r>
      <w:r w:rsidR="007C79B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членами Міжнародної федерації бухгалтерів, професійні організації аудиторів та бухгалтерів через кожні три роки подають за два місяці до сплину трирічного строку, починаючи з дати оприлюднення відповідної інформації на офіційному </w:t>
      </w:r>
      <w:proofErr w:type="spellStart"/>
      <w:r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вебсайті</w:t>
      </w:r>
      <w:proofErr w:type="spellEnd"/>
      <w:r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Органу суспільного нагляду за аудиторською діяльністю, документи, зазначені в пунктах 3, 6, 7 розділу ІІІ Порядку, для розгляду Комісією з атестації.</w:t>
      </w:r>
    </w:p>
    <w:p w14:paraId="14577743" w14:textId="77777777" w:rsidR="00337646" w:rsidRPr="0031688E" w:rsidRDefault="00337646" w:rsidP="00DD76BF">
      <w:pPr>
        <w:spacing w:after="0" w:line="23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88E">
        <w:rPr>
          <w:rFonts w:ascii="Times New Roman" w:eastAsia="Times New Roman" w:hAnsi="Times New Roman" w:cs="Times New Roman"/>
          <w:sz w:val="28"/>
          <w:szCs w:val="28"/>
        </w:rPr>
        <w:lastRenderedPageBreak/>
        <w:t>Відповідно до абзацу третього пункту 10 розділу ІІІ Порядку у разі подання документів, зазначених у пунктах 3, 6, 7 розділу ІІІ Порядку, у неповному обсязі або їх неподання у встановлений строк особи, зазначені у пункті 10 розділу ІІІ Порядку, підлягають виключенню з переліку осіб, які можуть проводити освітні заходи.</w:t>
      </w:r>
    </w:p>
    <w:p w14:paraId="7A871296" w14:textId="77777777" w:rsidR="00EB7E58" w:rsidRPr="0031688E" w:rsidRDefault="00EB7E58" w:rsidP="00DD76BF">
      <w:pPr>
        <w:spacing w:after="0" w:line="23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88E">
        <w:rPr>
          <w:rFonts w:ascii="Times New Roman" w:eastAsia="Times New Roman" w:hAnsi="Times New Roman" w:cs="Times New Roman"/>
          <w:sz w:val="28"/>
          <w:szCs w:val="28"/>
        </w:rPr>
        <w:t xml:space="preserve">Станом на </w:t>
      </w:r>
      <w:r w:rsidR="00F00026">
        <w:rPr>
          <w:rFonts w:ascii="Times New Roman" w:eastAsia="Times New Roman" w:hAnsi="Times New Roman" w:cs="Times New Roman"/>
          <w:sz w:val="28"/>
          <w:szCs w:val="28"/>
        </w:rPr>
        <w:t>01 січня 2024 року</w:t>
      </w:r>
      <w:r w:rsidRPr="003168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53687" w:rsidRPr="0031688E">
        <w:rPr>
          <w:rFonts w:ascii="Times New Roman" w:eastAsia="Times New Roman" w:hAnsi="Times New Roman" w:cs="Times New Roman"/>
          <w:sz w:val="28"/>
          <w:szCs w:val="28"/>
        </w:rPr>
        <w:t>документи для підтвердження відповідності вимогам, встановленим для юридичних осіб, які можуть проводити освітні заходи</w:t>
      </w:r>
      <w:r w:rsidR="00A739BF">
        <w:rPr>
          <w:rFonts w:ascii="Times New Roman" w:eastAsia="Times New Roman" w:hAnsi="Times New Roman" w:cs="Times New Roman"/>
          <w:sz w:val="28"/>
          <w:szCs w:val="28"/>
        </w:rPr>
        <w:t>,</w:t>
      </w:r>
      <w:r w:rsidR="00B53687" w:rsidRPr="003168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1688E">
        <w:rPr>
          <w:rFonts w:ascii="Times New Roman" w:eastAsia="Times New Roman" w:hAnsi="Times New Roman" w:cs="Times New Roman"/>
          <w:sz w:val="28"/>
          <w:szCs w:val="28"/>
        </w:rPr>
        <w:t>від ДОНЕЦЬК</w:t>
      </w:r>
      <w:r w:rsidR="00B53687" w:rsidRPr="0031688E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31688E">
        <w:rPr>
          <w:rFonts w:ascii="Times New Roman" w:eastAsia="Times New Roman" w:hAnsi="Times New Roman" w:cs="Times New Roman"/>
          <w:sz w:val="28"/>
          <w:szCs w:val="28"/>
        </w:rPr>
        <w:t xml:space="preserve"> НАЦІОНАЛЬН</w:t>
      </w:r>
      <w:r w:rsidR="00B53687" w:rsidRPr="0031688E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31688E">
        <w:rPr>
          <w:rFonts w:ascii="Times New Roman" w:eastAsia="Times New Roman" w:hAnsi="Times New Roman" w:cs="Times New Roman"/>
          <w:sz w:val="28"/>
          <w:szCs w:val="28"/>
        </w:rPr>
        <w:t xml:space="preserve"> УНІВЕРСИТЕТ</w:t>
      </w:r>
      <w:r w:rsidR="00B53687" w:rsidRPr="0031688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31688E">
        <w:rPr>
          <w:rFonts w:ascii="Times New Roman" w:eastAsia="Times New Roman" w:hAnsi="Times New Roman" w:cs="Times New Roman"/>
          <w:sz w:val="28"/>
          <w:szCs w:val="28"/>
        </w:rPr>
        <w:t xml:space="preserve"> ІМЕНІ ВАСИЛЯ СТУСА</w:t>
      </w:r>
      <w:r w:rsidR="00B53687" w:rsidRPr="0031688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1688E">
        <w:rPr>
          <w:rFonts w:ascii="Times New Roman" w:eastAsia="Times New Roman" w:hAnsi="Times New Roman" w:cs="Times New Roman"/>
          <w:sz w:val="28"/>
          <w:szCs w:val="28"/>
        </w:rPr>
        <w:t>ЗАХІДНОУКРАЇНСЬК</w:t>
      </w:r>
      <w:r w:rsidR="00B53687" w:rsidRPr="0031688E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31688E">
        <w:rPr>
          <w:rFonts w:ascii="Times New Roman" w:eastAsia="Times New Roman" w:hAnsi="Times New Roman" w:cs="Times New Roman"/>
          <w:sz w:val="28"/>
          <w:szCs w:val="28"/>
        </w:rPr>
        <w:t xml:space="preserve"> НАЦІОНАЛЬН</w:t>
      </w:r>
      <w:r w:rsidR="00B53687" w:rsidRPr="0031688E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31688E">
        <w:rPr>
          <w:rFonts w:ascii="Times New Roman" w:eastAsia="Times New Roman" w:hAnsi="Times New Roman" w:cs="Times New Roman"/>
          <w:sz w:val="28"/>
          <w:szCs w:val="28"/>
        </w:rPr>
        <w:t xml:space="preserve"> УНІВЕРСИТЕТ</w:t>
      </w:r>
      <w:r w:rsidR="00B53687" w:rsidRPr="0031688E">
        <w:rPr>
          <w:rFonts w:ascii="Times New Roman" w:eastAsia="Times New Roman" w:hAnsi="Times New Roman" w:cs="Times New Roman"/>
          <w:sz w:val="28"/>
          <w:szCs w:val="28"/>
        </w:rPr>
        <w:t xml:space="preserve">У, </w:t>
      </w:r>
      <w:r w:rsidRPr="0031688E">
        <w:rPr>
          <w:rFonts w:ascii="Times New Roman" w:eastAsia="Times New Roman" w:hAnsi="Times New Roman" w:cs="Times New Roman"/>
          <w:sz w:val="28"/>
          <w:szCs w:val="28"/>
        </w:rPr>
        <w:t>МАЛ</w:t>
      </w:r>
      <w:r w:rsidR="00B53687" w:rsidRPr="0031688E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31688E">
        <w:rPr>
          <w:rFonts w:ascii="Times New Roman" w:eastAsia="Times New Roman" w:hAnsi="Times New Roman" w:cs="Times New Roman"/>
          <w:sz w:val="28"/>
          <w:szCs w:val="28"/>
        </w:rPr>
        <w:t xml:space="preserve"> ПРИВАТН</w:t>
      </w:r>
      <w:r w:rsidR="00B53687" w:rsidRPr="0031688E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31688E">
        <w:rPr>
          <w:rFonts w:ascii="Times New Roman" w:eastAsia="Times New Roman" w:hAnsi="Times New Roman" w:cs="Times New Roman"/>
          <w:sz w:val="28"/>
          <w:szCs w:val="28"/>
        </w:rPr>
        <w:t xml:space="preserve"> ПІДПРИЄМСТВ</w:t>
      </w:r>
      <w:r w:rsidR="00B53687" w:rsidRPr="003168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1688E">
        <w:rPr>
          <w:rFonts w:ascii="Times New Roman" w:eastAsia="Times New Roman" w:hAnsi="Times New Roman" w:cs="Times New Roman"/>
          <w:sz w:val="28"/>
          <w:szCs w:val="28"/>
        </w:rPr>
        <w:t xml:space="preserve"> «АЛЬВІС» </w:t>
      </w:r>
      <w:r w:rsidR="00B53687" w:rsidRPr="0031688E">
        <w:rPr>
          <w:rFonts w:ascii="Times New Roman" w:eastAsia="Times New Roman" w:hAnsi="Times New Roman" w:cs="Times New Roman"/>
          <w:sz w:val="28"/>
          <w:szCs w:val="28"/>
        </w:rPr>
        <w:t xml:space="preserve">та </w:t>
      </w:r>
      <w:r w:rsidRPr="0031688E">
        <w:rPr>
          <w:rFonts w:ascii="Times New Roman" w:eastAsia="Times New Roman" w:hAnsi="Times New Roman" w:cs="Times New Roman"/>
          <w:sz w:val="28"/>
          <w:szCs w:val="28"/>
        </w:rPr>
        <w:t>ОДЕСЬК</w:t>
      </w:r>
      <w:r w:rsidR="00B53687" w:rsidRPr="0031688E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31688E">
        <w:rPr>
          <w:rFonts w:ascii="Times New Roman" w:eastAsia="Times New Roman" w:hAnsi="Times New Roman" w:cs="Times New Roman"/>
          <w:sz w:val="28"/>
          <w:szCs w:val="28"/>
        </w:rPr>
        <w:t xml:space="preserve"> НАЦІОНАЛЬН</w:t>
      </w:r>
      <w:r w:rsidR="00B53687" w:rsidRPr="0031688E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31688E">
        <w:rPr>
          <w:rFonts w:ascii="Times New Roman" w:eastAsia="Times New Roman" w:hAnsi="Times New Roman" w:cs="Times New Roman"/>
          <w:sz w:val="28"/>
          <w:szCs w:val="28"/>
        </w:rPr>
        <w:t xml:space="preserve"> ЕКОНОМІЧН</w:t>
      </w:r>
      <w:r w:rsidR="00B53687" w:rsidRPr="0031688E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31688E">
        <w:rPr>
          <w:rFonts w:ascii="Times New Roman" w:eastAsia="Times New Roman" w:hAnsi="Times New Roman" w:cs="Times New Roman"/>
          <w:sz w:val="28"/>
          <w:szCs w:val="28"/>
        </w:rPr>
        <w:t xml:space="preserve"> УНІВЕРСИТЕТ</w:t>
      </w:r>
      <w:r w:rsidR="00B53687" w:rsidRPr="0031688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3168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53687" w:rsidRPr="0031688E">
        <w:rPr>
          <w:rFonts w:ascii="Times New Roman" w:eastAsia="Times New Roman" w:hAnsi="Times New Roman" w:cs="Times New Roman"/>
          <w:sz w:val="28"/>
          <w:szCs w:val="28"/>
        </w:rPr>
        <w:t>не надходили.</w:t>
      </w:r>
    </w:p>
    <w:p w14:paraId="2AE10F1C" w14:textId="290D3833" w:rsidR="00337646" w:rsidRPr="0031688E" w:rsidRDefault="00A739BF" w:rsidP="00DD76BF">
      <w:pPr>
        <w:spacing w:after="0" w:line="23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337646" w:rsidRPr="0031688E">
        <w:rPr>
          <w:rFonts w:ascii="Times New Roman" w:eastAsia="Times New Roman" w:hAnsi="Times New Roman" w:cs="Times New Roman"/>
          <w:sz w:val="28"/>
          <w:szCs w:val="28"/>
        </w:rPr>
        <w:t xml:space="preserve">раховуючи встановлені обставини </w:t>
      </w:r>
      <w:r w:rsidR="00B53687" w:rsidRPr="0031688E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337646" w:rsidRPr="0031688E">
        <w:rPr>
          <w:rFonts w:ascii="Times New Roman" w:eastAsia="Times New Roman" w:hAnsi="Times New Roman" w:cs="Times New Roman"/>
          <w:sz w:val="28"/>
          <w:szCs w:val="28"/>
        </w:rPr>
        <w:t xml:space="preserve">подання </w:t>
      </w:r>
      <w:r w:rsidR="00B53687" w:rsidRPr="0031688E">
        <w:rPr>
          <w:rFonts w:ascii="Times New Roman" w:eastAsia="Times New Roman" w:hAnsi="Times New Roman" w:cs="Times New Roman"/>
          <w:sz w:val="28"/>
          <w:szCs w:val="28"/>
        </w:rPr>
        <w:t>зазначеними юридичними особами</w:t>
      </w:r>
      <w:r w:rsidR="00337646" w:rsidRPr="0031688E">
        <w:rPr>
          <w:rFonts w:ascii="Times New Roman" w:eastAsia="Times New Roman" w:hAnsi="Times New Roman" w:cs="Times New Roman"/>
          <w:sz w:val="28"/>
          <w:szCs w:val="28"/>
        </w:rPr>
        <w:t xml:space="preserve"> документів</w:t>
      </w:r>
      <w:r w:rsidR="00B53687" w:rsidRPr="0031688E">
        <w:rPr>
          <w:rFonts w:ascii="Times New Roman" w:eastAsia="Times New Roman" w:hAnsi="Times New Roman" w:cs="Times New Roman"/>
          <w:sz w:val="28"/>
          <w:szCs w:val="28"/>
        </w:rPr>
        <w:t xml:space="preserve"> для підтвердження відповідності вимогам, встановленим для юридичних осіб, які можуть проводити освітні заходи</w:t>
      </w:r>
      <w:r w:rsidR="00337646" w:rsidRPr="0031688E">
        <w:rPr>
          <w:rFonts w:ascii="Times New Roman" w:eastAsia="Times New Roman" w:hAnsi="Times New Roman" w:cs="Times New Roman"/>
          <w:sz w:val="28"/>
          <w:szCs w:val="28"/>
        </w:rPr>
        <w:t>, передбачени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337646" w:rsidRPr="0031688E">
        <w:rPr>
          <w:rFonts w:ascii="Times New Roman" w:eastAsia="Times New Roman" w:hAnsi="Times New Roman" w:cs="Times New Roman"/>
          <w:sz w:val="28"/>
          <w:szCs w:val="28"/>
        </w:rPr>
        <w:t xml:space="preserve"> пунктом 3 розділу ІІІ Порядку,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та </w:t>
      </w:r>
      <w:r w:rsidR="00337646" w:rsidRPr="0031688E">
        <w:rPr>
          <w:rFonts w:ascii="Times New Roman" w:eastAsia="Times New Roman" w:hAnsi="Times New Roman" w:cs="Times New Roman"/>
          <w:sz w:val="28"/>
          <w:szCs w:val="28"/>
        </w:rPr>
        <w:t>пункт 10 розділу ІІІ Порядку</w:t>
      </w:r>
      <w:r w:rsidR="007C79BF">
        <w:rPr>
          <w:rFonts w:ascii="Times New Roman" w:eastAsia="Times New Roman" w:hAnsi="Times New Roman" w:cs="Times New Roman"/>
          <w:sz w:val="28"/>
          <w:szCs w:val="28"/>
        </w:rPr>
        <w:t>,</w:t>
      </w:r>
      <w:r w:rsidR="00337646" w:rsidRPr="003168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7646" w:rsidRPr="00316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Комісія з атестації </w:t>
      </w:r>
      <w:r w:rsidR="00337646" w:rsidRPr="003168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ВИРІШИЛА:</w:t>
      </w:r>
    </w:p>
    <w:p w14:paraId="170D8083" w14:textId="77777777" w:rsidR="00B53687" w:rsidRPr="0031688E" w:rsidRDefault="00B53687" w:rsidP="00DD76BF">
      <w:pPr>
        <w:spacing w:after="0" w:line="23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C07E52C" w14:textId="77777777" w:rsidR="0082480D" w:rsidRPr="0031688E" w:rsidRDefault="00F557E7" w:rsidP="00DD76B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3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lk154421883"/>
      <w:r w:rsidRPr="0031688E">
        <w:rPr>
          <w:rFonts w:ascii="Times New Roman" w:eastAsia="Times New Roman" w:hAnsi="Times New Roman" w:cs="Times New Roman"/>
          <w:sz w:val="28"/>
          <w:szCs w:val="28"/>
        </w:rPr>
        <w:t xml:space="preserve">Виключити з переліку осіб, які можуть проводити освітні заходи, </w:t>
      </w:r>
      <w:r w:rsidR="00B53687" w:rsidRPr="0031688E">
        <w:rPr>
          <w:rFonts w:ascii="Times New Roman" w:eastAsia="Times New Roman" w:hAnsi="Times New Roman" w:cs="Times New Roman"/>
          <w:sz w:val="28"/>
          <w:szCs w:val="28"/>
        </w:rPr>
        <w:t xml:space="preserve">такі </w:t>
      </w:r>
      <w:r w:rsidRPr="0031688E">
        <w:rPr>
          <w:rFonts w:ascii="Times New Roman" w:eastAsia="Times New Roman" w:hAnsi="Times New Roman" w:cs="Times New Roman"/>
          <w:sz w:val="28"/>
          <w:szCs w:val="28"/>
        </w:rPr>
        <w:t>юридичн</w:t>
      </w:r>
      <w:r w:rsidR="00B53687" w:rsidRPr="0031688E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31688E">
        <w:rPr>
          <w:rFonts w:ascii="Times New Roman" w:eastAsia="Times New Roman" w:hAnsi="Times New Roman" w:cs="Times New Roman"/>
          <w:sz w:val="28"/>
          <w:szCs w:val="28"/>
        </w:rPr>
        <w:t xml:space="preserve"> ос</w:t>
      </w:r>
      <w:r w:rsidR="00B53687" w:rsidRPr="0031688E">
        <w:rPr>
          <w:rFonts w:ascii="Times New Roman" w:eastAsia="Times New Roman" w:hAnsi="Times New Roman" w:cs="Times New Roman"/>
          <w:sz w:val="28"/>
          <w:szCs w:val="28"/>
        </w:rPr>
        <w:t>оби</w:t>
      </w:r>
      <w:r w:rsidRPr="0031688E">
        <w:rPr>
          <w:rFonts w:ascii="Times New Roman" w:eastAsia="Times New Roman" w:hAnsi="Times New Roman" w:cs="Times New Roman"/>
          <w:sz w:val="28"/>
          <w:szCs w:val="28"/>
        </w:rPr>
        <w:t>:</w:t>
      </w:r>
      <w:bookmarkEnd w:id="2"/>
    </w:p>
    <w:p w14:paraId="55EFC30B" w14:textId="77777777" w:rsidR="00F557E7" w:rsidRPr="0031688E" w:rsidRDefault="00F557E7" w:rsidP="00DD76B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88E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31688E">
        <w:rPr>
          <w:rFonts w:ascii="Times New Roman" w:eastAsia="Times New Roman" w:hAnsi="Times New Roman" w:cs="Times New Roman"/>
          <w:sz w:val="28"/>
          <w:szCs w:val="28"/>
        </w:rPr>
        <w:tab/>
      </w:r>
      <w:bookmarkStart w:id="3" w:name="_Hlk156486569"/>
      <w:r w:rsidRPr="0031688E">
        <w:rPr>
          <w:rFonts w:ascii="Times New Roman" w:eastAsia="Times New Roman" w:hAnsi="Times New Roman" w:cs="Times New Roman"/>
          <w:sz w:val="28"/>
          <w:szCs w:val="28"/>
        </w:rPr>
        <w:t>ДОНЕЦЬКИЙ НАЦІОНАЛЬНИЙ УНІВЕРСИТЕТ ІМЕНІ ВАСИЛЯ СТУСА (код ЄДРПОУ 02070803);</w:t>
      </w:r>
    </w:p>
    <w:p w14:paraId="6A1A52C9" w14:textId="77777777" w:rsidR="00F557E7" w:rsidRPr="0031688E" w:rsidRDefault="00F557E7" w:rsidP="00DD76B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88E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31688E">
        <w:rPr>
          <w:rFonts w:ascii="Times New Roman" w:eastAsia="Times New Roman" w:hAnsi="Times New Roman" w:cs="Times New Roman"/>
          <w:sz w:val="28"/>
          <w:szCs w:val="28"/>
        </w:rPr>
        <w:tab/>
        <w:t>ЗАХІДНОУКРАЇНСЬКИЙ НАЦІОНАЛЬНИЙ УНІВЕРСИТЕТ (код ЄДРПОУ 33680120);</w:t>
      </w:r>
    </w:p>
    <w:p w14:paraId="0EE6E867" w14:textId="77777777" w:rsidR="00F557E7" w:rsidRPr="0031688E" w:rsidRDefault="00F557E7" w:rsidP="00DD76B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88E"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31688E">
        <w:rPr>
          <w:rFonts w:ascii="Times New Roman" w:eastAsia="Times New Roman" w:hAnsi="Times New Roman" w:cs="Times New Roman"/>
          <w:sz w:val="28"/>
          <w:szCs w:val="28"/>
        </w:rPr>
        <w:tab/>
        <w:t>МАЛЕ ПРИВАТНЕ ПІДПРИЄМСТВО «АЛЬВІС» (код ЄДРПОУ 24775409);</w:t>
      </w:r>
    </w:p>
    <w:p w14:paraId="4B6E62CD" w14:textId="77777777" w:rsidR="00F557E7" w:rsidRPr="0031688E" w:rsidRDefault="00F557E7" w:rsidP="00DD76B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88E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31688E">
        <w:rPr>
          <w:rFonts w:ascii="Times New Roman" w:eastAsia="Times New Roman" w:hAnsi="Times New Roman" w:cs="Times New Roman"/>
          <w:sz w:val="28"/>
          <w:szCs w:val="28"/>
        </w:rPr>
        <w:tab/>
        <w:t>ОДЕСЬКИЙ НАЦІОНАЛЬНИЙ ЕКОНОМІЧНИЙ УНІВЕРСИТЕТ (код ЄДРПОУ 02071079).</w:t>
      </w:r>
    </w:p>
    <w:bookmarkEnd w:id="3"/>
    <w:p w14:paraId="64D132D4" w14:textId="77777777" w:rsidR="008C22F6" w:rsidRPr="0031688E" w:rsidRDefault="008C22F6" w:rsidP="00DD76B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3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88E">
        <w:rPr>
          <w:rFonts w:ascii="Times New Roman" w:eastAsia="Times New Roman" w:hAnsi="Times New Roman" w:cs="Times New Roman"/>
          <w:sz w:val="28"/>
          <w:szCs w:val="28"/>
        </w:rPr>
        <w:t>Інспекції із забезпечення якості Органу суспільного нагляду за аудиторською діяльністю:</w:t>
      </w:r>
    </w:p>
    <w:p w14:paraId="4897DF7C" w14:textId="77777777" w:rsidR="00FB018C" w:rsidRPr="00FB018C" w:rsidRDefault="00FB018C" w:rsidP="00DD76B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018C">
        <w:rPr>
          <w:rFonts w:ascii="Times New Roman" w:eastAsia="Times New Roman" w:hAnsi="Times New Roman" w:cs="Times New Roman"/>
          <w:sz w:val="28"/>
          <w:szCs w:val="28"/>
        </w:rPr>
        <w:t xml:space="preserve">довести це рішення до відома юридичних осіб, зазначених у пункті 1 цього рішення, шляхом його оприлюднення на офіційному </w:t>
      </w:r>
      <w:proofErr w:type="spellStart"/>
      <w:r w:rsidRPr="00FB018C">
        <w:rPr>
          <w:rFonts w:ascii="Times New Roman" w:eastAsia="Times New Roman" w:hAnsi="Times New Roman" w:cs="Times New Roman"/>
          <w:sz w:val="28"/>
          <w:szCs w:val="28"/>
        </w:rPr>
        <w:t>вебсайті</w:t>
      </w:r>
      <w:proofErr w:type="spellEnd"/>
      <w:r w:rsidRPr="00FB018C">
        <w:rPr>
          <w:rFonts w:ascii="Times New Roman" w:eastAsia="Times New Roman" w:hAnsi="Times New Roman" w:cs="Times New Roman"/>
          <w:sz w:val="28"/>
          <w:szCs w:val="28"/>
        </w:rPr>
        <w:t xml:space="preserve"> Органу суспільного нагляду за аудиторською діяльністю;</w:t>
      </w:r>
    </w:p>
    <w:p w14:paraId="0565642E" w14:textId="77777777" w:rsidR="008C22F6" w:rsidRPr="0031688E" w:rsidRDefault="00435D9D" w:rsidP="00DD76B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1688E">
        <w:rPr>
          <w:rFonts w:ascii="Times New Roman" w:eastAsia="Times New Roman" w:hAnsi="Times New Roman" w:cs="Times New Roman"/>
          <w:sz w:val="28"/>
          <w:szCs w:val="28"/>
        </w:rPr>
        <w:t>внести</w:t>
      </w:r>
      <w:proofErr w:type="spellEnd"/>
      <w:r w:rsidRPr="0031688E">
        <w:rPr>
          <w:rFonts w:ascii="Times New Roman" w:eastAsia="Times New Roman" w:hAnsi="Times New Roman" w:cs="Times New Roman"/>
          <w:sz w:val="28"/>
          <w:szCs w:val="28"/>
        </w:rPr>
        <w:t xml:space="preserve"> відповідні зміни до переліку осіб, які можуть проводити освітні заходи</w:t>
      </w:r>
      <w:r w:rsidR="008C22F6" w:rsidRPr="0031688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DC0DACE" w14:textId="77777777" w:rsidR="00EB7E58" w:rsidRPr="0031688E" w:rsidRDefault="00EB7E58" w:rsidP="00DD76B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3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88E">
        <w:rPr>
          <w:rFonts w:ascii="Times New Roman" w:eastAsia="Times New Roman" w:hAnsi="Times New Roman" w:cs="Times New Roman"/>
          <w:sz w:val="28"/>
          <w:szCs w:val="28"/>
        </w:rPr>
        <w:t xml:space="preserve">Це рішення набирає чинності з дня його оприлюднення на офіційному </w:t>
      </w:r>
      <w:proofErr w:type="spellStart"/>
      <w:r w:rsidRPr="0031688E">
        <w:rPr>
          <w:rFonts w:ascii="Times New Roman" w:eastAsia="Times New Roman" w:hAnsi="Times New Roman" w:cs="Times New Roman"/>
          <w:sz w:val="28"/>
          <w:szCs w:val="28"/>
        </w:rPr>
        <w:t>вебсайті</w:t>
      </w:r>
      <w:proofErr w:type="spellEnd"/>
      <w:r w:rsidRPr="0031688E">
        <w:rPr>
          <w:rFonts w:ascii="Times New Roman" w:eastAsia="Times New Roman" w:hAnsi="Times New Roman" w:cs="Times New Roman"/>
          <w:sz w:val="28"/>
          <w:szCs w:val="28"/>
        </w:rPr>
        <w:t xml:space="preserve"> Органу суспільного нагляду за аудиторською діяльністю.</w:t>
      </w:r>
    </w:p>
    <w:p w14:paraId="0A96DD1E" w14:textId="77777777" w:rsidR="008A4B0E" w:rsidRPr="0031688E" w:rsidRDefault="00EB7E58" w:rsidP="00DD76B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3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88E">
        <w:rPr>
          <w:rFonts w:ascii="Times New Roman" w:eastAsia="Times New Roman" w:hAnsi="Times New Roman" w:cs="Times New Roman"/>
          <w:sz w:val="28"/>
          <w:szCs w:val="28"/>
        </w:rPr>
        <w:t xml:space="preserve">Це рішення може бути оскаржене </w:t>
      </w:r>
      <w:r w:rsidR="00EF0145" w:rsidRPr="0031688E">
        <w:rPr>
          <w:rFonts w:ascii="Times New Roman" w:eastAsia="Times New Roman" w:hAnsi="Times New Roman" w:cs="Times New Roman"/>
          <w:sz w:val="28"/>
          <w:szCs w:val="28"/>
        </w:rPr>
        <w:t xml:space="preserve">повністю або частково </w:t>
      </w:r>
      <w:r w:rsidRPr="0031688E">
        <w:rPr>
          <w:rFonts w:ascii="Times New Roman" w:eastAsia="Times New Roman" w:hAnsi="Times New Roman" w:cs="Times New Roman"/>
          <w:sz w:val="28"/>
          <w:szCs w:val="28"/>
        </w:rPr>
        <w:t xml:space="preserve">до Ради нагляду за аудиторською діяльністю Органу суспільного нагляду за аудиторською діяльністю шляхом подання скарги протягом тридцяти календарних днів з дня доведення цього рішення до відома </w:t>
      </w:r>
      <w:r w:rsidR="00EF0145" w:rsidRPr="0031688E">
        <w:rPr>
          <w:rFonts w:ascii="Times New Roman" w:eastAsia="Times New Roman" w:hAnsi="Times New Roman" w:cs="Times New Roman"/>
          <w:sz w:val="28"/>
          <w:szCs w:val="28"/>
        </w:rPr>
        <w:t>юридичних осіб, визначених у пункті 1 цього рішення,</w:t>
      </w:r>
      <w:r w:rsidRPr="0031688E">
        <w:rPr>
          <w:rFonts w:ascii="Times New Roman" w:eastAsia="Times New Roman" w:hAnsi="Times New Roman" w:cs="Times New Roman"/>
          <w:sz w:val="28"/>
          <w:szCs w:val="28"/>
        </w:rPr>
        <w:t xml:space="preserve"> або до адміністративного суду</w:t>
      </w:r>
      <w:r w:rsidR="008A4B0E" w:rsidRPr="0031688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8AD77ED" w14:textId="77777777" w:rsidR="008A4B0E" w:rsidRDefault="008A4B0E" w:rsidP="00DD76BF">
      <w:pPr>
        <w:spacing w:after="0" w:line="23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1DEA980" w14:textId="77777777" w:rsidR="00DD76BF" w:rsidRPr="0031688E" w:rsidRDefault="00DD76BF" w:rsidP="00DD76BF">
      <w:pPr>
        <w:spacing w:after="0" w:line="23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26194448" w14:textId="77777777" w:rsidR="00C144A0" w:rsidRPr="00F557E7" w:rsidRDefault="008A4B0E" w:rsidP="00DD76BF">
      <w:pPr>
        <w:spacing w:after="0" w:line="23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31688E">
        <w:rPr>
          <w:rFonts w:ascii="Times New Roman" w:hAnsi="Times New Roman" w:cs="Times New Roman"/>
          <w:b/>
          <w:bCs/>
          <w:sz w:val="28"/>
          <w:szCs w:val="28"/>
        </w:rPr>
        <w:t xml:space="preserve">Головуючий </w:t>
      </w:r>
      <w:r w:rsidR="00D223C2" w:rsidRPr="0031688E">
        <w:rPr>
          <w:rFonts w:ascii="Times New Roman" w:hAnsi="Times New Roman" w:cs="Times New Roman"/>
          <w:b/>
          <w:sz w:val="28"/>
          <w:szCs w:val="28"/>
        </w:rPr>
        <w:t>засідання</w:t>
      </w:r>
      <w:r w:rsidRPr="003168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F26C7" w:rsidRPr="0031688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</w:t>
      </w:r>
      <w:r w:rsidR="00FB018C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DD76BF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FB018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F26C7" w:rsidRPr="0031688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  <w:bookmarkEnd w:id="0"/>
      <w:r w:rsidR="00A739BF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FB018C">
        <w:rPr>
          <w:rFonts w:ascii="Times New Roman" w:hAnsi="Times New Roman" w:cs="Times New Roman"/>
          <w:b/>
          <w:bCs/>
          <w:sz w:val="28"/>
          <w:szCs w:val="28"/>
        </w:rPr>
        <w:t>Ганна НІКІТАН</w:t>
      </w:r>
    </w:p>
    <w:sectPr w:rsidR="00C144A0" w:rsidRPr="00F557E7" w:rsidSect="00AE679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294D4B" w14:textId="77777777" w:rsidR="00AE679C" w:rsidRDefault="00AE679C" w:rsidP="0076320F">
      <w:pPr>
        <w:spacing w:after="0" w:line="240" w:lineRule="auto"/>
      </w:pPr>
      <w:r>
        <w:separator/>
      </w:r>
    </w:p>
  </w:endnote>
  <w:endnote w:type="continuationSeparator" w:id="0">
    <w:p w14:paraId="1222EB7D" w14:textId="77777777" w:rsidR="00AE679C" w:rsidRDefault="00AE679C" w:rsidP="00763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A2DFAC" w14:textId="77777777" w:rsidR="00AE679C" w:rsidRDefault="00AE679C" w:rsidP="0076320F">
      <w:pPr>
        <w:spacing w:after="0" w:line="240" w:lineRule="auto"/>
      </w:pPr>
      <w:r>
        <w:separator/>
      </w:r>
    </w:p>
  </w:footnote>
  <w:footnote w:type="continuationSeparator" w:id="0">
    <w:p w14:paraId="15B41A65" w14:textId="77777777" w:rsidR="00AE679C" w:rsidRDefault="00AE679C" w:rsidP="00763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549076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767FFBD" w14:textId="77777777" w:rsidR="0076320F" w:rsidRPr="00181339" w:rsidRDefault="0076320F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8133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8133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8133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739B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8133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02053C"/>
    <w:multiLevelType w:val="hybridMultilevel"/>
    <w:tmpl w:val="B07E6190"/>
    <w:lvl w:ilvl="0" w:tplc="9A7E57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5D43CCE"/>
    <w:multiLevelType w:val="hybridMultilevel"/>
    <w:tmpl w:val="CE8A3288"/>
    <w:lvl w:ilvl="0" w:tplc="FADA05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BB47EAD"/>
    <w:multiLevelType w:val="hybridMultilevel"/>
    <w:tmpl w:val="77AEC1B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FE6509"/>
    <w:multiLevelType w:val="multilevel"/>
    <w:tmpl w:val="C100AA8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7A819BE"/>
    <w:multiLevelType w:val="hybridMultilevel"/>
    <w:tmpl w:val="92FEADBE"/>
    <w:lvl w:ilvl="0" w:tplc="AF88A0D4">
      <w:start w:val="1"/>
      <w:numFmt w:val="decimal"/>
      <w:lvlText w:val="%1.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A194803"/>
    <w:multiLevelType w:val="hybridMultilevel"/>
    <w:tmpl w:val="BBA8AB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ABF5E6B"/>
    <w:multiLevelType w:val="hybridMultilevel"/>
    <w:tmpl w:val="07BABCC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BF699B"/>
    <w:multiLevelType w:val="hybridMultilevel"/>
    <w:tmpl w:val="7B54AC66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C143E7"/>
    <w:multiLevelType w:val="hybridMultilevel"/>
    <w:tmpl w:val="5E822D06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B246D31"/>
    <w:multiLevelType w:val="hybridMultilevel"/>
    <w:tmpl w:val="9F9CC868"/>
    <w:lvl w:ilvl="0" w:tplc="04190011">
      <w:start w:val="1"/>
      <w:numFmt w:val="decimal"/>
      <w:lvlText w:val="%1)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27899200">
    <w:abstractNumId w:val="6"/>
  </w:num>
  <w:num w:numId="2" w16cid:durableId="518160155">
    <w:abstractNumId w:val="0"/>
  </w:num>
  <w:num w:numId="3" w16cid:durableId="39013582">
    <w:abstractNumId w:val="0"/>
  </w:num>
  <w:num w:numId="4" w16cid:durableId="1977636779">
    <w:abstractNumId w:val="8"/>
  </w:num>
  <w:num w:numId="5" w16cid:durableId="392432526">
    <w:abstractNumId w:val="4"/>
  </w:num>
  <w:num w:numId="6" w16cid:durableId="1319765073">
    <w:abstractNumId w:val="1"/>
  </w:num>
  <w:num w:numId="7" w16cid:durableId="2131702411">
    <w:abstractNumId w:val="7"/>
  </w:num>
  <w:num w:numId="8" w16cid:durableId="2103254468">
    <w:abstractNumId w:val="9"/>
  </w:num>
  <w:num w:numId="9" w16cid:durableId="668755888">
    <w:abstractNumId w:val="5"/>
  </w:num>
  <w:num w:numId="10" w16cid:durableId="431239545">
    <w:abstractNumId w:val="3"/>
  </w:num>
  <w:num w:numId="11" w16cid:durableId="19913248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B0E"/>
    <w:rsid w:val="00012159"/>
    <w:rsid w:val="0003268F"/>
    <w:rsid w:val="00056703"/>
    <w:rsid w:val="000A3FF4"/>
    <w:rsid w:val="000D1504"/>
    <w:rsid w:val="000D5E2D"/>
    <w:rsid w:val="001150DA"/>
    <w:rsid w:val="00153F22"/>
    <w:rsid w:val="001605D4"/>
    <w:rsid w:val="00181339"/>
    <w:rsid w:val="001822EA"/>
    <w:rsid w:val="00192C0A"/>
    <w:rsid w:val="001A670F"/>
    <w:rsid w:val="001D29A2"/>
    <w:rsid w:val="001E3E24"/>
    <w:rsid w:val="00246227"/>
    <w:rsid w:val="00247BC2"/>
    <w:rsid w:val="00252115"/>
    <w:rsid w:val="0026573E"/>
    <w:rsid w:val="00265A84"/>
    <w:rsid w:val="0029505A"/>
    <w:rsid w:val="002E4094"/>
    <w:rsid w:val="002F74DD"/>
    <w:rsid w:val="00304E02"/>
    <w:rsid w:val="00314AFA"/>
    <w:rsid w:val="0031688E"/>
    <w:rsid w:val="00337646"/>
    <w:rsid w:val="003376B5"/>
    <w:rsid w:val="00350C25"/>
    <w:rsid w:val="0035221A"/>
    <w:rsid w:val="00352F93"/>
    <w:rsid w:val="0035419A"/>
    <w:rsid w:val="00356555"/>
    <w:rsid w:val="00385F34"/>
    <w:rsid w:val="003974AE"/>
    <w:rsid w:val="003C0DF7"/>
    <w:rsid w:val="003C2DEB"/>
    <w:rsid w:val="003D05F1"/>
    <w:rsid w:val="003D235E"/>
    <w:rsid w:val="003D37C2"/>
    <w:rsid w:val="003D7A1E"/>
    <w:rsid w:val="003E2B19"/>
    <w:rsid w:val="003F6059"/>
    <w:rsid w:val="003F67E6"/>
    <w:rsid w:val="004067E4"/>
    <w:rsid w:val="00435D9D"/>
    <w:rsid w:val="00463DCD"/>
    <w:rsid w:val="004648D7"/>
    <w:rsid w:val="0046491F"/>
    <w:rsid w:val="0047587D"/>
    <w:rsid w:val="00486FB0"/>
    <w:rsid w:val="00490391"/>
    <w:rsid w:val="004B0B62"/>
    <w:rsid w:val="004B4D19"/>
    <w:rsid w:val="004D203C"/>
    <w:rsid w:val="00502674"/>
    <w:rsid w:val="0050729B"/>
    <w:rsid w:val="00562CEA"/>
    <w:rsid w:val="00586FD6"/>
    <w:rsid w:val="005918CC"/>
    <w:rsid w:val="005C3D87"/>
    <w:rsid w:val="005D3A9F"/>
    <w:rsid w:val="005D4F22"/>
    <w:rsid w:val="005D4F92"/>
    <w:rsid w:val="005F26C7"/>
    <w:rsid w:val="00633B32"/>
    <w:rsid w:val="00645D5D"/>
    <w:rsid w:val="0066371C"/>
    <w:rsid w:val="00682512"/>
    <w:rsid w:val="00691AA0"/>
    <w:rsid w:val="006A39AE"/>
    <w:rsid w:val="006B1765"/>
    <w:rsid w:val="006C33B3"/>
    <w:rsid w:val="00710AB0"/>
    <w:rsid w:val="007123CA"/>
    <w:rsid w:val="00714736"/>
    <w:rsid w:val="00742E5D"/>
    <w:rsid w:val="007546F7"/>
    <w:rsid w:val="0076320F"/>
    <w:rsid w:val="00785740"/>
    <w:rsid w:val="00787D37"/>
    <w:rsid w:val="007B36FF"/>
    <w:rsid w:val="007C79BF"/>
    <w:rsid w:val="007E40D9"/>
    <w:rsid w:val="00801D34"/>
    <w:rsid w:val="008162F2"/>
    <w:rsid w:val="0082480D"/>
    <w:rsid w:val="00873AA1"/>
    <w:rsid w:val="00880F18"/>
    <w:rsid w:val="0088459D"/>
    <w:rsid w:val="008A2A7F"/>
    <w:rsid w:val="008A4B0E"/>
    <w:rsid w:val="008C043C"/>
    <w:rsid w:val="008C22F6"/>
    <w:rsid w:val="00907C49"/>
    <w:rsid w:val="009332AB"/>
    <w:rsid w:val="00945CAC"/>
    <w:rsid w:val="00952BA5"/>
    <w:rsid w:val="00963FF9"/>
    <w:rsid w:val="00990533"/>
    <w:rsid w:val="00990E6D"/>
    <w:rsid w:val="009C19CF"/>
    <w:rsid w:val="009D30F6"/>
    <w:rsid w:val="009E0535"/>
    <w:rsid w:val="00A0529F"/>
    <w:rsid w:val="00A07F39"/>
    <w:rsid w:val="00A206EC"/>
    <w:rsid w:val="00A5738C"/>
    <w:rsid w:val="00A628FE"/>
    <w:rsid w:val="00A65B91"/>
    <w:rsid w:val="00A739BF"/>
    <w:rsid w:val="00AA6A49"/>
    <w:rsid w:val="00AC01B6"/>
    <w:rsid w:val="00AC4831"/>
    <w:rsid w:val="00AE679C"/>
    <w:rsid w:val="00AF50DD"/>
    <w:rsid w:val="00B049E6"/>
    <w:rsid w:val="00B05FAC"/>
    <w:rsid w:val="00B20F0D"/>
    <w:rsid w:val="00B53687"/>
    <w:rsid w:val="00B63AA6"/>
    <w:rsid w:val="00B94CE1"/>
    <w:rsid w:val="00BA181E"/>
    <w:rsid w:val="00BB2ED3"/>
    <w:rsid w:val="00BF178E"/>
    <w:rsid w:val="00C06E2C"/>
    <w:rsid w:val="00C144A0"/>
    <w:rsid w:val="00C16760"/>
    <w:rsid w:val="00C273F6"/>
    <w:rsid w:val="00C54152"/>
    <w:rsid w:val="00C654CC"/>
    <w:rsid w:val="00C65FE8"/>
    <w:rsid w:val="00C7754E"/>
    <w:rsid w:val="00C837BE"/>
    <w:rsid w:val="00C9069F"/>
    <w:rsid w:val="00C96108"/>
    <w:rsid w:val="00CE19F4"/>
    <w:rsid w:val="00CE5482"/>
    <w:rsid w:val="00D00DF5"/>
    <w:rsid w:val="00D14AA6"/>
    <w:rsid w:val="00D223C2"/>
    <w:rsid w:val="00D23026"/>
    <w:rsid w:val="00D67A0F"/>
    <w:rsid w:val="00D814BF"/>
    <w:rsid w:val="00D82A67"/>
    <w:rsid w:val="00D96B67"/>
    <w:rsid w:val="00DA3706"/>
    <w:rsid w:val="00DD0325"/>
    <w:rsid w:val="00DD58C2"/>
    <w:rsid w:val="00DD76BF"/>
    <w:rsid w:val="00DF0B01"/>
    <w:rsid w:val="00DF16D0"/>
    <w:rsid w:val="00E4748E"/>
    <w:rsid w:val="00E74EC5"/>
    <w:rsid w:val="00E92097"/>
    <w:rsid w:val="00EA435A"/>
    <w:rsid w:val="00EB42B3"/>
    <w:rsid w:val="00EB6953"/>
    <w:rsid w:val="00EB7E58"/>
    <w:rsid w:val="00ED3F7E"/>
    <w:rsid w:val="00ED5ECA"/>
    <w:rsid w:val="00EF0145"/>
    <w:rsid w:val="00F00026"/>
    <w:rsid w:val="00F017E5"/>
    <w:rsid w:val="00F05735"/>
    <w:rsid w:val="00F15B55"/>
    <w:rsid w:val="00F44515"/>
    <w:rsid w:val="00F557E7"/>
    <w:rsid w:val="00F8442E"/>
    <w:rsid w:val="00F91F35"/>
    <w:rsid w:val="00FA1AE4"/>
    <w:rsid w:val="00FA2E63"/>
    <w:rsid w:val="00FA2F77"/>
    <w:rsid w:val="00FA32D9"/>
    <w:rsid w:val="00FB018C"/>
    <w:rsid w:val="00FB7A06"/>
    <w:rsid w:val="00FC6B53"/>
    <w:rsid w:val="00FD1710"/>
    <w:rsid w:val="00FE25A4"/>
    <w:rsid w:val="00FE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BACBE"/>
  <w15:docId w15:val="{FE613289-5925-4229-827E-92BF87F6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B0E"/>
  </w:style>
  <w:style w:type="paragraph" w:styleId="2">
    <w:name w:val="heading 2"/>
    <w:basedOn w:val="a"/>
    <w:link w:val="20"/>
    <w:uiPriority w:val="9"/>
    <w:qFormat/>
    <w:rsid w:val="00FB7A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 уровня 2,Светлая сетка - Акцент 31,Chapter10,Литература,Bullet Number,Bullet 1,Use Case List Paragraph,lp1,List Paragraph1,lp11,List Paragraph11,Абзац списку1"/>
    <w:basedOn w:val="a"/>
    <w:link w:val="a4"/>
    <w:uiPriority w:val="34"/>
    <w:qFormat/>
    <w:rsid w:val="008A4B0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7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4748E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632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6320F"/>
  </w:style>
  <w:style w:type="paragraph" w:styleId="a9">
    <w:name w:val="footer"/>
    <w:basedOn w:val="a"/>
    <w:link w:val="aa"/>
    <w:uiPriority w:val="99"/>
    <w:unhideWhenUsed/>
    <w:rsid w:val="007632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6320F"/>
  </w:style>
  <w:style w:type="character" w:customStyle="1" w:styleId="20">
    <w:name w:val="Заголовок 2 Знак"/>
    <w:basedOn w:val="a0"/>
    <w:link w:val="2"/>
    <w:uiPriority w:val="9"/>
    <w:rsid w:val="00FB7A06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a4">
    <w:name w:val="Абзац списку Знак"/>
    <w:aliases w:val="Список уровня 2 Знак,Светлая сетка - Акцент 31 Знак,Chapter10 Знак,Литература Знак,Bullet Number Знак,Bullet 1 Знак,Use Case List Paragraph Знак,lp1 Знак,List Paragraph1 Знак,lp11 Знак,List Paragraph11 Знак,Абзац списку1 Знак"/>
    <w:link w:val="a3"/>
    <w:uiPriority w:val="34"/>
    <w:rsid w:val="001150DA"/>
  </w:style>
  <w:style w:type="paragraph" w:styleId="ab">
    <w:name w:val="Revision"/>
    <w:hidden/>
    <w:uiPriority w:val="99"/>
    <w:semiHidden/>
    <w:rsid w:val="0026573E"/>
    <w:pPr>
      <w:spacing w:after="0" w:line="240" w:lineRule="auto"/>
    </w:pPr>
  </w:style>
  <w:style w:type="character" w:styleId="ac">
    <w:name w:val="annotation reference"/>
    <w:basedOn w:val="a0"/>
    <w:uiPriority w:val="99"/>
    <w:semiHidden/>
    <w:unhideWhenUsed/>
    <w:rsid w:val="0026573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6573E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26573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6573E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2657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5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3010</Words>
  <Characters>1716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Nataliia Semenykhina</dc:creator>
  <cp:lastModifiedBy>Viktor Kushnir</cp:lastModifiedBy>
  <cp:revision>3</cp:revision>
  <dcterms:created xsi:type="dcterms:W3CDTF">2024-03-28T06:48:00Z</dcterms:created>
  <dcterms:modified xsi:type="dcterms:W3CDTF">2024-03-28T07:01:00Z</dcterms:modified>
</cp:coreProperties>
</file>