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2B" w:rsidRPr="00A3719C" w:rsidRDefault="00C9092B" w:rsidP="00A3719C"/>
    <w:p w:rsidR="00C9092B" w:rsidRDefault="00C9092B" w:rsidP="004D0108">
      <w:pPr>
        <w:ind w:firstLine="0"/>
        <w:jc w:val="center"/>
        <w:rPr>
          <w:b/>
        </w:rPr>
      </w:pPr>
      <w:r w:rsidRPr="004D0108">
        <w:rPr>
          <w:b/>
        </w:rPr>
        <w:t>ОКРЕМА ДУМКА</w:t>
      </w:r>
    </w:p>
    <w:p w:rsidR="00CE4515" w:rsidRPr="004D0108" w:rsidRDefault="00CE4515" w:rsidP="004D0108">
      <w:pPr>
        <w:ind w:firstLine="0"/>
        <w:jc w:val="center"/>
        <w:rPr>
          <w:b/>
        </w:rPr>
      </w:pPr>
    </w:p>
    <w:p w:rsidR="00A879FF" w:rsidRPr="004D0108" w:rsidRDefault="00A879FF" w:rsidP="004D0108">
      <w:pPr>
        <w:ind w:firstLine="0"/>
        <w:jc w:val="center"/>
        <w:rPr>
          <w:b/>
        </w:rPr>
      </w:pPr>
      <w:r w:rsidRPr="004D0108">
        <w:rPr>
          <w:b/>
        </w:rPr>
        <w:t>членів</w:t>
      </w:r>
      <w:r w:rsidR="00C9092B" w:rsidRPr="004D0108">
        <w:rPr>
          <w:b/>
        </w:rPr>
        <w:t xml:space="preserve"> Вищої ради </w:t>
      </w:r>
      <w:r w:rsidRPr="004D0108">
        <w:rPr>
          <w:b/>
        </w:rPr>
        <w:t>правосуддя</w:t>
      </w:r>
    </w:p>
    <w:p w:rsidR="00A879FF" w:rsidRPr="004D0108" w:rsidRDefault="00A879FF" w:rsidP="004D0108">
      <w:pPr>
        <w:ind w:firstLine="0"/>
        <w:jc w:val="center"/>
        <w:rPr>
          <w:b/>
        </w:rPr>
      </w:pPr>
      <w:r w:rsidRPr="004D0108">
        <w:rPr>
          <w:b/>
        </w:rPr>
        <w:t>Бойка Андрія Михайловича</w:t>
      </w:r>
    </w:p>
    <w:p w:rsidR="00C9092B" w:rsidRPr="002504B7" w:rsidRDefault="00A879FF" w:rsidP="004D0108">
      <w:pPr>
        <w:ind w:firstLine="0"/>
        <w:jc w:val="center"/>
        <w:rPr>
          <w:b/>
        </w:rPr>
      </w:pPr>
      <w:r w:rsidRPr="004D0108">
        <w:rPr>
          <w:b/>
        </w:rPr>
        <w:t>Гусака Миколи Борисовича</w:t>
      </w:r>
      <w:r w:rsidR="00C712AA" w:rsidRPr="004D0108">
        <w:rPr>
          <w:b/>
        </w:rPr>
        <w:br/>
        <w:t>Мірошниченка Анатолія Миколайовича</w:t>
      </w:r>
      <w:r w:rsidR="00C712AA" w:rsidRPr="004D0108">
        <w:rPr>
          <w:b/>
        </w:rPr>
        <w:br/>
      </w:r>
      <w:r w:rsidR="00C9092B" w:rsidRPr="002504B7">
        <w:rPr>
          <w:b/>
        </w:rPr>
        <w:t>щодо р</w:t>
      </w:r>
      <w:r w:rsidR="00C712AA" w:rsidRPr="002504B7">
        <w:rPr>
          <w:b/>
        </w:rPr>
        <w:t xml:space="preserve">ішення Вищої ради </w:t>
      </w:r>
      <w:r w:rsidRPr="002504B7">
        <w:rPr>
          <w:b/>
        </w:rPr>
        <w:t xml:space="preserve">правосуддя </w:t>
      </w:r>
      <w:r w:rsidR="002504B7">
        <w:rPr>
          <w:b/>
        </w:rPr>
        <w:br/>
      </w:r>
      <w:r w:rsidR="00C712AA" w:rsidRPr="002504B7">
        <w:rPr>
          <w:b/>
        </w:rPr>
        <w:t xml:space="preserve">від </w:t>
      </w:r>
      <w:r w:rsidRPr="002504B7">
        <w:rPr>
          <w:b/>
        </w:rPr>
        <w:t>13 квітня 2017</w:t>
      </w:r>
      <w:r w:rsidR="00C712AA" w:rsidRPr="002504B7">
        <w:rPr>
          <w:b/>
        </w:rPr>
        <w:t xml:space="preserve"> року № </w:t>
      </w:r>
      <w:r w:rsidR="002504B7" w:rsidRPr="002504B7">
        <w:rPr>
          <w:b/>
        </w:rPr>
        <w:t>810/0/15-17</w:t>
      </w:r>
      <w:r w:rsidR="002504B7" w:rsidRPr="002504B7">
        <w:rPr>
          <w:b/>
        </w:rPr>
        <w:br/>
      </w:r>
      <w:r w:rsidR="00C9092B" w:rsidRPr="002504B7">
        <w:rPr>
          <w:b/>
        </w:rPr>
        <w:t>«</w:t>
      </w:r>
      <w:r w:rsidR="002504B7" w:rsidRPr="002504B7">
        <w:rPr>
          <w:b/>
        </w:rPr>
        <w:t>Про повернення без розгляду клопотання заступника Генерального прокурора України Столярчука Ю.В. про продовження строку тимчасового відсторонення судді Вищого господарського суду України Ємельянова А.С. від здійснення правосуддя у зв’язку з притягненням до кримінальної відповідальності</w:t>
      </w:r>
      <w:r w:rsidR="00C9092B" w:rsidRPr="002504B7">
        <w:rPr>
          <w:b/>
        </w:rPr>
        <w:t>»</w:t>
      </w:r>
    </w:p>
    <w:p w:rsidR="00C9092B" w:rsidRPr="00A3719C" w:rsidRDefault="00C9092B" w:rsidP="00A3719C"/>
    <w:p w:rsidR="00C9092B" w:rsidRPr="00A3719C" w:rsidRDefault="00C9092B" w:rsidP="00A3719C">
      <w:pPr>
        <w:rPr>
          <w:highlight w:val="yellow"/>
        </w:rPr>
      </w:pPr>
      <w:r w:rsidRPr="00A3719C">
        <w:t xml:space="preserve">Рішенням Вищої ради </w:t>
      </w:r>
      <w:r w:rsidR="00A879FF" w:rsidRPr="00A3719C">
        <w:t xml:space="preserve">правосуддя </w:t>
      </w:r>
      <w:r w:rsidRPr="00A3719C">
        <w:t xml:space="preserve">від </w:t>
      </w:r>
      <w:r w:rsidR="00A879FF" w:rsidRPr="00A3719C">
        <w:t>13</w:t>
      </w:r>
      <w:r w:rsidR="007779FB" w:rsidRPr="00A3719C">
        <w:t xml:space="preserve"> </w:t>
      </w:r>
      <w:r w:rsidR="00A879FF" w:rsidRPr="00A3719C">
        <w:t>квітня 2017</w:t>
      </w:r>
      <w:r w:rsidR="007779FB" w:rsidRPr="00A3719C">
        <w:t xml:space="preserve"> року № </w:t>
      </w:r>
      <w:r w:rsidR="002504B7">
        <w:t>810/0/15</w:t>
      </w:r>
      <w:r w:rsidRPr="00A3719C">
        <w:t>-1</w:t>
      </w:r>
      <w:r w:rsidR="00A879FF" w:rsidRPr="00A3719C">
        <w:t>7</w:t>
      </w:r>
      <w:r w:rsidRPr="00A3719C">
        <w:t xml:space="preserve"> </w:t>
      </w:r>
      <w:r w:rsidR="00A879FF" w:rsidRPr="00A3719C">
        <w:t xml:space="preserve">залишено без розгляду </w:t>
      </w:r>
      <w:r w:rsidR="002504B7">
        <w:t xml:space="preserve">клопотання заступника </w:t>
      </w:r>
      <w:r w:rsidR="00A879FF" w:rsidRPr="002504B7">
        <w:t>Генерального прокурора України</w:t>
      </w:r>
      <w:r w:rsidR="002504B7">
        <w:t xml:space="preserve"> Столярчука Ю.В.</w:t>
      </w:r>
      <w:r w:rsidR="00A879FF" w:rsidRPr="00A3719C">
        <w:t xml:space="preserve"> про </w:t>
      </w:r>
      <w:r w:rsidR="00A879FF" w:rsidRPr="004D0108">
        <w:t xml:space="preserve">продовження строку </w:t>
      </w:r>
      <w:r w:rsidR="002504B7">
        <w:t xml:space="preserve">тимчасового </w:t>
      </w:r>
      <w:r w:rsidR="00A879FF" w:rsidRPr="004D0108">
        <w:t>відсторонення від</w:t>
      </w:r>
      <w:r w:rsidR="00A879FF" w:rsidRPr="00A3719C">
        <w:t xml:space="preserve"> здійснення правосуддя судді Вищого господарського суду України Ємельянова Артура Станіславовича</w:t>
      </w:r>
      <w:r w:rsidR="00221D2F" w:rsidRPr="00A3719C">
        <w:t>.</w:t>
      </w:r>
    </w:p>
    <w:p w:rsidR="00A879FF" w:rsidRPr="00A3719C" w:rsidRDefault="00A879FF" w:rsidP="00A3719C">
      <w:pPr>
        <w:rPr>
          <w:highlight w:val="yellow"/>
        </w:rPr>
      </w:pPr>
      <w:r w:rsidRPr="004D0108">
        <w:t>При ухваленні цього рішення Вища рада правосуддя виходила з того, що</w:t>
      </w:r>
      <w:r w:rsidR="005E0C99">
        <w:t xml:space="preserve"> </w:t>
      </w:r>
      <w:r w:rsidR="00841136">
        <w:t>Р</w:t>
      </w:r>
      <w:r w:rsidR="005E0C99">
        <w:t xml:space="preserve">адою вже приймалося рішення про продовження строку тимчасового відсторонення </w:t>
      </w:r>
      <w:r w:rsidR="00841136">
        <w:t>цього</w:t>
      </w:r>
      <w:r w:rsidR="005E0C99">
        <w:t xml:space="preserve"> судді від здійснення правосуддя у зв’язку з притягненням до кримінальної відповідальності у цьому ж кримінальному провадженні (рішення від 12 березня 2017 року № 488</w:t>
      </w:r>
      <w:r w:rsidR="005E0C99" w:rsidRPr="005E0C99">
        <w:t>/0/15-17</w:t>
      </w:r>
      <w:r w:rsidR="005E0C99">
        <w:t xml:space="preserve">), </w:t>
      </w:r>
      <w:r w:rsidR="002504B7">
        <w:t xml:space="preserve">а тому </w:t>
      </w:r>
      <w:r w:rsidRPr="004D0108">
        <w:t xml:space="preserve">звернення заступника Генерального прокурора про продовження строку відсторонення було повторним </w:t>
      </w:r>
      <w:r w:rsidR="00841136">
        <w:t>у</w:t>
      </w:r>
      <w:r w:rsidRPr="004D0108">
        <w:t xml:space="preserve"> розумінні частини шостої</w:t>
      </w:r>
      <w:r w:rsidR="000F659D" w:rsidRPr="000F659D">
        <w:t xml:space="preserve"> </w:t>
      </w:r>
      <w:r w:rsidR="000F659D" w:rsidRPr="004D0108">
        <w:t>статті 64 Закону України «Про Вищу раду прав</w:t>
      </w:r>
      <w:r w:rsidR="000F659D">
        <w:t>осуддя»</w:t>
      </w:r>
      <w:r w:rsidR="005E0C99">
        <w:t>, якою передбачено, що «</w:t>
      </w:r>
      <w:r w:rsidRPr="00A3719C">
        <w:t>п</w:t>
      </w:r>
      <w:r w:rsidRPr="00A3719C">
        <w:rPr>
          <w:rFonts w:eastAsia="Times New Roman"/>
          <w:color w:val="000000"/>
          <w:lang w:eastAsia="uk-UA"/>
        </w:rPr>
        <w:t>овторне звернення Генерального прокурора або його заступника із клопотанням про тимчасове відсторонення судді від здійснення правосуддя у зв’язку з притягненням до кримінальної відповідальності або із клопотанням про продовження строку такого відсторонення стосовно судді в межах одного кримінального провадження не допускається, крім випадків скасування попереднього рішення Вищої ради правосуддя судом».</w:t>
      </w:r>
    </w:p>
    <w:p w:rsidR="00A879FF" w:rsidRDefault="00A879FF" w:rsidP="00A3719C">
      <w:r w:rsidRPr="00A3719C">
        <w:t xml:space="preserve">Не можемо погодитися з таким </w:t>
      </w:r>
      <w:r w:rsidR="000F659D">
        <w:t xml:space="preserve">рішенням Вищої ради правосуддя, </w:t>
      </w:r>
      <w:r w:rsidR="000F659D" w:rsidRPr="00CE4515">
        <w:t xml:space="preserve">оскільки воно базується на </w:t>
      </w:r>
      <w:r w:rsidR="002504B7" w:rsidRPr="00CE4515">
        <w:t xml:space="preserve">одному з можливих </w:t>
      </w:r>
      <w:r w:rsidRPr="00CE4515">
        <w:t>тлумачен</w:t>
      </w:r>
      <w:r w:rsidR="002504B7" w:rsidRPr="00CE4515">
        <w:t>ь</w:t>
      </w:r>
      <w:r w:rsidRPr="00CE4515">
        <w:t xml:space="preserve"> </w:t>
      </w:r>
      <w:r w:rsidR="000F659D" w:rsidRPr="00CE4515">
        <w:t>статті 64 Закону</w:t>
      </w:r>
      <w:r w:rsidR="000F659D" w:rsidRPr="004D0108">
        <w:t xml:space="preserve"> України «Про Вищу раду прав</w:t>
      </w:r>
      <w:r w:rsidR="000F659D">
        <w:t>осуддя»</w:t>
      </w:r>
      <w:r w:rsidR="00175012">
        <w:t xml:space="preserve"> (</w:t>
      </w:r>
      <w:r w:rsidR="004F0CD7">
        <w:t xml:space="preserve">яка </w:t>
      </w:r>
      <w:r w:rsidR="002504B7">
        <w:t xml:space="preserve">має </w:t>
      </w:r>
      <w:r w:rsidR="004F0CD7" w:rsidRPr="00A3719C">
        <w:t>певн</w:t>
      </w:r>
      <w:r w:rsidR="00247100">
        <w:t>у</w:t>
      </w:r>
      <w:r w:rsidR="004F0CD7" w:rsidRPr="00A3719C">
        <w:t xml:space="preserve"> двозначн</w:t>
      </w:r>
      <w:r w:rsidR="004F0CD7">
        <w:t>і</w:t>
      </w:r>
      <w:r w:rsidR="004F0CD7" w:rsidRPr="00A3719C">
        <w:t>ст</w:t>
      </w:r>
      <w:r w:rsidR="004F0CD7">
        <w:t>ь</w:t>
      </w:r>
      <w:r w:rsidR="00175012">
        <w:t>),</w:t>
      </w:r>
      <w:r w:rsidR="00247100">
        <w:t xml:space="preserve"> </w:t>
      </w:r>
      <w:r w:rsidR="000F659D">
        <w:t xml:space="preserve">без застосування положень </w:t>
      </w:r>
      <w:r w:rsidR="004F0CD7">
        <w:t xml:space="preserve">частини 2 </w:t>
      </w:r>
      <w:r w:rsidR="000F659D">
        <w:t>стат</w:t>
      </w:r>
      <w:r w:rsidR="004F0CD7">
        <w:t>ті</w:t>
      </w:r>
      <w:r w:rsidR="000F659D">
        <w:t xml:space="preserve"> </w:t>
      </w:r>
      <w:r w:rsidR="004F0CD7">
        <w:t>155 та статті 155-1 Кримінального процесуального кодексу України, які регламентують підстави та порядок продовження строку тимчасового відсторонення судді від здійснення правосуддя</w:t>
      </w:r>
      <w:r w:rsidRPr="00A3719C">
        <w:t>.</w:t>
      </w:r>
    </w:p>
    <w:p w:rsidR="002504B7" w:rsidRPr="00A3719C" w:rsidRDefault="00CE4515" w:rsidP="002504B7">
      <w:r>
        <w:t>Наголошуємо, що, з</w:t>
      </w:r>
      <w:r w:rsidR="002504B7" w:rsidRPr="00A3719C">
        <w:t xml:space="preserve"> одного боку, під «повторним зверненням», які згадуються у </w:t>
      </w:r>
      <w:r>
        <w:t>статті 64 Закону України «Про Вищу раду правосуддя»</w:t>
      </w:r>
      <w:r w:rsidR="002504B7" w:rsidRPr="00A3719C">
        <w:t xml:space="preserve">, можна розуміти звернення із </w:t>
      </w:r>
      <w:r w:rsidR="002504B7" w:rsidRPr="00A3719C">
        <w:rPr>
          <w:i/>
        </w:rPr>
        <w:t>тим самим</w:t>
      </w:r>
      <w:r>
        <w:t xml:space="preserve"> клопотанням; з</w:t>
      </w:r>
      <w:r w:rsidR="002504B7" w:rsidRPr="00A3719C">
        <w:t xml:space="preserve"> іншого боку, під «повторним зверненням» можна розуміти звернення з </w:t>
      </w:r>
      <w:r w:rsidR="002504B7" w:rsidRPr="00A3719C">
        <w:rPr>
          <w:i/>
        </w:rPr>
        <w:t>будь-яким</w:t>
      </w:r>
      <w:r w:rsidR="002504B7" w:rsidRPr="00A3719C">
        <w:t xml:space="preserve"> клопотанням, в якому ставиться питання про продовження строку відсторонення після того, як такий строк було вже одного разу продовжено.</w:t>
      </w:r>
    </w:p>
    <w:p w:rsidR="005A4202" w:rsidRDefault="00CB62AD" w:rsidP="005A4202">
      <w:r w:rsidRPr="00A3719C">
        <w:lastRenderedPageBreak/>
        <w:t xml:space="preserve">На наш погляд, </w:t>
      </w:r>
      <w:r w:rsidR="004F0CD7">
        <w:t>р</w:t>
      </w:r>
      <w:r w:rsidRPr="00A3719C">
        <w:t>озуміння частини шостої статті 64 Закону як заборон</w:t>
      </w:r>
      <w:r w:rsidR="002504B7">
        <w:t>и</w:t>
      </w:r>
      <w:r w:rsidRPr="00A3719C">
        <w:t xml:space="preserve"> звертатися </w:t>
      </w:r>
      <w:r w:rsidR="005A4202">
        <w:t xml:space="preserve">з </w:t>
      </w:r>
      <w:r w:rsidR="002B168E">
        <w:t xml:space="preserve">будь-яким </w:t>
      </w:r>
      <w:r w:rsidR="005A4202">
        <w:t>клопотанням про продовження строку тимчасово відсторонення судді від здійснення правосуддя</w:t>
      </w:r>
      <w:r w:rsidR="005A4202" w:rsidRPr="005A4202">
        <w:t xml:space="preserve"> </w:t>
      </w:r>
      <w:r w:rsidR="005A4202" w:rsidRPr="00A3719C">
        <w:t>після того, як такий строк було продовжено</w:t>
      </w:r>
      <w:r w:rsidR="002504B7">
        <w:t>,</w:t>
      </w:r>
      <w:r w:rsidR="005A4202">
        <w:t xml:space="preserve"> не узгоджується з положеннями частини 2 </w:t>
      </w:r>
      <w:r w:rsidR="005A4202" w:rsidRPr="00A3719C">
        <w:t xml:space="preserve">статті </w:t>
      </w:r>
      <w:r w:rsidR="005A4202">
        <w:t>155 та частин 4 та 5 статті 155-1</w:t>
      </w:r>
      <w:r w:rsidR="005A4202" w:rsidRPr="00A3719C">
        <w:t xml:space="preserve"> КПК України</w:t>
      </w:r>
      <w:r w:rsidR="005A4202">
        <w:t xml:space="preserve">, які </w:t>
      </w:r>
      <w:r w:rsidR="005A4202" w:rsidRPr="00A3719C">
        <w:t>не містять обмеження щодо кількості разів продовження строку відсторонення.</w:t>
      </w:r>
      <w:r w:rsidR="005A4202">
        <w:t xml:space="preserve"> </w:t>
      </w:r>
    </w:p>
    <w:p w:rsidR="001A5F9C" w:rsidRPr="00A3719C" w:rsidRDefault="001A5F9C" w:rsidP="001A5F9C">
      <w:r>
        <w:t>Встановлення такого обмеження входило б у суперечність з призначенням</w:t>
      </w:r>
      <w:r w:rsidRPr="00A3719C">
        <w:t xml:space="preserve"> заходів забезпечення кримінального провадження</w:t>
      </w:r>
      <w:r w:rsidR="00175012">
        <w:t>,</w:t>
      </w:r>
      <w:r>
        <w:t xml:space="preserve"> до яких належить </w:t>
      </w:r>
      <w:r w:rsidR="00175012">
        <w:t xml:space="preserve">і </w:t>
      </w:r>
      <w:r>
        <w:t>відсторонення від здійснення правосуддя (пункт 4-1 частини другої статті 131 КПК України)</w:t>
      </w:r>
      <w:r w:rsidRPr="00A3719C">
        <w:t>.</w:t>
      </w:r>
    </w:p>
    <w:p w:rsidR="00B613D3" w:rsidRDefault="001A5F9C" w:rsidP="001A5F9C">
      <w:r w:rsidRPr="00A3719C">
        <w:t>Встанов</w:t>
      </w:r>
      <w:r w:rsidR="00811497">
        <w:t xml:space="preserve">лення </w:t>
      </w:r>
      <w:r>
        <w:t>так</w:t>
      </w:r>
      <w:r w:rsidR="00811497">
        <w:t>ого</w:t>
      </w:r>
      <w:r>
        <w:t xml:space="preserve"> обмеження, яке за своєю суттю встановлює </w:t>
      </w:r>
      <w:r w:rsidRPr="00A3719C">
        <w:t>граничний</w:t>
      </w:r>
      <w:r>
        <w:t xml:space="preserve"> (до 4 місяців) строк тимчасового відсторонення судді від здійснення правосуддя на стадії досудового розслідування </w:t>
      </w:r>
      <w:r w:rsidRPr="00A3719C">
        <w:t>(відсторонення можливе на строк до двох місяців, а продовження строку – ще до двох місяців</w:t>
      </w:r>
      <w:r>
        <w:t>; див. частину першу статті 63, частину першу статті 64 Закону</w:t>
      </w:r>
      <w:r w:rsidRPr="00A3719C">
        <w:t xml:space="preserve">), </w:t>
      </w:r>
      <w:r w:rsidR="00811497">
        <w:t xml:space="preserve">може перешкоджати потребам досудового розслідування, якщо обставини, </w:t>
      </w:r>
      <w:r w:rsidR="0020797E">
        <w:t>які</w:t>
      </w:r>
      <w:r w:rsidR="00811497">
        <w:t xml:space="preserve"> </w:t>
      </w:r>
      <w:r w:rsidR="0020797E">
        <w:t>стали</w:t>
      </w:r>
      <w:r w:rsidR="00811497">
        <w:t xml:space="preserve"> підставою для тимчасового відсторонення </w:t>
      </w:r>
      <w:r w:rsidR="0020797E">
        <w:t>продовжують існувати і сторона обвинувачення не мала можливості забезпечити досягнення цілей, заради яких було застосовано тимчасове відсторонення від здійснення правосуддя, іншими способами протягом дії попередн</w:t>
      </w:r>
      <w:r w:rsidR="00B613D3">
        <w:t>ього рішення про відсторонення чи його продовження</w:t>
      </w:r>
      <w:r w:rsidR="0020797E">
        <w:t xml:space="preserve">. Зокрема, </w:t>
      </w:r>
      <w:r w:rsidRPr="00A3719C">
        <w:t xml:space="preserve">для судового </w:t>
      </w:r>
      <w:r>
        <w:t xml:space="preserve">провадження </w:t>
      </w:r>
      <w:r w:rsidR="0020797E">
        <w:t xml:space="preserve">граничний </w:t>
      </w:r>
      <w:r w:rsidRPr="00A3719C">
        <w:t xml:space="preserve">строк </w:t>
      </w:r>
      <w:r w:rsidRPr="004D0108">
        <w:t>відсторонення обмежений тривалістю судового розгляду («</w:t>
      </w:r>
      <w:r w:rsidRPr="004D0108">
        <w:rPr>
          <w:rFonts w:eastAsia="Times New Roman"/>
          <w:color w:val="000000"/>
          <w:lang w:eastAsia="uk-UA"/>
        </w:rPr>
        <w:t>до набрання законної сили вироком суду або закриття кримінального провадження» - частина перша статті 63</w:t>
      </w:r>
      <w:r>
        <w:rPr>
          <w:rFonts w:eastAsia="Times New Roman"/>
          <w:color w:val="000000"/>
          <w:lang w:eastAsia="uk-UA"/>
        </w:rPr>
        <w:t>, частина перша статті 64 Закону</w:t>
      </w:r>
      <w:r w:rsidRPr="004D0108">
        <w:t>)</w:t>
      </w:r>
      <w:r w:rsidR="0020797E">
        <w:t xml:space="preserve">. Тому граничний строк для продовження тимчасового відсторонення </w:t>
      </w:r>
      <w:r w:rsidRPr="004D0108">
        <w:t xml:space="preserve"> </w:t>
      </w:r>
      <w:r w:rsidR="0020797E">
        <w:t>судді від здійснення правосуддя на стадії досудового розслідування повинен обмежуватись строками досудового розслідування</w:t>
      </w:r>
      <w:r w:rsidR="00B613D3">
        <w:t>.</w:t>
      </w:r>
    </w:p>
    <w:p w:rsidR="001C3504" w:rsidRPr="00A3719C" w:rsidRDefault="001C3504" w:rsidP="001C3504">
      <w:r>
        <w:t>Встановлення г</w:t>
      </w:r>
      <w:r w:rsidRPr="00A3719C">
        <w:t>раничн</w:t>
      </w:r>
      <w:r>
        <w:t>ого</w:t>
      </w:r>
      <w:r w:rsidR="00CC5157">
        <w:t xml:space="preserve"> строк</w:t>
      </w:r>
      <w:r>
        <w:t xml:space="preserve">у тимчасового відсторонення від посади </w:t>
      </w:r>
      <w:r w:rsidRPr="00A3719C">
        <w:t xml:space="preserve">у 4 місяці також явно не узгоджувався із граничними </w:t>
      </w:r>
      <w:r>
        <w:t xml:space="preserve">сукупними </w:t>
      </w:r>
      <w:r w:rsidRPr="00A3719C">
        <w:t>строками застосування до підозрюваного та обвинуваченого запобіжни</w:t>
      </w:r>
      <w:r>
        <w:t>х</w:t>
      </w:r>
      <w:r w:rsidRPr="00A3719C">
        <w:t xml:space="preserve"> заходів, </w:t>
      </w:r>
      <w:r w:rsidR="00B474BC">
        <w:t xml:space="preserve">які як правило, обмежуються строками досудового розслідування, </w:t>
      </w:r>
      <w:r w:rsidRPr="00A3719C">
        <w:t>як</w:t>
      </w:r>
      <w:r w:rsidR="00B474BC">
        <w:t xml:space="preserve"> для</w:t>
      </w:r>
      <w:r w:rsidRPr="00A3719C">
        <w:t xml:space="preserve"> приклад</w:t>
      </w:r>
      <w:r w:rsidR="00B474BC">
        <w:t xml:space="preserve">у - застосування  </w:t>
      </w:r>
      <w:r w:rsidRPr="00A3719C">
        <w:t>т</w:t>
      </w:r>
      <w:r>
        <w:t>риманням</w:t>
      </w:r>
      <w:r w:rsidRPr="00A3719C">
        <w:t xml:space="preserve"> під варт</w:t>
      </w:r>
      <w:r>
        <w:t>ою</w:t>
      </w:r>
      <w:r w:rsidR="00B474BC">
        <w:t xml:space="preserve">, </w:t>
      </w:r>
      <w:r w:rsidRPr="00A3719C">
        <w:t xml:space="preserve"> </w:t>
      </w:r>
      <w:r w:rsidR="00B474BC">
        <w:t>сукупний строк якого, під час досудового розслідування, не повинен перевищувати</w:t>
      </w:r>
      <w:r w:rsidRPr="00A3719C">
        <w:t xml:space="preserve"> 12 місяців (</w:t>
      </w:r>
      <w:r>
        <w:t>частина третя статті 197 КПК України</w:t>
      </w:r>
      <w:r w:rsidRPr="00A3719C">
        <w:t>).</w:t>
      </w:r>
    </w:p>
    <w:p w:rsidR="001A5F9C" w:rsidRPr="00A3719C" w:rsidRDefault="00B613D3" w:rsidP="001A5F9C">
      <w:r>
        <w:t>Якщо ж дотримуватись тлумачення положень частини 6 статті 64 Закону</w:t>
      </w:r>
      <w:r w:rsidR="00247100">
        <w:t xml:space="preserve">, </w:t>
      </w:r>
      <w:r w:rsidR="00897CE7">
        <w:t>обраного Вищою радою</w:t>
      </w:r>
      <w:r w:rsidR="00247100">
        <w:t xml:space="preserve"> правосуддя, то може </w:t>
      </w:r>
      <w:r w:rsidR="001A5F9C" w:rsidRPr="00A3719C">
        <w:t>виник</w:t>
      </w:r>
      <w:r w:rsidR="00247100">
        <w:t>нути</w:t>
      </w:r>
      <w:r w:rsidR="001A5F9C" w:rsidRPr="00A3719C">
        <w:t xml:space="preserve"> безглузда ситуація, за яко</w:t>
      </w:r>
      <w:r w:rsidR="00247100">
        <w:t>ї</w:t>
      </w:r>
      <w:r w:rsidR="001A5F9C" w:rsidRPr="00A3719C">
        <w:t xml:space="preserve"> у разі тимчасового відсторонення </w:t>
      </w:r>
      <w:r>
        <w:t>судді</w:t>
      </w:r>
      <w:r w:rsidR="001A5F9C" w:rsidRPr="00A3719C">
        <w:t xml:space="preserve"> від здійснення правосуддя на стадії досудового </w:t>
      </w:r>
      <w:r w:rsidR="001A5F9C">
        <w:t xml:space="preserve">розслідування </w:t>
      </w:r>
      <w:r w:rsidR="001A5F9C" w:rsidRPr="00A3719C">
        <w:t xml:space="preserve">«повторно» відсторонити </w:t>
      </w:r>
      <w:r>
        <w:t>його</w:t>
      </w:r>
      <w:r w:rsidR="001A5F9C" w:rsidRPr="00A3719C">
        <w:t xml:space="preserve"> на стадії судового розгляду було б неможливим.</w:t>
      </w:r>
    </w:p>
    <w:p w:rsidR="001C3504" w:rsidRDefault="005A4202" w:rsidP="005A4202">
      <w:r w:rsidRPr="00A3719C">
        <w:t>З іншого боку,</w:t>
      </w:r>
      <w:r w:rsidR="00175012">
        <w:t xml:space="preserve"> </w:t>
      </w:r>
      <w:r w:rsidR="00CE4515">
        <w:t xml:space="preserve">логіка побудови кримінального процесуального законодавства полягає у тому, </w:t>
      </w:r>
      <w:r w:rsidR="00175012">
        <w:t xml:space="preserve">що положення Закону України «Про Вищу раду правосуддя» у частині підстав та порядку тимчасового відсторонення судді від здійснення правосуддя </w:t>
      </w:r>
      <w:r w:rsidR="00CE4515">
        <w:t>повинні ґрунтуватися на положеннях</w:t>
      </w:r>
      <w:r w:rsidR="00175012">
        <w:t xml:space="preserve"> Кримінального процесуального кодексу України, </w:t>
      </w:r>
      <w:r w:rsidR="00CE4515">
        <w:t>деталізуючи їх і не вступаючи із ними у суперечність</w:t>
      </w:r>
      <w:r w:rsidR="00CC5157">
        <w:t xml:space="preserve">. Таке правило безпосередньо </w:t>
      </w:r>
      <w:r w:rsidR="00CE4515">
        <w:t xml:space="preserve">передбачено частиною третьою </w:t>
      </w:r>
      <w:r w:rsidR="001C3504">
        <w:t>статті 9 КПК</w:t>
      </w:r>
      <w:r w:rsidR="00CC5157">
        <w:t xml:space="preserve"> України</w:t>
      </w:r>
      <w:r w:rsidR="001C3504">
        <w:t xml:space="preserve">. </w:t>
      </w:r>
    </w:p>
    <w:p w:rsidR="00A3719C" w:rsidRDefault="00B474BC" w:rsidP="00A3719C">
      <w:r>
        <w:lastRenderedPageBreak/>
        <w:t>Необхідно зазначити, що п</w:t>
      </w:r>
      <w:r w:rsidR="00A3719C" w:rsidRPr="00A3719C">
        <w:t xml:space="preserve">рагнення запобігти невиправданому обмеженню недоторканості судді та, зрештою, втручанню у незалежність суддів аж ніяк не може пояснити існування 4-місячного граничного </w:t>
      </w:r>
      <w:r w:rsidR="00CC5157">
        <w:t>строку</w:t>
      </w:r>
      <w:r w:rsidR="00A3719C" w:rsidRPr="00A3719C">
        <w:t xml:space="preserve">. Незалежність суддів та відсутність зловживань з боку органів досудового розслідування забезпечується механізмом </w:t>
      </w:r>
      <w:r>
        <w:t xml:space="preserve">тимчасового </w:t>
      </w:r>
      <w:r w:rsidR="00A3719C" w:rsidRPr="00A3719C">
        <w:t>відсторонення</w:t>
      </w:r>
      <w:r>
        <w:t xml:space="preserve"> від здійснення правосуддя</w:t>
      </w:r>
      <w:r w:rsidR="00A3719C" w:rsidRPr="00A3719C">
        <w:t xml:space="preserve">, за якого рішення про відсторонення приймає Вища рада правосуддя, де більшість членів становлять судді, обрані суддями. За таких умов відсутня будь-яка доцільність існування 4-місячного граничного </w:t>
      </w:r>
      <w:r w:rsidR="00CC5157">
        <w:t>строку</w:t>
      </w:r>
      <w:r w:rsidR="00A3719C" w:rsidRPr="00A3719C">
        <w:t xml:space="preserve"> відсторонення.</w:t>
      </w:r>
    </w:p>
    <w:p w:rsidR="00B474BC" w:rsidRPr="00A3719C" w:rsidRDefault="00B474BC" w:rsidP="00A3719C">
      <w:r>
        <w:t xml:space="preserve">Більше того наявність обґрунтованої підозри </w:t>
      </w:r>
      <w:r w:rsidR="007C2FEB">
        <w:t xml:space="preserve">або обвинувачення </w:t>
      </w:r>
      <w:r>
        <w:t>у вчиненні суддею злочинів проти правосуддя</w:t>
      </w:r>
      <w:r w:rsidR="00CC5157">
        <w:t xml:space="preserve">, </w:t>
      </w:r>
      <w:r>
        <w:t xml:space="preserve">ставить під сумнів його функціональну легітимність </w:t>
      </w:r>
      <w:r w:rsidR="00CC5157">
        <w:t>судді</w:t>
      </w:r>
      <w:r w:rsidR="007C2FEB">
        <w:t>.</w:t>
      </w:r>
      <w:r w:rsidR="00CC5157">
        <w:t xml:space="preserve"> Тому подальше здійснення таким суддею правосуддя підриває суспільну довіру до суду.</w:t>
      </w:r>
    </w:p>
    <w:p w:rsidR="008A55E8" w:rsidRPr="00A3719C" w:rsidRDefault="00C9092B" w:rsidP="00A3719C">
      <w:r w:rsidRPr="00A3719C">
        <w:t>Зважаючи на викладене</w:t>
      </w:r>
      <w:r w:rsidR="00CB62AD" w:rsidRPr="00A3719C">
        <w:t>, вважаємо</w:t>
      </w:r>
      <w:r w:rsidR="00095972" w:rsidRPr="00A3719C">
        <w:t xml:space="preserve">, що </w:t>
      </w:r>
      <w:r w:rsidR="008A55E8" w:rsidRPr="00A3719C">
        <w:t xml:space="preserve">частина шоста статті 64 Закону забороняє повторну подачу </w:t>
      </w:r>
      <w:r w:rsidR="008A55E8" w:rsidRPr="00A3719C">
        <w:rPr>
          <w:i/>
        </w:rPr>
        <w:t>того самого</w:t>
      </w:r>
      <w:r w:rsidR="008A55E8" w:rsidRPr="00A3719C">
        <w:t xml:space="preserve"> клопотання про відсторонення від здійснення правосуддя або про продовження строку відсторонення. Логічним винятком із цієї заборони є дозвіл повторної подачі клопотання у випадку «</w:t>
      </w:r>
      <w:r w:rsidR="0004670F" w:rsidRPr="00A3719C">
        <w:rPr>
          <w:rFonts w:eastAsia="Times New Roman"/>
          <w:color w:val="000000"/>
          <w:lang w:eastAsia="uk-UA"/>
        </w:rPr>
        <w:t>скасування попереднього рішення Вищої ради правосуддя судом</w:t>
      </w:r>
      <w:r w:rsidR="008A55E8" w:rsidRPr="00A3719C">
        <w:t>».</w:t>
      </w:r>
    </w:p>
    <w:p w:rsidR="00C9092B" w:rsidRPr="00A3719C" w:rsidRDefault="008A55E8" w:rsidP="00A3719C">
      <w:r w:rsidRPr="00A3719C">
        <w:t>У</w:t>
      </w:r>
      <w:r w:rsidR="00CB62AD" w:rsidRPr="00A3719C">
        <w:t xml:space="preserve"> Вищої ради правосуддя не було підстав для залишення клопотання заступника Генерального прокурора стосовно Ємельянова А.С. без розгляду. Клопотання повинно було розглядатися по суті</w:t>
      </w:r>
      <w:r w:rsidR="00C9092B" w:rsidRPr="00A3719C">
        <w:t>.</w:t>
      </w:r>
    </w:p>
    <w:p w:rsidR="00212DF7" w:rsidRPr="00A3719C" w:rsidRDefault="00212DF7" w:rsidP="00A3719C"/>
    <w:p w:rsidR="00B72AC9" w:rsidRPr="00A3719C" w:rsidRDefault="00B72AC9" w:rsidP="00A3719C"/>
    <w:p w:rsidR="00C9092B" w:rsidRPr="00A3719C" w:rsidRDefault="00C9092B" w:rsidP="00A3719C"/>
    <w:p w:rsidR="00A879FF" w:rsidRPr="00A3719C" w:rsidRDefault="00A879FF" w:rsidP="00A3719C">
      <w:r w:rsidRPr="00A3719C">
        <w:t>Член Вищої ради правосуддя</w:t>
      </w:r>
      <w:r w:rsidRPr="00A3719C">
        <w:tab/>
      </w:r>
      <w:r w:rsidRPr="00A3719C">
        <w:tab/>
      </w:r>
      <w:r w:rsidRPr="00A3719C">
        <w:tab/>
      </w:r>
      <w:r w:rsidRPr="00A3719C">
        <w:tab/>
        <w:t>А.М. Бойко</w:t>
      </w:r>
    </w:p>
    <w:p w:rsidR="00A879FF" w:rsidRPr="00A3719C" w:rsidRDefault="00A879FF" w:rsidP="00A3719C"/>
    <w:p w:rsidR="00A879FF" w:rsidRPr="00A3719C" w:rsidRDefault="00A879FF" w:rsidP="00A3719C"/>
    <w:p w:rsidR="00A879FF" w:rsidRPr="00A3719C" w:rsidRDefault="00A879FF" w:rsidP="00A3719C">
      <w:r w:rsidRPr="00A3719C">
        <w:t>Член Вищої ради правосуддя</w:t>
      </w:r>
      <w:r w:rsidRPr="00A3719C">
        <w:tab/>
      </w:r>
      <w:r w:rsidRPr="00A3719C">
        <w:tab/>
      </w:r>
      <w:r w:rsidRPr="00A3719C">
        <w:tab/>
      </w:r>
      <w:r w:rsidRPr="00A3719C">
        <w:tab/>
        <w:t>М.Б. Гусак</w:t>
      </w:r>
    </w:p>
    <w:p w:rsidR="00C712AA" w:rsidRPr="00A3719C" w:rsidRDefault="00C712AA" w:rsidP="00A3719C"/>
    <w:p w:rsidR="00C712AA" w:rsidRPr="00A3719C" w:rsidRDefault="00C712AA" w:rsidP="00A3719C"/>
    <w:p w:rsidR="00C712AA" w:rsidRDefault="00C712AA" w:rsidP="00A3719C">
      <w:r w:rsidRPr="00A3719C">
        <w:t xml:space="preserve">Член Вищої ради </w:t>
      </w:r>
      <w:r w:rsidR="00A879FF" w:rsidRPr="00A3719C">
        <w:t>правосуддя</w:t>
      </w:r>
      <w:r w:rsidR="00A879FF" w:rsidRPr="00A3719C">
        <w:tab/>
      </w:r>
      <w:r w:rsidR="00A879FF" w:rsidRPr="00A3719C">
        <w:tab/>
      </w:r>
      <w:r w:rsidR="00A879FF" w:rsidRPr="00A3719C">
        <w:tab/>
      </w:r>
      <w:r w:rsidR="00A879FF" w:rsidRPr="00A3719C">
        <w:tab/>
        <w:t>А.М. </w:t>
      </w:r>
      <w:r w:rsidRPr="00A3719C">
        <w:t>Мірошниченко</w:t>
      </w:r>
    </w:p>
    <w:p w:rsidR="000F0910" w:rsidRDefault="000F0910" w:rsidP="00A3719C"/>
    <w:p w:rsidR="000F0910" w:rsidRDefault="000F0910" w:rsidP="00A3719C"/>
    <w:sectPr w:rsidR="000F0910" w:rsidSect="00131843">
      <w:headerReference w:type="even" r:id="rId6"/>
      <w:headerReference w:type="default" r:id="rId7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157" w:rsidRDefault="00CC5157" w:rsidP="00A3719C">
      <w:r>
        <w:separator/>
      </w:r>
    </w:p>
    <w:p w:rsidR="00CC5157" w:rsidRDefault="00CC5157" w:rsidP="00A3719C"/>
    <w:p w:rsidR="00CC5157" w:rsidRDefault="00CC5157" w:rsidP="00A3719C"/>
    <w:p w:rsidR="00CC5157" w:rsidRDefault="00CC5157" w:rsidP="00A3719C"/>
    <w:p w:rsidR="00CC5157" w:rsidRDefault="00CC5157" w:rsidP="00A3719C"/>
    <w:p w:rsidR="00CC5157" w:rsidRDefault="00CC5157" w:rsidP="004D0108"/>
    <w:p w:rsidR="00CC5157" w:rsidRDefault="00CC5157" w:rsidP="004D0108"/>
  </w:endnote>
  <w:endnote w:type="continuationSeparator" w:id="1">
    <w:p w:rsidR="00CC5157" w:rsidRDefault="00CC5157" w:rsidP="00A3719C">
      <w:r>
        <w:continuationSeparator/>
      </w:r>
    </w:p>
    <w:p w:rsidR="00CC5157" w:rsidRDefault="00CC5157" w:rsidP="00A3719C"/>
    <w:p w:rsidR="00CC5157" w:rsidRDefault="00CC5157" w:rsidP="00A3719C"/>
    <w:p w:rsidR="00CC5157" w:rsidRDefault="00CC5157" w:rsidP="00A3719C"/>
    <w:p w:rsidR="00CC5157" w:rsidRDefault="00CC5157" w:rsidP="00A3719C"/>
    <w:p w:rsidR="00CC5157" w:rsidRDefault="00CC5157" w:rsidP="004D0108"/>
    <w:p w:rsidR="00CC5157" w:rsidRDefault="00CC5157" w:rsidP="004D010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157" w:rsidRDefault="00CC5157" w:rsidP="00A3719C">
      <w:r>
        <w:separator/>
      </w:r>
    </w:p>
    <w:p w:rsidR="00CC5157" w:rsidRDefault="00CC5157" w:rsidP="00A3719C"/>
    <w:p w:rsidR="00CC5157" w:rsidRDefault="00CC5157" w:rsidP="00A3719C"/>
    <w:p w:rsidR="00CC5157" w:rsidRDefault="00CC5157" w:rsidP="00A3719C"/>
    <w:p w:rsidR="00CC5157" w:rsidRDefault="00CC5157" w:rsidP="00A3719C"/>
    <w:p w:rsidR="00CC5157" w:rsidRDefault="00CC5157" w:rsidP="004D0108"/>
    <w:p w:rsidR="00CC5157" w:rsidRDefault="00CC5157" w:rsidP="004D0108"/>
  </w:footnote>
  <w:footnote w:type="continuationSeparator" w:id="1">
    <w:p w:rsidR="00CC5157" w:rsidRDefault="00CC5157" w:rsidP="00A3719C">
      <w:r>
        <w:continuationSeparator/>
      </w:r>
    </w:p>
    <w:p w:rsidR="00CC5157" w:rsidRDefault="00CC5157" w:rsidP="00A3719C"/>
    <w:p w:rsidR="00CC5157" w:rsidRDefault="00CC5157" w:rsidP="00A3719C"/>
    <w:p w:rsidR="00CC5157" w:rsidRDefault="00CC5157" w:rsidP="00A3719C"/>
    <w:p w:rsidR="00CC5157" w:rsidRDefault="00CC5157" w:rsidP="00A3719C"/>
    <w:p w:rsidR="00CC5157" w:rsidRDefault="00CC5157" w:rsidP="004D0108"/>
    <w:p w:rsidR="00CC5157" w:rsidRDefault="00CC5157" w:rsidP="004D010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57" w:rsidRDefault="00CC5157" w:rsidP="00A3719C"/>
  <w:p w:rsidR="00CC5157" w:rsidRDefault="00CC5157" w:rsidP="00A3719C"/>
  <w:p w:rsidR="00CC5157" w:rsidRDefault="00CC5157" w:rsidP="00A3719C"/>
  <w:p w:rsidR="00CC5157" w:rsidRDefault="00CC5157" w:rsidP="00A3719C"/>
  <w:p w:rsidR="00CC5157" w:rsidRDefault="00CC5157" w:rsidP="004D0108"/>
  <w:p w:rsidR="00CC5157" w:rsidRDefault="00CC5157" w:rsidP="004D010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57" w:rsidRDefault="002747D9" w:rsidP="00A3719C">
    <w:pPr>
      <w:pStyle w:val="a6"/>
    </w:pPr>
    <w:fldSimple w:instr=" PAGE   \* MERGEFORMAT ">
      <w:r w:rsidR="00DA1EAC">
        <w:rPr>
          <w:noProof/>
        </w:rPr>
        <w:t>3</w:t>
      </w:r>
    </w:fldSimple>
  </w:p>
  <w:p w:rsidR="00CC5157" w:rsidRDefault="00CC5157" w:rsidP="004D010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241"/>
  <w:drawingGridVerticalSpacing w:val="381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7910AE"/>
    <w:rsid w:val="00042E58"/>
    <w:rsid w:val="0004670F"/>
    <w:rsid w:val="00095972"/>
    <w:rsid w:val="000F0910"/>
    <w:rsid w:val="000F659D"/>
    <w:rsid w:val="00131843"/>
    <w:rsid w:val="00175012"/>
    <w:rsid w:val="00182DC9"/>
    <w:rsid w:val="00197B1F"/>
    <w:rsid w:val="001A5F9C"/>
    <w:rsid w:val="001C3504"/>
    <w:rsid w:val="002002DA"/>
    <w:rsid w:val="0020797E"/>
    <w:rsid w:val="00207FEA"/>
    <w:rsid w:val="00212DF7"/>
    <w:rsid w:val="00221D2F"/>
    <w:rsid w:val="00241E4E"/>
    <w:rsid w:val="00247100"/>
    <w:rsid w:val="002504B7"/>
    <w:rsid w:val="00253331"/>
    <w:rsid w:val="00271111"/>
    <w:rsid w:val="002747D9"/>
    <w:rsid w:val="002B168E"/>
    <w:rsid w:val="00302D7C"/>
    <w:rsid w:val="00351E2B"/>
    <w:rsid w:val="00355415"/>
    <w:rsid w:val="003758F7"/>
    <w:rsid w:val="003B53BC"/>
    <w:rsid w:val="003D5C2D"/>
    <w:rsid w:val="0043511A"/>
    <w:rsid w:val="0043655D"/>
    <w:rsid w:val="004426A3"/>
    <w:rsid w:val="00442D64"/>
    <w:rsid w:val="004459C9"/>
    <w:rsid w:val="004872E9"/>
    <w:rsid w:val="00487A99"/>
    <w:rsid w:val="004C3368"/>
    <w:rsid w:val="004D0108"/>
    <w:rsid w:val="004D3E29"/>
    <w:rsid w:val="004F0CD7"/>
    <w:rsid w:val="005606CB"/>
    <w:rsid w:val="00582E91"/>
    <w:rsid w:val="0058601C"/>
    <w:rsid w:val="005A4202"/>
    <w:rsid w:val="005A4528"/>
    <w:rsid w:val="005C075D"/>
    <w:rsid w:val="005E0C99"/>
    <w:rsid w:val="00607641"/>
    <w:rsid w:val="00636718"/>
    <w:rsid w:val="006C656A"/>
    <w:rsid w:val="006D29EA"/>
    <w:rsid w:val="006E2E6D"/>
    <w:rsid w:val="00724A36"/>
    <w:rsid w:val="00753168"/>
    <w:rsid w:val="00762025"/>
    <w:rsid w:val="007652B7"/>
    <w:rsid w:val="007779FB"/>
    <w:rsid w:val="00782570"/>
    <w:rsid w:val="00782F7D"/>
    <w:rsid w:val="007910AE"/>
    <w:rsid w:val="007A3981"/>
    <w:rsid w:val="007C2FEB"/>
    <w:rsid w:val="007D261F"/>
    <w:rsid w:val="00811497"/>
    <w:rsid w:val="00824FA3"/>
    <w:rsid w:val="00841136"/>
    <w:rsid w:val="00841240"/>
    <w:rsid w:val="00842448"/>
    <w:rsid w:val="00853F4C"/>
    <w:rsid w:val="00861489"/>
    <w:rsid w:val="00865725"/>
    <w:rsid w:val="0087787D"/>
    <w:rsid w:val="008879AB"/>
    <w:rsid w:val="00891975"/>
    <w:rsid w:val="00897CE7"/>
    <w:rsid w:val="008A2FCD"/>
    <w:rsid w:val="008A55E8"/>
    <w:rsid w:val="008B6C92"/>
    <w:rsid w:val="008C26EE"/>
    <w:rsid w:val="00963453"/>
    <w:rsid w:val="0098066D"/>
    <w:rsid w:val="009A7B39"/>
    <w:rsid w:val="009E1955"/>
    <w:rsid w:val="009E48B9"/>
    <w:rsid w:val="009E6282"/>
    <w:rsid w:val="009F7F76"/>
    <w:rsid w:val="00A31C1E"/>
    <w:rsid w:val="00A34C93"/>
    <w:rsid w:val="00A36CCE"/>
    <w:rsid w:val="00A3719C"/>
    <w:rsid w:val="00A43F7A"/>
    <w:rsid w:val="00A67E1A"/>
    <w:rsid w:val="00A879FF"/>
    <w:rsid w:val="00AB6C97"/>
    <w:rsid w:val="00AC1C80"/>
    <w:rsid w:val="00AE6012"/>
    <w:rsid w:val="00B175FE"/>
    <w:rsid w:val="00B474BC"/>
    <w:rsid w:val="00B613D3"/>
    <w:rsid w:val="00B72AC9"/>
    <w:rsid w:val="00BC79FB"/>
    <w:rsid w:val="00BF1F37"/>
    <w:rsid w:val="00C270E9"/>
    <w:rsid w:val="00C712AA"/>
    <w:rsid w:val="00C82601"/>
    <w:rsid w:val="00C84009"/>
    <w:rsid w:val="00C9092B"/>
    <w:rsid w:val="00CA6661"/>
    <w:rsid w:val="00CB62AD"/>
    <w:rsid w:val="00CC5157"/>
    <w:rsid w:val="00CE4515"/>
    <w:rsid w:val="00CF0C73"/>
    <w:rsid w:val="00D24D6E"/>
    <w:rsid w:val="00D264E0"/>
    <w:rsid w:val="00DA1EAC"/>
    <w:rsid w:val="00DA4400"/>
    <w:rsid w:val="00DE3C9C"/>
    <w:rsid w:val="00DF0B18"/>
    <w:rsid w:val="00E3746C"/>
    <w:rsid w:val="00E559AE"/>
    <w:rsid w:val="00E8340D"/>
    <w:rsid w:val="00EA1204"/>
    <w:rsid w:val="00F07ABF"/>
    <w:rsid w:val="00F26BC7"/>
    <w:rsid w:val="00F70B21"/>
    <w:rsid w:val="00FA2624"/>
    <w:rsid w:val="00FD0B2F"/>
    <w:rsid w:val="00FF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A3719C"/>
    <w:pPr>
      <w:autoSpaceDE w:val="0"/>
      <w:autoSpaceDN w:val="0"/>
      <w:adjustRightInd w:val="0"/>
      <w:ind w:firstLine="708"/>
      <w:jc w:val="both"/>
    </w:pPr>
    <w:rPr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locked/>
    <w:rsid w:val="005C075D"/>
    <w:pPr>
      <w:autoSpaceDE/>
      <w:autoSpaceDN/>
      <w:adjustRightInd/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7910AE"/>
    <w:rPr>
      <w:rFonts w:ascii="Times New Roman" w:hAnsi="Times New Roman"/>
      <w:b/>
      <w:sz w:val="24"/>
    </w:rPr>
  </w:style>
  <w:style w:type="character" w:customStyle="1" w:styleId="a3">
    <w:name w:val="Основной текст_"/>
    <w:link w:val="1"/>
    <w:locked/>
    <w:rsid w:val="007910AE"/>
    <w:rPr>
      <w:sz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7910AE"/>
    <w:pPr>
      <w:widowControl w:val="0"/>
      <w:shd w:val="clear" w:color="auto" w:fill="FFFFFF"/>
      <w:spacing w:before="1020" w:after="300" w:line="328" w:lineRule="exact"/>
    </w:pPr>
    <w:rPr>
      <w:szCs w:val="20"/>
    </w:rPr>
  </w:style>
  <w:style w:type="paragraph" w:styleId="a4">
    <w:name w:val="Balloon Text"/>
    <w:basedOn w:val="a"/>
    <w:link w:val="a5"/>
    <w:semiHidden/>
    <w:rsid w:val="007910A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7910AE"/>
    <w:rPr>
      <w:rFonts w:ascii="Tahoma" w:hAnsi="Tahoma" w:cs="Tahoma"/>
      <w:b/>
      <w:color w:val="0000FF"/>
      <w:sz w:val="16"/>
      <w:szCs w:val="16"/>
      <w:lang w:eastAsia="ru-RU"/>
    </w:rPr>
  </w:style>
  <w:style w:type="paragraph" w:styleId="a6">
    <w:name w:val="header"/>
    <w:basedOn w:val="a"/>
    <w:link w:val="a7"/>
    <w:rsid w:val="0013184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locked/>
    <w:rsid w:val="00131843"/>
    <w:rPr>
      <w:rFonts w:eastAsia="Times New Roman" w:cs="Times New Roman"/>
      <w:b/>
      <w:color w:val="0000FF"/>
      <w:sz w:val="24"/>
      <w:szCs w:val="24"/>
      <w:lang w:eastAsia="ru-RU"/>
    </w:rPr>
  </w:style>
  <w:style w:type="paragraph" w:styleId="a8">
    <w:name w:val="footer"/>
    <w:basedOn w:val="a"/>
    <w:link w:val="a9"/>
    <w:semiHidden/>
    <w:rsid w:val="0013184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semiHidden/>
    <w:locked/>
    <w:rsid w:val="00131843"/>
    <w:rPr>
      <w:rFonts w:eastAsia="Times New Roman" w:cs="Times New Roman"/>
      <w:b/>
      <w:color w:val="0000FF"/>
      <w:sz w:val="24"/>
      <w:szCs w:val="24"/>
      <w:lang w:eastAsia="ru-RU"/>
    </w:rPr>
  </w:style>
  <w:style w:type="paragraph" w:customStyle="1" w:styleId="14pt">
    <w:name w:val="Звичайний + 14 pt"/>
    <w:aliases w:val="За шириною,Перший рядок:  1,25 см,Чорний,Візерунок: Немає (Білий),Звичайний + За шириною,27 см,Міжрядковий інтервал:  одинар.....,Звичайний + Times New Roman,14 pt,напівжирний,По центру,...,Міжря...,Перший рядок:  1 см,Після...,1 см1"/>
    <w:basedOn w:val="a"/>
    <w:link w:val="aa"/>
    <w:rsid w:val="00221D2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eastAsia="Times New Roman"/>
      <w:b/>
    </w:rPr>
  </w:style>
  <w:style w:type="character" w:customStyle="1" w:styleId="aa">
    <w:name w:val="Звичайний + За шириною Знак"/>
    <w:aliases w:val="Перший рядок:  1 Знак,27 см Знак,Міжрядковий інтервал:  одинар..... Знак"/>
    <w:basedOn w:val="a0"/>
    <w:link w:val="14pt"/>
    <w:locked/>
    <w:rsid w:val="00221D2F"/>
    <w:rPr>
      <w:sz w:val="28"/>
      <w:szCs w:val="28"/>
      <w:lang w:val="uk-UA" w:eastAsia="ru-RU" w:bidi="ar-SA"/>
    </w:rPr>
  </w:style>
  <w:style w:type="paragraph" w:customStyle="1" w:styleId="Style98">
    <w:name w:val="Style98"/>
    <w:basedOn w:val="a"/>
    <w:link w:val="Style980"/>
    <w:rsid w:val="00221D2F"/>
    <w:pPr>
      <w:widowControl w:val="0"/>
      <w:spacing w:line="320" w:lineRule="exact"/>
      <w:ind w:firstLine="542"/>
    </w:pPr>
    <w:rPr>
      <w:b/>
    </w:rPr>
  </w:style>
  <w:style w:type="character" w:customStyle="1" w:styleId="Style980">
    <w:name w:val="Style98 Знак"/>
    <w:basedOn w:val="a0"/>
    <w:link w:val="Style98"/>
    <w:rsid w:val="00221D2F"/>
    <w:rPr>
      <w:rFonts w:eastAsia="Calibri"/>
      <w:sz w:val="28"/>
      <w:szCs w:val="28"/>
      <w:lang w:val="uk-UA" w:eastAsia="ru-RU" w:bidi="ar-SA"/>
    </w:rPr>
  </w:style>
  <w:style w:type="paragraph" w:styleId="ab">
    <w:name w:val="Normal (Web)"/>
    <w:basedOn w:val="a"/>
    <w:uiPriority w:val="99"/>
    <w:rsid w:val="00221D2F"/>
    <w:pPr>
      <w:autoSpaceDE/>
      <w:autoSpaceDN/>
      <w:adjustRightInd/>
      <w:spacing w:before="100" w:beforeAutospacing="1" w:after="119"/>
      <w:jc w:val="left"/>
    </w:pPr>
    <w:rPr>
      <w:b/>
    </w:rPr>
  </w:style>
  <w:style w:type="character" w:customStyle="1" w:styleId="FontStyle11">
    <w:name w:val="Font Style11"/>
    <w:rsid w:val="00221D2F"/>
    <w:rPr>
      <w:rFonts w:ascii="Times New Roman" w:hAnsi="Times New Roman"/>
      <w:sz w:val="26"/>
    </w:rPr>
  </w:style>
  <w:style w:type="paragraph" w:customStyle="1" w:styleId="msonormalcxspmiddle">
    <w:name w:val="msonormalcxspmiddle"/>
    <w:basedOn w:val="a"/>
    <w:semiHidden/>
    <w:rsid w:val="00221D2F"/>
    <w:pPr>
      <w:autoSpaceDE/>
      <w:autoSpaceDN/>
      <w:adjustRightInd/>
      <w:spacing w:before="100" w:beforeAutospacing="1" w:after="119"/>
      <w:jc w:val="left"/>
    </w:pPr>
    <w:rPr>
      <w:b/>
    </w:rPr>
  </w:style>
  <w:style w:type="character" w:customStyle="1" w:styleId="rvts9">
    <w:name w:val="rvts9"/>
    <w:basedOn w:val="a0"/>
    <w:rsid w:val="00221D2F"/>
  </w:style>
  <w:style w:type="paragraph" w:styleId="ac">
    <w:name w:val="No Spacing"/>
    <w:uiPriority w:val="99"/>
    <w:qFormat/>
    <w:rsid w:val="000F0910"/>
    <w:rPr>
      <w:rFonts w:eastAsia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nhideWhenUsed/>
    <w:rsid w:val="000F0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rsid w:val="000F0910"/>
    <w:rPr>
      <w:rFonts w:ascii="Courier New" w:eastAsia="Times New Roman" w:hAnsi="Courier New" w:cs="Courier New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5C075D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903</Words>
  <Characters>6173</Characters>
  <Application>Microsoft Office Word</Application>
  <DocSecurity>4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Аннюк (VRU-OLD13 - n.annyuk)</dc:creator>
  <cp:lastModifiedBy>Лариса Бардаченко (VRU-XP-OLD12 - l.bardachenko)</cp:lastModifiedBy>
  <cp:revision>2</cp:revision>
  <cp:lastPrinted>2017-04-21T08:44:00Z</cp:lastPrinted>
  <dcterms:created xsi:type="dcterms:W3CDTF">2017-04-21T11:22:00Z</dcterms:created>
  <dcterms:modified xsi:type="dcterms:W3CDTF">2017-04-21T11:22:00Z</dcterms:modified>
</cp:coreProperties>
</file>