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34F" w:rsidRPr="007C73AE" w:rsidRDefault="0055334F" w:rsidP="004222BA">
      <w:pPr>
        <w:tabs>
          <w:tab w:val="left" w:pos="851"/>
        </w:tabs>
        <w:spacing w:line="276" w:lineRule="auto"/>
        <w:rPr>
          <w:rFonts w:ascii="Calibri" w:eastAsia="Calibri" w:hAnsi="Calibri" w:cs="Times New Roman"/>
          <w:i w:val="0"/>
          <w:iCs w:val="0"/>
          <w:color w:val="0000FF"/>
          <w:lang w:val="uk-UA"/>
        </w:rPr>
      </w:pPr>
    </w:p>
    <w:p w:rsidR="0055334F" w:rsidRPr="007C73AE" w:rsidRDefault="0055334F" w:rsidP="0055334F">
      <w:pPr>
        <w:spacing w:before="360" w:after="60" w:line="276" w:lineRule="auto"/>
        <w:jc w:val="center"/>
        <w:rPr>
          <w:rFonts w:ascii="AcademyC" w:eastAsia="Calibri" w:hAnsi="AcademyC" w:cs="Times New Roman"/>
          <w:b/>
          <w:i w:val="0"/>
          <w:iCs w:val="0"/>
          <w:color w:val="000000"/>
          <w:lang w:val="uk-UA"/>
        </w:rPr>
      </w:pPr>
      <w:r w:rsidRPr="007C73AE">
        <w:rPr>
          <w:rFonts w:ascii="Calibri" w:eastAsia="Calibri" w:hAnsi="Calibri" w:cs="Times New Roman"/>
          <w:i w:val="0"/>
          <w:iCs w:val="0"/>
          <w:noProof/>
          <w:lang w:val="uk-UA" w:eastAsia="uk-UA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-562610</wp:posOffset>
            </wp:positionV>
            <wp:extent cx="504190" cy="6470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C73AE">
        <w:rPr>
          <w:rFonts w:ascii="AcademyC" w:eastAsia="Calibri" w:hAnsi="AcademyC" w:cs="Times New Roman"/>
          <w:b/>
          <w:i w:val="0"/>
          <w:color w:val="000000"/>
          <w:lang w:val="uk-UA"/>
        </w:rPr>
        <w:t>УКРАЇНА</w:t>
      </w:r>
    </w:p>
    <w:p w:rsidR="0055334F" w:rsidRPr="007C73AE" w:rsidRDefault="0055334F" w:rsidP="0055334F">
      <w:pPr>
        <w:spacing w:after="60" w:line="276" w:lineRule="auto"/>
        <w:jc w:val="center"/>
        <w:rPr>
          <w:rFonts w:ascii="AcademyC" w:eastAsia="Calibri" w:hAnsi="AcademyC" w:cs="Times New Roman"/>
          <w:b/>
          <w:i w:val="0"/>
          <w:iCs w:val="0"/>
          <w:color w:val="000000"/>
          <w:sz w:val="28"/>
          <w:szCs w:val="28"/>
          <w:lang w:val="uk-UA"/>
        </w:rPr>
      </w:pPr>
      <w:r w:rsidRPr="007C73AE">
        <w:rPr>
          <w:rFonts w:ascii="AcademyC" w:eastAsia="Calibri" w:hAnsi="AcademyC" w:cs="Times New Roman"/>
          <w:b/>
          <w:i w:val="0"/>
          <w:color w:val="000000"/>
          <w:sz w:val="28"/>
          <w:szCs w:val="28"/>
          <w:lang w:val="uk-UA"/>
        </w:rPr>
        <w:t>ВИЩА  РАДА  ПРАВОСУДДЯ</w:t>
      </w:r>
    </w:p>
    <w:p w:rsidR="0055334F" w:rsidRPr="007C73AE" w:rsidRDefault="0055334F" w:rsidP="0055334F">
      <w:pPr>
        <w:spacing w:after="60" w:line="276" w:lineRule="auto"/>
        <w:jc w:val="center"/>
        <w:rPr>
          <w:rFonts w:ascii="AcademyC" w:eastAsia="Calibri" w:hAnsi="AcademyC" w:cs="Times New Roman"/>
          <w:b/>
          <w:i w:val="0"/>
          <w:iCs w:val="0"/>
          <w:color w:val="000000"/>
          <w:sz w:val="28"/>
          <w:szCs w:val="28"/>
          <w:lang w:val="uk-UA"/>
        </w:rPr>
      </w:pPr>
      <w:r w:rsidRPr="007C73AE">
        <w:rPr>
          <w:rFonts w:ascii="AcademyC" w:eastAsia="Calibri" w:hAnsi="AcademyC" w:cs="Times New Roman"/>
          <w:b/>
          <w:i w:val="0"/>
          <w:color w:val="000000"/>
          <w:sz w:val="28"/>
          <w:szCs w:val="28"/>
          <w:lang w:val="uk-UA"/>
        </w:rPr>
        <w:t xml:space="preserve"> ЧЛЕН ВИЩОЇ  РАДИ  ПРАВОСУДДЯ</w:t>
      </w:r>
    </w:p>
    <w:p w:rsidR="0055334F" w:rsidRPr="007C73AE" w:rsidRDefault="0055334F" w:rsidP="0055334F">
      <w:pPr>
        <w:spacing w:line="276" w:lineRule="auto"/>
        <w:ind w:right="-1"/>
        <w:jc w:val="center"/>
        <w:rPr>
          <w:rFonts w:ascii="AcademyC" w:eastAsia="Calibri" w:hAnsi="AcademyC" w:cs="Times New Roman"/>
          <w:b/>
          <w:i w:val="0"/>
          <w:iCs w:val="0"/>
          <w:color w:val="000000"/>
          <w:sz w:val="28"/>
          <w:szCs w:val="28"/>
          <w:lang w:val="uk-UA"/>
        </w:rPr>
      </w:pPr>
      <w:r w:rsidRPr="007C73AE">
        <w:rPr>
          <w:rFonts w:ascii="AcademyC" w:eastAsia="Calibri" w:hAnsi="AcademyC" w:cs="Times New Roman"/>
          <w:b/>
          <w:i w:val="0"/>
          <w:color w:val="000000"/>
          <w:sz w:val="28"/>
          <w:szCs w:val="28"/>
          <w:lang w:val="uk-UA"/>
        </w:rPr>
        <w:t>БЕЛЯНЕВИЧ  ВАДИМ  ЕДУАРДОВИЧ</w:t>
      </w:r>
    </w:p>
    <w:p w:rsidR="0055334F" w:rsidRPr="007C73AE" w:rsidRDefault="0055334F" w:rsidP="0055334F">
      <w:pPr>
        <w:spacing w:line="276" w:lineRule="auto"/>
        <w:ind w:left="-142"/>
        <w:jc w:val="center"/>
        <w:rPr>
          <w:rFonts w:ascii="Book Antiqua" w:eastAsia="Calibri" w:hAnsi="Book Antiqua" w:cs="Times New Roman"/>
          <w:i w:val="0"/>
          <w:iCs w:val="0"/>
          <w:spacing w:val="-9"/>
          <w:position w:val="-16"/>
          <w:lang w:val="uk-UA"/>
        </w:rPr>
      </w:pPr>
      <w:r w:rsidRPr="007C73AE">
        <w:rPr>
          <w:rFonts w:ascii="Book Antiqua" w:eastAsia="Calibri" w:hAnsi="Book Antiqua" w:cs="Times New Roman"/>
          <w:i w:val="0"/>
          <w:color w:val="000000"/>
          <w:spacing w:val="-9"/>
          <w:position w:val="-16"/>
          <w:lang w:val="uk-UA"/>
        </w:rPr>
        <w:t>вул. Студентська, 12-А, м. Київ, 04050, тел.: (044) 489-64-60, 481-06-29,  факс: (044) 484-14-72, e-</w:t>
      </w:r>
      <w:proofErr w:type="spellStart"/>
      <w:r w:rsidRPr="007C73AE">
        <w:rPr>
          <w:rFonts w:ascii="Book Antiqua" w:eastAsia="Calibri" w:hAnsi="Book Antiqua" w:cs="Times New Roman"/>
          <w:i w:val="0"/>
          <w:color w:val="000000"/>
          <w:spacing w:val="-9"/>
          <w:position w:val="-16"/>
          <w:lang w:val="uk-UA"/>
        </w:rPr>
        <w:t>mail</w:t>
      </w:r>
      <w:proofErr w:type="spellEnd"/>
      <w:r w:rsidRPr="007C73AE">
        <w:rPr>
          <w:rFonts w:ascii="Book Antiqua" w:eastAsia="Calibri" w:hAnsi="Book Antiqua" w:cs="Times New Roman"/>
          <w:i w:val="0"/>
          <w:color w:val="000000"/>
          <w:spacing w:val="-9"/>
          <w:position w:val="-16"/>
          <w:lang w:val="uk-UA"/>
        </w:rPr>
        <w:t xml:space="preserve">: </w:t>
      </w:r>
      <w:hyperlink r:id="rId9" w:history="1">
        <w:r w:rsidRPr="007C73AE">
          <w:rPr>
            <w:rFonts w:ascii="Book Antiqua" w:eastAsia="Calibri" w:hAnsi="Book Antiqua" w:cs="Times New Roman"/>
            <w:i w:val="0"/>
            <w:color w:val="0000FF"/>
            <w:spacing w:val="-9"/>
            <w:position w:val="-16"/>
            <w:u w:val="single"/>
            <w:lang w:val="uk-UA"/>
          </w:rPr>
          <w:t>assistant@hcj.gov.ua</w:t>
        </w:r>
      </w:hyperlink>
    </w:p>
    <w:tbl>
      <w:tblPr>
        <w:tblW w:w="0" w:type="auto"/>
        <w:tblBorders>
          <w:top w:val="thinThickMediumGap" w:sz="24" w:space="0" w:color="002060"/>
        </w:tblBorders>
        <w:tblLook w:val="04A0"/>
      </w:tblPr>
      <w:tblGrid>
        <w:gridCol w:w="6"/>
        <w:gridCol w:w="4673"/>
        <w:gridCol w:w="2558"/>
        <w:gridCol w:w="2510"/>
        <w:gridCol w:w="107"/>
      </w:tblGrid>
      <w:tr w:rsidR="0055334F" w:rsidRPr="007C73AE" w:rsidTr="007F785F">
        <w:trPr>
          <w:gridAfter w:val="1"/>
          <w:wAfter w:w="107" w:type="dxa"/>
          <w:trHeight w:hRule="exact" w:val="113"/>
        </w:trPr>
        <w:tc>
          <w:tcPr>
            <w:tcW w:w="9747" w:type="dxa"/>
            <w:gridSpan w:val="4"/>
            <w:tcBorders>
              <w:top w:val="single" w:sz="24" w:space="0" w:color="auto"/>
              <w:bottom w:val="single" w:sz="8" w:space="0" w:color="auto"/>
            </w:tcBorders>
          </w:tcPr>
          <w:p w:rsidR="0055334F" w:rsidRPr="007C73AE" w:rsidRDefault="0055334F" w:rsidP="007F785F">
            <w:pPr>
              <w:spacing w:line="276" w:lineRule="auto"/>
              <w:rPr>
                <w:rFonts w:ascii="Book Antiqua" w:eastAsia="Calibri" w:hAnsi="Book Antiqua" w:cs="Times New Roman"/>
                <w:i w:val="0"/>
                <w:iCs w:val="0"/>
                <w:spacing w:val="-12"/>
                <w:sz w:val="2"/>
                <w:szCs w:val="2"/>
                <w:lang w:val="uk-UA"/>
              </w:rPr>
            </w:pPr>
          </w:p>
        </w:tc>
      </w:tr>
      <w:tr w:rsidR="0055334F" w:rsidRPr="007C73AE" w:rsidTr="007F785F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wBefore w:w="6" w:type="dxa"/>
        </w:trPr>
        <w:tc>
          <w:tcPr>
            <w:tcW w:w="4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34F" w:rsidRPr="007C73AE" w:rsidRDefault="0055334F" w:rsidP="007F785F">
            <w:pPr>
              <w:spacing w:after="120" w:line="276" w:lineRule="auto"/>
              <w:rPr>
                <w:rFonts w:ascii="Calibri" w:eastAsia="Calibri" w:hAnsi="Calibri" w:cs="Times New Roman"/>
                <w:i w:val="0"/>
                <w:iCs w:val="0"/>
                <w:sz w:val="10"/>
                <w:szCs w:val="10"/>
                <w:lang w:val="uk-UA"/>
              </w:rPr>
            </w:pPr>
          </w:p>
          <w:p w:rsidR="0055334F" w:rsidRPr="007C73AE" w:rsidRDefault="0055334F" w:rsidP="007F785F">
            <w:pPr>
              <w:spacing w:after="120" w:line="276" w:lineRule="auto"/>
              <w:rPr>
                <w:rFonts w:ascii="Calibri" w:eastAsia="Calibri" w:hAnsi="Calibri" w:cs="Times New Roman"/>
                <w:i w:val="0"/>
                <w:iCs w:val="0"/>
                <w:lang w:val="uk-UA"/>
              </w:rPr>
            </w:pPr>
            <w:r w:rsidRPr="007C73AE">
              <w:rPr>
                <w:rFonts w:ascii="Calibri" w:eastAsia="Calibri" w:hAnsi="Calibri" w:cs="Times New Roman"/>
                <w:i w:val="0"/>
                <w:lang w:val="uk-UA"/>
              </w:rPr>
              <w:t>_________________   № ________________</w:t>
            </w:r>
          </w:p>
          <w:p w:rsidR="0055334F" w:rsidRPr="007C73AE" w:rsidRDefault="0055334F" w:rsidP="007F785F">
            <w:pPr>
              <w:spacing w:after="120" w:line="276" w:lineRule="auto"/>
              <w:rPr>
                <w:rFonts w:ascii="Calibri" w:eastAsia="Calibri" w:hAnsi="Calibri" w:cs="Times New Roman"/>
                <w:i w:val="0"/>
                <w:iCs w:val="0"/>
                <w:lang w:val="uk-UA"/>
              </w:rPr>
            </w:pPr>
            <w:r w:rsidRPr="007C73AE">
              <w:rPr>
                <w:rFonts w:ascii="Calibri" w:eastAsia="Calibri" w:hAnsi="Calibri" w:cs="Times New Roman"/>
                <w:i w:val="0"/>
                <w:lang w:val="uk-UA"/>
              </w:rPr>
              <w:t>На №  _______________________________</w:t>
            </w:r>
          </w:p>
        </w:tc>
        <w:tc>
          <w:tcPr>
            <w:tcW w:w="2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34F" w:rsidRPr="007C73AE" w:rsidRDefault="0055334F" w:rsidP="007F785F">
            <w:pPr>
              <w:spacing w:line="276" w:lineRule="auto"/>
              <w:jc w:val="right"/>
              <w:rPr>
                <w:rFonts w:ascii="Calibri" w:eastAsia="Calibri" w:hAnsi="Calibri" w:cs="Times New Roman"/>
                <w:i w:val="0"/>
                <w:iCs w:val="0"/>
                <w:lang w:val="uk-UA"/>
              </w:rPr>
            </w:pPr>
          </w:p>
        </w:tc>
        <w:tc>
          <w:tcPr>
            <w:tcW w:w="261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34F" w:rsidRPr="007C73AE" w:rsidRDefault="0055334F" w:rsidP="007F785F">
            <w:pPr>
              <w:spacing w:line="276" w:lineRule="auto"/>
              <w:jc w:val="right"/>
              <w:rPr>
                <w:rFonts w:ascii="Calibri" w:eastAsia="Calibri" w:hAnsi="Calibri" w:cs="Times New Roman"/>
                <w:i w:val="0"/>
                <w:iCs w:val="0"/>
                <w:lang w:val="uk-UA"/>
              </w:rPr>
            </w:pPr>
          </w:p>
        </w:tc>
      </w:tr>
    </w:tbl>
    <w:p w:rsidR="004222BA" w:rsidRPr="007C73AE" w:rsidRDefault="004222BA" w:rsidP="008B11A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</w:pPr>
    </w:p>
    <w:p w:rsidR="007A76C4" w:rsidRPr="007C73AE" w:rsidRDefault="007A76C4" w:rsidP="004222BA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</w:pPr>
      <w:r w:rsidRPr="007C73AE"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  <w:t>ОКРЕМА ДУМКА</w:t>
      </w:r>
    </w:p>
    <w:p w:rsidR="00872029" w:rsidRPr="007C73AE" w:rsidRDefault="007A76C4" w:rsidP="004222BA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</w:pPr>
      <w:r w:rsidRPr="007C73AE"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  <w:t xml:space="preserve">щодо рішення </w:t>
      </w:r>
      <w:r w:rsidR="00872029" w:rsidRPr="007C73AE"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  <w:t xml:space="preserve">Вищої ради правосуддя </w:t>
      </w:r>
    </w:p>
    <w:p w:rsidR="00DF0ED7" w:rsidRPr="007C73AE" w:rsidRDefault="00DF0ED7" w:rsidP="004222BA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</w:pPr>
      <w:r w:rsidRPr="007C73AE"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  <w:t xml:space="preserve">від 5 червня </w:t>
      </w:r>
      <w:bookmarkStart w:id="0" w:name="_GoBack"/>
      <w:bookmarkEnd w:id="0"/>
      <w:r w:rsidRPr="007C73AE"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  <w:t xml:space="preserve">2018 року </w:t>
      </w:r>
      <w:r w:rsidR="007A76C4" w:rsidRPr="007C73AE"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  <w:t>№</w:t>
      </w:r>
      <w:r w:rsidR="00EC401A" w:rsidRPr="007C73AE"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  <w:t xml:space="preserve"> 1740</w:t>
      </w:r>
      <w:r w:rsidR="007A76C4" w:rsidRPr="007C73AE"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  <w:t>/0/15-18</w:t>
      </w:r>
    </w:p>
    <w:p w:rsidR="00DF0ED7" w:rsidRPr="007C73AE" w:rsidRDefault="00DF0ED7" w:rsidP="00DF0ED7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</w:pPr>
    </w:p>
    <w:p w:rsidR="007A76C4" w:rsidRPr="007C73AE" w:rsidRDefault="00894734" w:rsidP="004222BA">
      <w:pPr>
        <w:pStyle w:val="aa"/>
        <w:ind w:firstLine="851"/>
        <w:jc w:val="both"/>
        <w:rPr>
          <w:rFonts w:ascii="Times New Roman" w:hAnsi="Times New Roman" w:cs="Times New Roman"/>
          <w:i w:val="0"/>
          <w:sz w:val="28"/>
          <w:szCs w:val="28"/>
          <w:lang w:val="uk-UA" w:bidi="ar-SA"/>
        </w:rPr>
      </w:pPr>
      <w:r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Р</w:t>
      </w:r>
      <w:r w:rsidR="007A76C4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ішення</w:t>
      </w:r>
      <w:r w:rsidR="00206F0A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м</w:t>
      </w:r>
      <w:r w:rsidR="007A76C4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Вищої ради правосуддя </w:t>
      </w:r>
      <w:r w:rsidR="00683F43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5</w:t>
      </w:r>
      <w:r w:rsidR="00206F0A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683F43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червня</w:t>
      </w:r>
      <w:r w:rsidR="00206F0A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2018 року</w:t>
      </w:r>
      <w:r w:rsidR="00683F43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206F0A" w:rsidRPr="007C73AE"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uk-UA"/>
        </w:rPr>
        <w:t>№</w:t>
      </w:r>
      <w:r w:rsidR="00872029" w:rsidRPr="007C73AE"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uk-UA"/>
        </w:rPr>
        <w:t xml:space="preserve"> 1740</w:t>
      </w:r>
      <w:r w:rsidR="00206F0A" w:rsidRPr="007C73AE"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uk-UA"/>
        </w:rPr>
        <w:t>/0/15</w:t>
      </w:r>
      <w:r w:rsidR="00683F43" w:rsidRPr="007C73AE"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uk-UA"/>
        </w:rPr>
        <w:t>-18</w:t>
      </w:r>
      <w:r w:rsidR="00206F0A" w:rsidRPr="007C73AE">
        <w:rPr>
          <w:rFonts w:ascii="Times New Roman" w:eastAsia="Calibri" w:hAnsi="Times New Roman" w:cs="Times New Roman"/>
          <w:b/>
          <w:i w:val="0"/>
          <w:color w:val="000000"/>
          <w:sz w:val="28"/>
          <w:szCs w:val="28"/>
          <w:lang w:val="uk-UA"/>
        </w:rPr>
        <w:t xml:space="preserve"> </w:t>
      </w:r>
      <w:r w:rsidR="00206F0A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206F0A" w:rsidRPr="007C73AE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 w:eastAsia="uk-UA" w:bidi="uk-UA"/>
        </w:rPr>
        <w:t>скасо</w:t>
      </w:r>
      <w:r w:rsidRPr="007C73AE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 w:eastAsia="uk-UA" w:bidi="uk-UA"/>
        </w:rPr>
        <w:t xml:space="preserve">вано </w:t>
      </w:r>
      <w:r w:rsidR="00206F0A" w:rsidRPr="007C73AE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рішення </w:t>
      </w:r>
      <w:r w:rsidR="00206F0A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Кваліфікаційно-дисциплінарної комісії прокурорів (далі – також </w:t>
      </w:r>
      <w:r w:rsidR="00683F43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К</w:t>
      </w:r>
      <w:r w:rsidR="00872029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ДКП</w:t>
      </w:r>
      <w:r w:rsidR="00206F0A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) від </w:t>
      </w:r>
      <w:r w:rsidR="00206F0A" w:rsidRPr="007C73AE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4 жовтня 2017 року № 179дп-17 в частині закриття дисциплінарного провадження стосовно заступника керівника Київської місцевої прокуратури № 5 міста Києва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ОСОБА_11</w:t>
      </w:r>
      <w:r w:rsidR="00206F0A" w:rsidRPr="007C73AE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, прокурора Київської місцевої прокуратури № 2 міста Києва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ОСОБА_12</w:t>
      </w:r>
      <w:r w:rsidR="00206F0A" w:rsidRPr="007C73AE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, прокурора другого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управління нагляду за додержанням законів у кримінальному провадженні прокуратури міста Києва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ОСОБА_13</w:t>
      </w:r>
      <w:r w:rsidR="00206F0A" w:rsidRPr="007C73AE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 w:rsidRPr="007C73AE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 w:eastAsia="uk-UA" w:bidi="uk-UA"/>
        </w:rPr>
        <w:t>та у</w:t>
      </w:r>
      <w:r w:rsidR="007A76C4" w:rsidRPr="007C73AE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 w:eastAsia="uk-UA" w:bidi="uk-UA"/>
        </w:rPr>
        <w:t>хвал</w:t>
      </w:r>
      <w:r w:rsidRPr="007C73AE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 w:eastAsia="uk-UA" w:bidi="uk-UA"/>
        </w:rPr>
        <w:t>ено</w:t>
      </w:r>
      <w:r w:rsidR="007A76C4" w:rsidRPr="007C73AE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 w:eastAsia="uk-UA" w:bidi="uk-UA"/>
        </w:rPr>
        <w:t xml:space="preserve"> нове рішення</w:t>
      </w:r>
      <w:r w:rsidRPr="007C73AE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 w:eastAsia="uk-UA" w:bidi="uk-UA"/>
        </w:rPr>
        <w:t xml:space="preserve">, яким </w:t>
      </w:r>
      <w:r w:rsidR="00AA63A7" w:rsidRPr="007C73AE">
        <w:rPr>
          <w:rFonts w:ascii="Times New Roman" w:hAnsi="Times New Roman" w:cs="Times New Roman"/>
          <w:i w:val="0"/>
          <w:sz w:val="28"/>
          <w:szCs w:val="28"/>
          <w:lang w:val="uk-UA" w:bidi="ar-SA"/>
        </w:rPr>
        <w:t>дисциплінарне провадження стосовно цих прокурорів закрито у</w:t>
      </w:r>
      <w:r w:rsidR="00AA63A7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зв’язку зі </w:t>
      </w:r>
      <w:proofErr w:type="spellStart"/>
      <w:r w:rsidR="00AA63A7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спливом</w:t>
      </w:r>
      <w:proofErr w:type="spellEnd"/>
      <w:r w:rsidR="00AA63A7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строку накладення дисциплінарного стягнення.</w:t>
      </w:r>
      <w:r w:rsidR="00AA63A7" w:rsidRPr="007C73AE">
        <w:rPr>
          <w:rFonts w:ascii="Times New Roman" w:hAnsi="Times New Roman" w:cs="Times New Roman"/>
          <w:i w:val="0"/>
          <w:sz w:val="28"/>
          <w:szCs w:val="28"/>
          <w:lang w:val="uk-UA" w:bidi="ar-SA"/>
        </w:rPr>
        <w:t xml:space="preserve"> </w:t>
      </w:r>
    </w:p>
    <w:p w:rsidR="00DF0ED7" w:rsidRPr="007C73AE" w:rsidRDefault="00DF0ED7" w:rsidP="004222BA">
      <w:pPr>
        <w:pStyle w:val="aa"/>
        <w:ind w:firstLine="851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Стосовно цього рішення Вищої ради правосуддя на підставі </w:t>
      </w:r>
      <w:r w:rsidR="004222BA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       </w:t>
      </w:r>
      <w:r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частини сьомої статті 34 Закону України «Про Вищу раду правосуддя» висловлюю </w:t>
      </w:r>
      <w:r w:rsidR="00872029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окрему</w:t>
      </w:r>
      <w:r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думку.</w:t>
      </w:r>
    </w:p>
    <w:p w:rsidR="00B95D2D" w:rsidRPr="007C73AE" w:rsidRDefault="00407EA2" w:rsidP="004222BA">
      <w:pPr>
        <w:widowControl w:val="0"/>
        <w:spacing w:after="0" w:line="322" w:lineRule="exact"/>
        <w:ind w:firstLine="851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</w:pPr>
      <w:r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>Вища рада правосуддя</w:t>
      </w:r>
      <w:r w:rsidRPr="007C73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>у</w:t>
      </w:r>
      <w:r w:rsidR="00B95D2D"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 xml:space="preserve">хвалення рішення </w:t>
      </w:r>
      <w:r w:rsidR="00C513FD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за результатами розгляду скарги керівника Генеральної інспекції Генеральної прокуратури України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ОСОБА_10 </w:t>
      </w:r>
      <w:r w:rsidR="00C513FD" w:rsidRPr="007C73AE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на рішення </w:t>
      </w:r>
      <w:r w:rsidR="00C513FD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КДКП від </w:t>
      </w:r>
      <w:r w:rsidR="00C513FD" w:rsidRPr="007C73AE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4 жовтня 2017 року</w:t>
      </w:r>
      <w:r w:rsidR="00B95D2D"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 xml:space="preserve"> мотивувала</w:t>
      </w:r>
      <w:r w:rsidR="00830C61"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>,</w:t>
      </w:r>
      <w:r w:rsidR="00B95D2D"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 xml:space="preserve"> </w:t>
      </w:r>
      <w:r w:rsidR="00830C61"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 xml:space="preserve">зокрема </w:t>
      </w:r>
      <w:r w:rsidR="00B95D2D"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 xml:space="preserve">тим, що прокурорами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ОСОБА_11</w:t>
      </w:r>
      <w:r w:rsidR="00830C61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,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ОСОБА_12</w:t>
      </w:r>
      <w:r w:rsidR="00830C61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,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ОСОБА_13 </w:t>
      </w:r>
      <w:r w:rsidR="00872029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>і</w:t>
      </w:r>
      <w:r w:rsidR="00B95D2D"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>з підозрюваними укладалися формальні угоди про визнання винуватості, які всупереч вимогам пунктів 3,</w:t>
      </w:r>
      <w:r w:rsidR="00EC401A"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 xml:space="preserve"> </w:t>
      </w:r>
      <w:r w:rsidR="00B95D2D" w:rsidRPr="007C73AE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 w:eastAsia="uk-UA" w:bidi="uk-UA"/>
        </w:rPr>
        <w:t xml:space="preserve">4 статті 470, частини першої статті 472 </w:t>
      </w:r>
      <w:r w:rsidR="00C513FD" w:rsidRPr="007C73AE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 w:eastAsia="uk-UA" w:bidi="uk-UA"/>
        </w:rPr>
        <w:t xml:space="preserve">Кримінального процесуального кодексу України (далі </w:t>
      </w:r>
      <w:r w:rsidR="00EC401A" w:rsidRPr="007C73AE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 w:eastAsia="uk-UA" w:bidi="uk-UA"/>
        </w:rPr>
        <w:t>–</w:t>
      </w:r>
      <w:r w:rsidR="00C513FD" w:rsidRPr="007C73AE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 w:eastAsia="uk-UA" w:bidi="uk-UA"/>
        </w:rPr>
        <w:t xml:space="preserve"> К</w:t>
      </w:r>
      <w:r w:rsidR="00B95D2D" w:rsidRPr="007C73AE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 w:eastAsia="uk-UA" w:bidi="uk-UA"/>
        </w:rPr>
        <w:t>ПК України</w:t>
      </w:r>
      <w:r w:rsidR="00C513FD" w:rsidRPr="007C73AE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 w:eastAsia="uk-UA" w:bidi="uk-UA"/>
        </w:rPr>
        <w:t xml:space="preserve">) </w:t>
      </w:r>
      <w:r w:rsidR="00B95D2D"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>умов щодо викриття, запобігання, виявлення, припинення більшої кількості кримінальних правопорушень або взагалі не містили</w:t>
      </w:r>
      <w:r w:rsidR="00C513FD"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>,</w:t>
      </w:r>
      <w:r w:rsidR="00B95D2D" w:rsidRPr="007C73A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uk-UA" w:bidi="uk-UA"/>
        </w:rPr>
        <w:t xml:space="preserve"> або такі умови визначалися лише загальними формулюваннями без конкретизації сутності зобов’язань.</w:t>
      </w:r>
    </w:p>
    <w:p w:rsidR="00872029" w:rsidRPr="007C73AE" w:rsidRDefault="00F010CA" w:rsidP="004222B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uk-UA"/>
        </w:rPr>
      </w:pPr>
      <w:r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>Водночас</w:t>
      </w:r>
      <w:r w:rsidR="00B95D2D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</w:t>
      </w:r>
      <w:r w:rsidR="00872029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>при прийнятті рішення</w:t>
      </w:r>
      <w:r w:rsidR="00B95D2D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Вищ</w:t>
      </w:r>
      <w:r w:rsidR="00872029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>ій</w:t>
      </w:r>
      <w:r w:rsidR="00B95D2D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рад</w:t>
      </w:r>
      <w:r w:rsidR="00872029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>і</w:t>
      </w:r>
      <w:r w:rsidR="00B95D2D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правосуддя </w:t>
      </w:r>
      <w:r w:rsidR="00872029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>слід зважити</w:t>
      </w:r>
      <w:r w:rsidR="00B95D2D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</w:t>
      </w:r>
      <w:r w:rsidR="00872029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на </w:t>
      </w:r>
      <w:r w:rsidR="00B95D2D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ту обставину, що обвинувальні вироки, якими в установленому кримінальним </w:t>
      </w:r>
      <w:r w:rsidR="00B95D2D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lastRenderedPageBreak/>
        <w:t>процесуальним законодавством</w:t>
      </w:r>
      <w:r w:rsidR="00872029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України </w:t>
      </w:r>
      <w:r w:rsidR="00B95D2D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>порядку судами затверджено угоди про визнання винуватості, укладені між прокурорами</w:t>
      </w:r>
      <w:r w:rsidR="00B95D2D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ОСОБА_11</w:t>
      </w:r>
      <w:r w:rsidR="007C73AE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,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ОСОБА_12</w:t>
      </w:r>
      <w:r w:rsidR="007C73AE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,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ОСОБА_13</w:t>
      </w:r>
      <w:r w:rsidR="00B95D2D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 та</w:t>
      </w:r>
      <w:r w:rsidR="00B95D2D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 підозрюваними у кримінальних провадження, про які йдеться у рішенні </w:t>
      </w:r>
      <w:r w:rsidR="00872029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>КДКП</w:t>
      </w:r>
      <w:r w:rsidR="00407EA2"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>, набрали законної сили і ці судові рішення є чинними.</w:t>
      </w:r>
      <w:r w:rsidR="00B95D2D" w:rsidRPr="007C73AE"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uk-UA"/>
        </w:rPr>
        <w:t xml:space="preserve"> </w:t>
      </w:r>
    </w:p>
    <w:p w:rsidR="00B95D2D" w:rsidRPr="007C73AE" w:rsidRDefault="00B95D2D" w:rsidP="004222B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uk-UA"/>
        </w:rPr>
      </w:pPr>
      <w:r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>Згідно з положеннями частини сьомої статті 474 КПК України до дискреційних повноважень суду належить перевірка угод про визнання винуватості на відповідність вимогам КПК України та обов’язок відмовити у затвердженні такої угоди, якщо її умови суперечать вимогам КПК України та</w:t>
      </w:r>
      <w:r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/</w:t>
      </w:r>
      <w:r w:rsidRPr="007C73AE">
        <w:rPr>
          <w:rFonts w:ascii="Times New Roman CYR" w:hAnsi="Times New Roman CYR" w:cs="Times New Roman CYR"/>
          <w:i w:val="0"/>
          <w:sz w:val="28"/>
          <w:szCs w:val="28"/>
          <w:lang w:val="uk-UA"/>
        </w:rPr>
        <w:t xml:space="preserve">або закону, не відповідають інтересам суспільства; </w:t>
      </w:r>
      <w:r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у</w:t>
      </w:r>
      <w:r w:rsidRPr="007C73AE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uk-UA"/>
        </w:rPr>
        <w:t xml:space="preserve"> такому разі досудове розслідування або судове провадження продовжуються у загальному порядку.</w:t>
      </w:r>
    </w:p>
    <w:p w:rsidR="00B95D2D" w:rsidRPr="007C73AE" w:rsidRDefault="00B95D2D" w:rsidP="004222B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C73AE">
        <w:rPr>
          <w:color w:val="000000"/>
          <w:sz w:val="28"/>
          <w:szCs w:val="28"/>
          <w:lang w:val="uk-UA"/>
        </w:rPr>
        <w:t>Вирок або ухвала суду, які набрали законної сили, обов’язкові для осіб, які беруть участь у кримінальному провадженні, а також для усіх фізичних та юридичних осіб, органів державної влади та органів місцевого самоврядування, їх службових осіб, і підлягають виконанню на всій території України</w:t>
      </w:r>
      <w:r w:rsidRPr="007C73AE">
        <w:rPr>
          <w:rStyle w:val="rvts9"/>
          <w:rFonts w:eastAsiaTheme="majorEastAsia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(стаття 533 КПК України)</w:t>
      </w:r>
      <w:r w:rsidRPr="007C73AE">
        <w:rPr>
          <w:color w:val="000000"/>
          <w:sz w:val="28"/>
          <w:szCs w:val="28"/>
          <w:lang w:val="uk-UA"/>
        </w:rPr>
        <w:t>.</w:t>
      </w:r>
    </w:p>
    <w:p w:rsidR="00B95D2D" w:rsidRPr="007C73AE" w:rsidRDefault="00B95D2D" w:rsidP="004222B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rvts9"/>
          <w:rFonts w:eastAsiaTheme="majorEastAsia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Принцип обов’язковості судового рішення закріплений, </w:t>
      </w:r>
      <w:r w:rsidR="00872029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перш за все</w:t>
      </w:r>
      <w:r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, у положеннях статей 129, 129</w:t>
      </w:r>
      <w:r w:rsidRPr="007C73AE">
        <w:rPr>
          <w:rFonts w:ascii="Times New Roman" w:hAnsi="Times New Roman" w:cs="Times New Roman"/>
          <w:i w:val="0"/>
          <w:sz w:val="28"/>
          <w:szCs w:val="28"/>
          <w:vertAlign w:val="superscript"/>
          <w:lang w:val="uk-UA"/>
        </w:rPr>
        <w:t>1</w:t>
      </w:r>
      <w:r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Конституції України, частині другій статті 13 Закону України «Про судоустрій і статус суддів».</w:t>
      </w:r>
      <w:r w:rsidRPr="007C73AE">
        <w:rPr>
          <w:rStyle w:val="rvts9"/>
          <w:rFonts w:eastAsiaTheme="majorEastAsia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B95D2D" w:rsidRPr="007C73AE" w:rsidRDefault="00B95D2D" w:rsidP="004222B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r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Згідно з позицією Європейського суду з прав людини одним з основних аспектів верховенства права є принцип правової певності, який вимагає, крім іншого, щоб у випадках, коли суди винесли остаточне рішення з якогось питання, їхнє рішення не підлягало сумніву (рішення від 28 жовтня 1999 року у справі «</w:t>
      </w:r>
      <w:proofErr w:type="spellStart"/>
      <w:r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Брумареску</w:t>
      </w:r>
      <w:proofErr w:type="spellEnd"/>
      <w:r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 xml:space="preserve"> проти Румунії», від 6 вересня 2005 року у справі «</w:t>
      </w:r>
      <w:proofErr w:type="spellStart"/>
      <w:r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Салов</w:t>
      </w:r>
      <w:proofErr w:type="spellEnd"/>
      <w:r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 xml:space="preserve"> проти України»). На мою думку, цю позицію </w:t>
      </w:r>
      <w:r w:rsidR="00872029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Європейського суду з прав людини</w:t>
      </w:r>
      <w:r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 xml:space="preserve"> Вищою радою правосуддя </w:t>
      </w:r>
      <w:r w:rsidR="00872029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залишено поза увагою</w:t>
      </w:r>
      <w:r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.</w:t>
      </w:r>
    </w:p>
    <w:p w:rsidR="00872029" w:rsidRPr="007C73AE" w:rsidRDefault="00872029" w:rsidP="004222B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r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Також Вища рада правосуддя дійшла висновку, що</w:t>
      </w:r>
      <w:r w:rsidR="00B33B0A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 xml:space="preserve"> прокурори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ОСОБА_11</w:t>
      </w:r>
      <w:r w:rsidR="007C73AE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,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ОСОБА_12</w:t>
      </w:r>
      <w:r w:rsidR="007C73AE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,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ОСОБА_13</w:t>
      </w:r>
      <w:r w:rsidR="0055334F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>,</w:t>
      </w:r>
      <w:r w:rsidR="00B33B0A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 </w:t>
      </w:r>
      <w:r w:rsidR="0055334F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порушуючи вимоги статті 2 КПК України,</w:t>
      </w:r>
      <w:r w:rsidR="0055334F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 </w:t>
      </w:r>
      <w:r w:rsidR="00B33B0A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не вживали належних заходів щодо притягнення до кримінальної відповідальності фактичних власників </w:t>
      </w:r>
      <w:proofErr w:type="spellStart"/>
      <w:r w:rsidR="00B33B0A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>автогазозаправних</w:t>
      </w:r>
      <w:proofErr w:type="spellEnd"/>
      <w:r w:rsidR="00B33B0A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 пунктів, обмежуючись притягненням операторів-касирів, які призначалися відповідальними за стан охорони праці і пожежної безпеки наказами, датованими незадовго до проведення оглядів місця події, з якими </w:t>
      </w:r>
      <w:r w:rsidR="0055334F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>у</w:t>
      </w:r>
      <w:r w:rsidR="00B33B0A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 подальшому укладалися формальні угоди про визнання винуватості. </w:t>
      </w:r>
      <w:r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 xml:space="preserve"> </w:t>
      </w:r>
    </w:p>
    <w:p w:rsidR="00EC401A" w:rsidRPr="007C73AE" w:rsidRDefault="00EC401A" w:rsidP="004222BA">
      <w:pPr>
        <w:spacing w:after="0" w:line="240" w:lineRule="auto"/>
        <w:ind w:firstLine="851"/>
        <w:jc w:val="both"/>
        <w:rPr>
          <w:i w:val="0"/>
          <w:lang w:val="uk-UA"/>
        </w:rPr>
      </w:pPr>
      <w:r w:rsidRPr="007C73AE">
        <w:rPr>
          <w:rStyle w:val="21"/>
          <w:rFonts w:eastAsiaTheme="majorEastAsia"/>
          <w:i w:val="0"/>
          <w:color w:val="000000"/>
          <w:lang w:val="uk-UA"/>
        </w:rPr>
        <w:t xml:space="preserve">Не погоджуюся з рішенням Вищої ради правосуддя в частині притягнення прокурорів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ОСОБА_11</w:t>
      </w:r>
      <w:r w:rsidR="007C73AE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,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ОСОБА_12</w:t>
      </w:r>
      <w:r w:rsidR="007C73AE" w:rsidRP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,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ОСОБА_13 </w:t>
      </w:r>
      <w:r w:rsidRPr="007C73AE">
        <w:rPr>
          <w:rStyle w:val="21"/>
          <w:rFonts w:eastAsiaTheme="majorEastAsia"/>
          <w:i w:val="0"/>
          <w:color w:val="000000"/>
          <w:lang w:val="uk-UA"/>
        </w:rPr>
        <w:t>до дисциплінарної відповідальності за неналежне виконання службових обов’язків у зв’язку із зазначеними діяннями з огляду на таке.</w:t>
      </w:r>
    </w:p>
    <w:p w:rsidR="00EC401A" w:rsidRPr="007C73AE" w:rsidRDefault="00EC401A" w:rsidP="004222BA">
      <w:pPr>
        <w:spacing w:after="0" w:line="240" w:lineRule="auto"/>
        <w:ind w:firstLine="851"/>
        <w:jc w:val="both"/>
        <w:rPr>
          <w:i w:val="0"/>
          <w:lang w:val="uk-UA"/>
        </w:rPr>
      </w:pPr>
      <w:r w:rsidRPr="007C73AE">
        <w:rPr>
          <w:rStyle w:val="21"/>
          <w:rFonts w:eastAsiaTheme="majorEastAsia"/>
          <w:i w:val="0"/>
          <w:color w:val="000000"/>
          <w:lang w:val="uk-UA"/>
        </w:rPr>
        <w:t>Відповідно до частини третьої статті 37 КПК України, у виняткових випадках повноваження прокурора можуть бути покладені керівником органу прокуратури на іншого прокурора цього органу прокуратури через неефективне здійснення прокурором нагляду за дотриманням законів під час проведення досудового розслідування.</w:t>
      </w:r>
    </w:p>
    <w:p w:rsidR="00EC401A" w:rsidRPr="007C73AE" w:rsidRDefault="00EC401A" w:rsidP="004222BA">
      <w:pPr>
        <w:spacing w:after="0" w:line="240" w:lineRule="auto"/>
        <w:ind w:right="1" w:firstLine="851"/>
        <w:jc w:val="both"/>
        <w:rPr>
          <w:i w:val="0"/>
          <w:lang w:val="uk-UA"/>
        </w:rPr>
      </w:pPr>
      <w:r w:rsidRPr="007C73AE">
        <w:rPr>
          <w:rStyle w:val="21"/>
          <w:rFonts w:eastAsiaTheme="majorEastAsia"/>
          <w:i w:val="0"/>
          <w:color w:val="000000"/>
          <w:lang w:val="uk-UA"/>
        </w:rPr>
        <w:t>Рішення, дії чи бездіяльність прокурора в межах кримінального процесу можуть бути оскаржені виключно у порядку, встановленому КПК України. Якщо</w:t>
      </w:r>
      <w:r w:rsidR="0055334F" w:rsidRPr="007C73AE">
        <w:rPr>
          <w:rStyle w:val="21"/>
          <w:rFonts w:eastAsiaTheme="majorEastAsia"/>
          <w:i w:val="0"/>
          <w:color w:val="000000"/>
          <w:lang w:val="uk-UA"/>
        </w:rPr>
        <w:t xml:space="preserve"> </w:t>
      </w:r>
      <w:r w:rsidRPr="007C73AE">
        <w:rPr>
          <w:rStyle w:val="21"/>
          <w:rFonts w:eastAsiaTheme="majorEastAsia"/>
          <w:i w:val="0"/>
          <w:color w:val="000000"/>
          <w:lang w:val="uk-UA"/>
        </w:rPr>
        <w:t xml:space="preserve">за результатами розгляду скарги на рішення, дії чи бездіяльність прокурора в </w:t>
      </w:r>
      <w:r w:rsidRPr="007C73AE">
        <w:rPr>
          <w:rStyle w:val="21"/>
          <w:rFonts w:eastAsiaTheme="majorEastAsia"/>
          <w:i w:val="0"/>
          <w:color w:val="000000"/>
          <w:lang w:val="uk-UA"/>
        </w:rPr>
        <w:lastRenderedPageBreak/>
        <w:t>межах кримінального процесу встановлено факти порушення прокурором прав осіб або вимог закону, таке рішення може бути підставою для дисциплінарного провадження (абзац другий частини першої статті 45 Закону України «Про прокуратуру»).</w:t>
      </w:r>
    </w:p>
    <w:p w:rsidR="00EC401A" w:rsidRPr="007C73AE" w:rsidRDefault="00EC401A" w:rsidP="00EC401A">
      <w:pPr>
        <w:spacing w:after="0" w:line="240" w:lineRule="auto"/>
        <w:ind w:firstLine="880"/>
        <w:jc w:val="both"/>
        <w:rPr>
          <w:i w:val="0"/>
          <w:lang w:val="uk-UA"/>
        </w:rPr>
      </w:pPr>
      <w:r w:rsidRPr="007C73AE">
        <w:rPr>
          <w:rStyle w:val="21"/>
          <w:rFonts w:eastAsiaTheme="majorEastAsia"/>
          <w:i w:val="0"/>
          <w:color w:val="000000"/>
          <w:lang w:val="uk-UA"/>
        </w:rPr>
        <w:t xml:space="preserve">Як зазначила КДКП в оскаржуваному рішенні та встановлено мною під час перевірки доводів скарги керівника Генеральної інспекції Генеральної прокуратури України </w:t>
      </w:r>
      <w:r w:rsidR="007C73AE">
        <w:rPr>
          <w:rStyle w:val="21"/>
          <w:rFonts w:eastAsiaTheme="majorEastAsia"/>
          <w:i w:val="0"/>
          <w:color w:val="000000"/>
          <w:lang w:val="uk-UA" w:eastAsia="ru-RU"/>
        </w:rPr>
        <w:t>ОСОБА_10</w:t>
      </w:r>
      <w:r w:rsidR="0055334F" w:rsidRPr="007C73AE">
        <w:rPr>
          <w:rStyle w:val="21"/>
          <w:rFonts w:eastAsiaTheme="majorEastAsia"/>
          <w:i w:val="0"/>
          <w:color w:val="000000"/>
          <w:lang w:val="uk-UA"/>
        </w:rPr>
        <w:t>,</w:t>
      </w:r>
      <w:r w:rsidRPr="007C73AE">
        <w:rPr>
          <w:rStyle w:val="21"/>
          <w:rFonts w:eastAsiaTheme="majorEastAsia"/>
          <w:i w:val="0"/>
          <w:color w:val="000000"/>
          <w:lang w:val="uk-UA"/>
        </w:rPr>
        <w:t xml:space="preserve"> керівниками органів прокуратур, у яких прокурори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ОСОБА_11</w:t>
      </w:r>
      <w:r w:rsidR="007C73AE" w:rsidRPr="00044F5D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,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</w:t>
      </w:r>
      <w:r w:rsidR="007C73AE">
        <w:rPr>
          <w:rFonts w:ascii="Times New Roman" w:hAnsi="Times New Roman" w:cs="Times New Roman"/>
          <w:i w:val="0"/>
          <w:sz w:val="28"/>
          <w:szCs w:val="28"/>
          <w:lang w:val="uk-UA"/>
        </w:rPr>
        <w:t>2</w:t>
      </w:r>
      <w:r w:rsidR="007C73AE" w:rsidRPr="00044F5D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>,</w:t>
      </w:r>
      <w:r w:rsid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</w:t>
      </w:r>
      <w:r w:rsidR="007C73A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3 </w:t>
      </w:r>
      <w:r w:rsidRPr="007C73AE">
        <w:rPr>
          <w:rStyle w:val="21"/>
          <w:rFonts w:eastAsiaTheme="majorEastAsia"/>
          <w:i w:val="0"/>
          <w:color w:val="000000"/>
          <w:lang w:val="uk-UA"/>
        </w:rPr>
        <w:t xml:space="preserve">працюють, не приймалися рішення про покладення повноважень на інших прокурорів через неефективне здійснення зазначеними прокурорами нагляду за дотриманням законів під час досудових розслідувань, а рішення, дії чи бездіяльність прокурорів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ОСОБА_11</w:t>
      </w:r>
      <w:r w:rsidR="007C73AE" w:rsidRPr="00044F5D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,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</w:t>
      </w:r>
      <w:r w:rsidR="007C73AE">
        <w:rPr>
          <w:rFonts w:ascii="Times New Roman" w:hAnsi="Times New Roman" w:cs="Times New Roman"/>
          <w:i w:val="0"/>
          <w:sz w:val="28"/>
          <w:szCs w:val="28"/>
          <w:lang w:val="uk-UA"/>
        </w:rPr>
        <w:t>2</w:t>
      </w:r>
      <w:r w:rsidR="007C73AE" w:rsidRPr="00044F5D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>,</w:t>
      </w:r>
      <w:r w:rsidR="007C73AE">
        <w:rPr>
          <w:rFonts w:ascii="Times New Roman" w:hAnsi="Times New Roman" w:cs="Times New Roman"/>
          <w:i w:val="0"/>
          <w:color w:val="000000"/>
          <w:sz w:val="28"/>
          <w:szCs w:val="28"/>
          <w:lang w:val="uk-UA" w:eastAsia="uk-UA" w:bidi="uk-UA"/>
        </w:rPr>
        <w:t xml:space="preserve"> </w:t>
      </w:r>
      <w:r w:rsidR="007C73AE" w:rsidRPr="007C73AE">
        <w:rPr>
          <w:rFonts w:ascii="Times New Roman" w:hAnsi="Times New Roman" w:cs="Times New Roman"/>
          <w:i w:val="0"/>
          <w:sz w:val="28"/>
          <w:szCs w:val="28"/>
          <w:lang w:val="uk-UA"/>
        </w:rPr>
        <w:t>ОСОБА_1</w:t>
      </w:r>
      <w:r w:rsidR="007C73AE">
        <w:rPr>
          <w:rFonts w:ascii="Times New Roman" w:hAnsi="Times New Roman" w:cs="Times New Roman"/>
          <w:i w:val="0"/>
          <w:sz w:val="28"/>
          <w:szCs w:val="28"/>
          <w:lang w:val="uk-UA"/>
        </w:rPr>
        <w:t>3</w:t>
      </w:r>
      <w:r w:rsidRPr="007C73AE">
        <w:rPr>
          <w:rStyle w:val="21"/>
          <w:rFonts w:eastAsiaTheme="majorEastAsia"/>
          <w:i w:val="0"/>
          <w:color w:val="000000"/>
          <w:lang w:val="uk-UA"/>
        </w:rPr>
        <w:t xml:space="preserve"> в порядку, визначеному КПК України, не </w:t>
      </w:r>
      <w:proofErr w:type="spellStart"/>
      <w:r w:rsidRPr="007C73AE">
        <w:rPr>
          <w:rStyle w:val="21"/>
          <w:rFonts w:eastAsiaTheme="majorEastAsia"/>
          <w:i w:val="0"/>
          <w:color w:val="000000"/>
          <w:lang w:val="uk-UA"/>
        </w:rPr>
        <w:t>оскаржувалися</w:t>
      </w:r>
      <w:proofErr w:type="spellEnd"/>
      <w:r w:rsidRPr="007C73AE">
        <w:rPr>
          <w:rStyle w:val="21"/>
          <w:rFonts w:eastAsiaTheme="majorEastAsia"/>
          <w:i w:val="0"/>
          <w:color w:val="000000"/>
          <w:lang w:val="uk-UA"/>
        </w:rPr>
        <w:t>.</w:t>
      </w:r>
    </w:p>
    <w:p w:rsidR="00EC401A" w:rsidRPr="007C73AE" w:rsidRDefault="00EC401A" w:rsidP="00EC401A">
      <w:pPr>
        <w:spacing w:after="0" w:line="240" w:lineRule="auto"/>
        <w:ind w:firstLine="880"/>
        <w:jc w:val="both"/>
        <w:rPr>
          <w:i w:val="0"/>
          <w:lang w:val="uk-UA"/>
        </w:rPr>
      </w:pPr>
      <w:r w:rsidRPr="007C73AE">
        <w:rPr>
          <w:rStyle w:val="21"/>
          <w:rFonts w:eastAsiaTheme="majorEastAsia"/>
          <w:i w:val="0"/>
          <w:color w:val="000000"/>
          <w:lang w:val="uk-UA"/>
        </w:rPr>
        <w:t xml:space="preserve">З огляду на наведене вважаю, що рішення </w:t>
      </w:r>
      <w:proofErr w:type="spellStart"/>
      <w:r w:rsidRPr="007C73AE">
        <w:rPr>
          <w:rStyle w:val="21"/>
          <w:rFonts w:eastAsiaTheme="majorEastAsia"/>
          <w:i w:val="0"/>
          <w:color w:val="000000"/>
          <w:lang w:val="uk-UA"/>
        </w:rPr>
        <w:t>Кваліфікаційно-</w:t>
      </w:r>
      <w:proofErr w:type="spellEnd"/>
      <w:r w:rsidRPr="007C73AE">
        <w:rPr>
          <w:rStyle w:val="21"/>
          <w:rFonts w:eastAsiaTheme="majorEastAsia"/>
          <w:i w:val="0"/>
          <w:color w:val="000000"/>
          <w:lang w:val="uk-UA"/>
        </w:rPr>
        <w:t xml:space="preserve"> дисциплінарної комісії прокурорів від 4 жовтня 2017 року № 179дп-17 слід було залишити без змін.</w:t>
      </w:r>
    </w:p>
    <w:p w:rsidR="006A1B3C" w:rsidRPr="007C73AE" w:rsidRDefault="006A1B3C" w:rsidP="00550ED9">
      <w:pPr>
        <w:pStyle w:val="aa"/>
        <w:ind w:firstLine="708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</w:p>
    <w:p w:rsidR="00407EA2" w:rsidRPr="007C73AE" w:rsidRDefault="00407EA2" w:rsidP="00550ED9">
      <w:pPr>
        <w:pStyle w:val="aa"/>
        <w:ind w:firstLine="708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</w:p>
    <w:p w:rsidR="00E36F2A" w:rsidRPr="007C73AE" w:rsidRDefault="00E36F2A" w:rsidP="00E36F2A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7C73A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Член Вищої ради правосуддя</w:t>
      </w:r>
      <w:r w:rsidRPr="007C73A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ab/>
      </w:r>
      <w:r w:rsidR="00D27850" w:rsidRPr="007C73A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</w:t>
      </w:r>
      <w:r w:rsidRPr="007C73A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                     </w:t>
      </w:r>
      <w:r w:rsidR="00105016" w:rsidRPr="007C73A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                     </w:t>
      </w:r>
      <w:r w:rsidRPr="007C73A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В.Е. </w:t>
      </w:r>
      <w:proofErr w:type="spellStart"/>
      <w:r w:rsidRPr="007C73A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Беляневич</w:t>
      </w:r>
      <w:proofErr w:type="spellEnd"/>
    </w:p>
    <w:sectPr w:rsidR="00E36F2A" w:rsidRPr="007C73AE" w:rsidSect="004222BA">
      <w:headerReference w:type="default" r:id="rId10"/>
      <w:pgSz w:w="11906" w:h="16838"/>
      <w:pgMar w:top="1135" w:right="70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870" w:rsidRDefault="00EC3870" w:rsidP="00163DEA">
      <w:pPr>
        <w:spacing w:after="0" w:line="240" w:lineRule="auto"/>
      </w:pPr>
      <w:r>
        <w:separator/>
      </w:r>
    </w:p>
  </w:endnote>
  <w:endnote w:type="continuationSeparator" w:id="0">
    <w:p w:rsidR="00EC3870" w:rsidRDefault="00EC3870" w:rsidP="00163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870" w:rsidRDefault="00EC3870" w:rsidP="00163DEA">
      <w:pPr>
        <w:spacing w:after="0" w:line="240" w:lineRule="auto"/>
      </w:pPr>
      <w:r>
        <w:separator/>
      </w:r>
    </w:p>
  </w:footnote>
  <w:footnote w:type="continuationSeparator" w:id="0">
    <w:p w:rsidR="00EC3870" w:rsidRDefault="00EC3870" w:rsidP="00163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2794731"/>
      <w:docPartObj>
        <w:docPartGallery w:val="Page Numbers (Top of Page)"/>
        <w:docPartUnique/>
      </w:docPartObj>
    </w:sdtPr>
    <w:sdtContent>
      <w:p w:rsidR="007438EE" w:rsidRDefault="00764AFD">
        <w:pPr>
          <w:pStyle w:val="af6"/>
          <w:jc w:val="center"/>
        </w:pPr>
        <w:r>
          <w:fldChar w:fldCharType="begin"/>
        </w:r>
        <w:r w:rsidR="00087764">
          <w:instrText xml:space="preserve"> PAGE   \* MERGEFORMAT </w:instrText>
        </w:r>
        <w:r>
          <w:fldChar w:fldCharType="separate"/>
        </w:r>
        <w:r w:rsidR="007C73A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438EE" w:rsidRDefault="007438EE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4A54"/>
    <w:multiLevelType w:val="multilevel"/>
    <w:tmpl w:val="8E003206"/>
    <w:lvl w:ilvl="0">
      <w:start w:val="2017"/>
      <w:numFmt w:val="decimal"/>
      <w:lvlText w:val="26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980019"/>
    <w:multiLevelType w:val="multilevel"/>
    <w:tmpl w:val="D33E944A"/>
    <w:lvl w:ilvl="0">
      <w:start w:val="2017"/>
      <w:numFmt w:val="decimal"/>
      <w:lvlText w:val="18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06727C"/>
    <w:multiLevelType w:val="multilevel"/>
    <w:tmpl w:val="898C5F7A"/>
    <w:lvl w:ilvl="0">
      <w:start w:val="2017"/>
      <w:numFmt w:val="decimal"/>
      <w:lvlText w:val="18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F3758C"/>
    <w:multiLevelType w:val="multilevel"/>
    <w:tmpl w:val="A18293E8"/>
    <w:lvl w:ilvl="0">
      <w:start w:val="2017"/>
      <w:numFmt w:val="decimal"/>
      <w:lvlText w:val="03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0F7711"/>
    <w:multiLevelType w:val="multilevel"/>
    <w:tmpl w:val="3868696E"/>
    <w:lvl w:ilvl="0">
      <w:start w:val="2017"/>
      <w:numFmt w:val="decimal"/>
      <w:lvlText w:val="16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842559"/>
    <w:multiLevelType w:val="multilevel"/>
    <w:tmpl w:val="ED2C3A3C"/>
    <w:lvl w:ilvl="0">
      <w:start w:val="2017"/>
      <w:numFmt w:val="decimal"/>
      <w:lvlText w:val="14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F46ACD"/>
    <w:multiLevelType w:val="multilevel"/>
    <w:tmpl w:val="2F9010B6"/>
    <w:lvl w:ilvl="0">
      <w:start w:val="2017"/>
      <w:numFmt w:val="decimal"/>
      <w:lvlText w:val="04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F2A"/>
    <w:rsid w:val="000059C1"/>
    <w:rsid w:val="00015424"/>
    <w:rsid w:val="000162C0"/>
    <w:rsid w:val="00020B58"/>
    <w:rsid w:val="0002758F"/>
    <w:rsid w:val="00027C89"/>
    <w:rsid w:val="00044F5D"/>
    <w:rsid w:val="000620CB"/>
    <w:rsid w:val="00072199"/>
    <w:rsid w:val="00072FD2"/>
    <w:rsid w:val="0007508F"/>
    <w:rsid w:val="00082311"/>
    <w:rsid w:val="00084619"/>
    <w:rsid w:val="0008759C"/>
    <w:rsid w:val="00087764"/>
    <w:rsid w:val="00097A9E"/>
    <w:rsid w:val="000B2BF1"/>
    <w:rsid w:val="000C3F03"/>
    <w:rsid w:val="000D0DF3"/>
    <w:rsid w:val="000D5B8B"/>
    <w:rsid w:val="000D7FBA"/>
    <w:rsid w:val="000E166E"/>
    <w:rsid w:val="000E3592"/>
    <w:rsid w:val="000E57A9"/>
    <w:rsid w:val="0010012D"/>
    <w:rsid w:val="0010339E"/>
    <w:rsid w:val="00104F3A"/>
    <w:rsid w:val="00105016"/>
    <w:rsid w:val="00112E3A"/>
    <w:rsid w:val="00134B11"/>
    <w:rsid w:val="001423C2"/>
    <w:rsid w:val="001477C3"/>
    <w:rsid w:val="00154ACA"/>
    <w:rsid w:val="001572FC"/>
    <w:rsid w:val="00163DEA"/>
    <w:rsid w:val="00167BCF"/>
    <w:rsid w:val="001710F2"/>
    <w:rsid w:val="00171454"/>
    <w:rsid w:val="001740CA"/>
    <w:rsid w:val="00174A15"/>
    <w:rsid w:val="00174B61"/>
    <w:rsid w:val="00185247"/>
    <w:rsid w:val="00186918"/>
    <w:rsid w:val="0019078F"/>
    <w:rsid w:val="00194351"/>
    <w:rsid w:val="001A0EA7"/>
    <w:rsid w:val="001A42D6"/>
    <w:rsid w:val="001B051E"/>
    <w:rsid w:val="001B748D"/>
    <w:rsid w:val="001D7191"/>
    <w:rsid w:val="00206378"/>
    <w:rsid w:val="00206F0A"/>
    <w:rsid w:val="002148EB"/>
    <w:rsid w:val="00214A18"/>
    <w:rsid w:val="00227C96"/>
    <w:rsid w:val="0023214A"/>
    <w:rsid w:val="00256742"/>
    <w:rsid w:val="00297091"/>
    <w:rsid w:val="002A35B6"/>
    <w:rsid w:val="002A3EA6"/>
    <w:rsid w:val="003142BA"/>
    <w:rsid w:val="0031630D"/>
    <w:rsid w:val="00325160"/>
    <w:rsid w:val="00326D75"/>
    <w:rsid w:val="00327585"/>
    <w:rsid w:val="00340E1D"/>
    <w:rsid w:val="0034647E"/>
    <w:rsid w:val="003515CE"/>
    <w:rsid w:val="003733E5"/>
    <w:rsid w:val="00375F3F"/>
    <w:rsid w:val="00393218"/>
    <w:rsid w:val="003B7BA1"/>
    <w:rsid w:val="003C3757"/>
    <w:rsid w:val="003D5BDA"/>
    <w:rsid w:val="00407EA2"/>
    <w:rsid w:val="00412FEC"/>
    <w:rsid w:val="00420A24"/>
    <w:rsid w:val="004222BA"/>
    <w:rsid w:val="0044339E"/>
    <w:rsid w:val="00445A45"/>
    <w:rsid w:val="00445D58"/>
    <w:rsid w:val="00451FF1"/>
    <w:rsid w:val="0047231C"/>
    <w:rsid w:val="004766A1"/>
    <w:rsid w:val="00484362"/>
    <w:rsid w:val="004864BC"/>
    <w:rsid w:val="004B10F7"/>
    <w:rsid w:val="004C6D4D"/>
    <w:rsid w:val="004F063F"/>
    <w:rsid w:val="005010CC"/>
    <w:rsid w:val="00545D32"/>
    <w:rsid w:val="00550BF8"/>
    <w:rsid w:val="00550ED9"/>
    <w:rsid w:val="0055334F"/>
    <w:rsid w:val="0057274F"/>
    <w:rsid w:val="005878B5"/>
    <w:rsid w:val="00592309"/>
    <w:rsid w:val="00592E34"/>
    <w:rsid w:val="0059573C"/>
    <w:rsid w:val="005A1D63"/>
    <w:rsid w:val="005A393D"/>
    <w:rsid w:val="005A6627"/>
    <w:rsid w:val="005B4C3C"/>
    <w:rsid w:val="005B4D94"/>
    <w:rsid w:val="005D4B98"/>
    <w:rsid w:val="005D7628"/>
    <w:rsid w:val="005F2AA9"/>
    <w:rsid w:val="00611B45"/>
    <w:rsid w:val="0061342F"/>
    <w:rsid w:val="00622573"/>
    <w:rsid w:val="00627C4C"/>
    <w:rsid w:val="00632F71"/>
    <w:rsid w:val="00637B35"/>
    <w:rsid w:val="00645BD7"/>
    <w:rsid w:val="0065355A"/>
    <w:rsid w:val="00664342"/>
    <w:rsid w:val="00672975"/>
    <w:rsid w:val="0068244F"/>
    <w:rsid w:val="00683F43"/>
    <w:rsid w:val="006A1B3C"/>
    <w:rsid w:val="006A26A2"/>
    <w:rsid w:val="006C2214"/>
    <w:rsid w:val="006C4E59"/>
    <w:rsid w:val="006C5884"/>
    <w:rsid w:val="006D040C"/>
    <w:rsid w:val="006D0F74"/>
    <w:rsid w:val="006E505D"/>
    <w:rsid w:val="006E619C"/>
    <w:rsid w:val="007025A3"/>
    <w:rsid w:val="00702728"/>
    <w:rsid w:val="0070676D"/>
    <w:rsid w:val="0073082A"/>
    <w:rsid w:val="00732BE9"/>
    <w:rsid w:val="007420B8"/>
    <w:rsid w:val="007438EE"/>
    <w:rsid w:val="0074429E"/>
    <w:rsid w:val="007603DC"/>
    <w:rsid w:val="00764AFD"/>
    <w:rsid w:val="007673A3"/>
    <w:rsid w:val="0077088D"/>
    <w:rsid w:val="0078107C"/>
    <w:rsid w:val="007A76C4"/>
    <w:rsid w:val="007B4D56"/>
    <w:rsid w:val="007C4AA6"/>
    <w:rsid w:val="007C73AE"/>
    <w:rsid w:val="007D1379"/>
    <w:rsid w:val="007D1C7E"/>
    <w:rsid w:val="007D4B58"/>
    <w:rsid w:val="007D5BC3"/>
    <w:rsid w:val="007E0D58"/>
    <w:rsid w:val="007E1C3A"/>
    <w:rsid w:val="007F4E00"/>
    <w:rsid w:val="007F5305"/>
    <w:rsid w:val="007F7643"/>
    <w:rsid w:val="00802E37"/>
    <w:rsid w:val="00830C61"/>
    <w:rsid w:val="00836CAB"/>
    <w:rsid w:val="00851974"/>
    <w:rsid w:val="00853C61"/>
    <w:rsid w:val="00856DBE"/>
    <w:rsid w:val="00866137"/>
    <w:rsid w:val="00872029"/>
    <w:rsid w:val="008736FD"/>
    <w:rsid w:val="00883915"/>
    <w:rsid w:val="00894734"/>
    <w:rsid w:val="0089508A"/>
    <w:rsid w:val="008951E0"/>
    <w:rsid w:val="008A3976"/>
    <w:rsid w:val="008B11AF"/>
    <w:rsid w:val="008C2EF4"/>
    <w:rsid w:val="008D2F30"/>
    <w:rsid w:val="008D35DA"/>
    <w:rsid w:val="008D39C1"/>
    <w:rsid w:val="00903A1C"/>
    <w:rsid w:val="00921EDD"/>
    <w:rsid w:val="00940EE5"/>
    <w:rsid w:val="0094233E"/>
    <w:rsid w:val="00943C04"/>
    <w:rsid w:val="0095739C"/>
    <w:rsid w:val="0096075E"/>
    <w:rsid w:val="00966A5D"/>
    <w:rsid w:val="009728F4"/>
    <w:rsid w:val="00984016"/>
    <w:rsid w:val="009964DE"/>
    <w:rsid w:val="0099799C"/>
    <w:rsid w:val="009A5B82"/>
    <w:rsid w:val="009B6A4F"/>
    <w:rsid w:val="009B6E66"/>
    <w:rsid w:val="009B76B6"/>
    <w:rsid w:val="009B790C"/>
    <w:rsid w:val="009C63DF"/>
    <w:rsid w:val="009D32CB"/>
    <w:rsid w:val="009D74BF"/>
    <w:rsid w:val="009F28C1"/>
    <w:rsid w:val="00A06354"/>
    <w:rsid w:val="00A074C6"/>
    <w:rsid w:val="00A30187"/>
    <w:rsid w:val="00A312F7"/>
    <w:rsid w:val="00A33A6B"/>
    <w:rsid w:val="00A4358D"/>
    <w:rsid w:val="00A715FE"/>
    <w:rsid w:val="00A71937"/>
    <w:rsid w:val="00A81068"/>
    <w:rsid w:val="00A82A83"/>
    <w:rsid w:val="00AA513F"/>
    <w:rsid w:val="00AA63A7"/>
    <w:rsid w:val="00AE1D6E"/>
    <w:rsid w:val="00B22FE0"/>
    <w:rsid w:val="00B25B4A"/>
    <w:rsid w:val="00B33B0A"/>
    <w:rsid w:val="00B4023D"/>
    <w:rsid w:val="00B73B94"/>
    <w:rsid w:val="00B73F0D"/>
    <w:rsid w:val="00B87195"/>
    <w:rsid w:val="00B95D2D"/>
    <w:rsid w:val="00BA2E5A"/>
    <w:rsid w:val="00BB66AB"/>
    <w:rsid w:val="00BB6B38"/>
    <w:rsid w:val="00BB7355"/>
    <w:rsid w:val="00BC2AA4"/>
    <w:rsid w:val="00BD573A"/>
    <w:rsid w:val="00BD5F05"/>
    <w:rsid w:val="00BD5F68"/>
    <w:rsid w:val="00BE378A"/>
    <w:rsid w:val="00C07979"/>
    <w:rsid w:val="00C335EA"/>
    <w:rsid w:val="00C33E47"/>
    <w:rsid w:val="00C3645D"/>
    <w:rsid w:val="00C41158"/>
    <w:rsid w:val="00C513FD"/>
    <w:rsid w:val="00C5289E"/>
    <w:rsid w:val="00C603BF"/>
    <w:rsid w:val="00C97A1B"/>
    <w:rsid w:val="00CB2031"/>
    <w:rsid w:val="00CC06A3"/>
    <w:rsid w:val="00CD2D32"/>
    <w:rsid w:val="00CD49FC"/>
    <w:rsid w:val="00CF1E28"/>
    <w:rsid w:val="00CF355C"/>
    <w:rsid w:val="00D02022"/>
    <w:rsid w:val="00D05D79"/>
    <w:rsid w:val="00D26C78"/>
    <w:rsid w:val="00D27850"/>
    <w:rsid w:val="00D33295"/>
    <w:rsid w:val="00D34171"/>
    <w:rsid w:val="00D4247E"/>
    <w:rsid w:val="00D82386"/>
    <w:rsid w:val="00D906C9"/>
    <w:rsid w:val="00D91124"/>
    <w:rsid w:val="00D95AFA"/>
    <w:rsid w:val="00DB5EFC"/>
    <w:rsid w:val="00DD3934"/>
    <w:rsid w:val="00DE41F8"/>
    <w:rsid w:val="00DF0ED7"/>
    <w:rsid w:val="00DF14F5"/>
    <w:rsid w:val="00DF7CC8"/>
    <w:rsid w:val="00E11B82"/>
    <w:rsid w:val="00E26CEC"/>
    <w:rsid w:val="00E31BEC"/>
    <w:rsid w:val="00E35FA7"/>
    <w:rsid w:val="00E36F2A"/>
    <w:rsid w:val="00E4722D"/>
    <w:rsid w:val="00E5782D"/>
    <w:rsid w:val="00E63EDB"/>
    <w:rsid w:val="00E9223A"/>
    <w:rsid w:val="00EA1E34"/>
    <w:rsid w:val="00EB28EC"/>
    <w:rsid w:val="00EC3870"/>
    <w:rsid w:val="00EC401A"/>
    <w:rsid w:val="00EC40F7"/>
    <w:rsid w:val="00EC7799"/>
    <w:rsid w:val="00EE3A29"/>
    <w:rsid w:val="00EF38CB"/>
    <w:rsid w:val="00EF4E3C"/>
    <w:rsid w:val="00EF6DD9"/>
    <w:rsid w:val="00F006A5"/>
    <w:rsid w:val="00F010CA"/>
    <w:rsid w:val="00F140F9"/>
    <w:rsid w:val="00F419E1"/>
    <w:rsid w:val="00F52CA5"/>
    <w:rsid w:val="00F52E4D"/>
    <w:rsid w:val="00F64557"/>
    <w:rsid w:val="00F7441F"/>
    <w:rsid w:val="00F87492"/>
    <w:rsid w:val="00F913B4"/>
    <w:rsid w:val="00F91CAF"/>
    <w:rsid w:val="00FA69DF"/>
    <w:rsid w:val="00FB2E1A"/>
    <w:rsid w:val="00FE24D5"/>
    <w:rsid w:val="00FF7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2A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006A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F006A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6A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6A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6A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6A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6A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6A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6A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6A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F006A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006A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006A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06A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06A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006A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006A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006A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006A5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006A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 Знак"/>
    <w:basedOn w:val="a0"/>
    <w:link w:val="a4"/>
    <w:uiPriority w:val="10"/>
    <w:rsid w:val="00F006A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006A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F006A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006A5"/>
    <w:rPr>
      <w:b/>
      <w:bCs/>
      <w:spacing w:val="0"/>
    </w:rPr>
  </w:style>
  <w:style w:type="character" w:styleId="a9">
    <w:name w:val="Emphasis"/>
    <w:uiPriority w:val="20"/>
    <w:qFormat/>
    <w:rsid w:val="00F006A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006A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006A5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F006A5"/>
    <w:rPr>
      <w:i w:val="0"/>
      <w:iCs w:val="0"/>
      <w:color w:val="943634" w:themeColor="accent2" w:themeShade="BF"/>
    </w:rPr>
  </w:style>
  <w:style w:type="character" w:customStyle="1" w:styleId="ad">
    <w:name w:val="Цитація Знак"/>
    <w:basedOn w:val="a0"/>
    <w:link w:val="ac"/>
    <w:uiPriority w:val="29"/>
    <w:rsid w:val="00F006A5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F006A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Насичена цитата Знак"/>
    <w:basedOn w:val="a0"/>
    <w:link w:val="ae"/>
    <w:uiPriority w:val="30"/>
    <w:rsid w:val="00F006A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F006A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F006A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F006A5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F006A5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F006A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F006A5"/>
    <w:pPr>
      <w:outlineLvl w:val="9"/>
    </w:pPr>
  </w:style>
  <w:style w:type="paragraph" w:styleId="af6">
    <w:name w:val="header"/>
    <w:basedOn w:val="a"/>
    <w:link w:val="af7"/>
    <w:uiPriority w:val="99"/>
    <w:unhideWhenUsed/>
    <w:rsid w:val="00E36F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Верхній колонтитул Знак"/>
    <w:basedOn w:val="a0"/>
    <w:link w:val="af6"/>
    <w:uiPriority w:val="99"/>
    <w:rsid w:val="00E36F2A"/>
    <w:rPr>
      <w:i/>
      <w:iCs/>
      <w:sz w:val="20"/>
      <w:szCs w:val="20"/>
    </w:rPr>
  </w:style>
  <w:style w:type="character" w:customStyle="1" w:styleId="apple-converted-space">
    <w:name w:val="apple-converted-space"/>
    <w:basedOn w:val="a0"/>
    <w:rsid w:val="00E36F2A"/>
  </w:style>
  <w:style w:type="paragraph" w:customStyle="1" w:styleId="rvps2">
    <w:name w:val="rvps2"/>
    <w:basedOn w:val="a"/>
    <w:rsid w:val="00E36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rvts9">
    <w:name w:val="rvts9"/>
    <w:basedOn w:val="a0"/>
    <w:rsid w:val="00E36F2A"/>
  </w:style>
  <w:style w:type="paragraph" w:styleId="af8">
    <w:name w:val="Balloon Text"/>
    <w:basedOn w:val="a"/>
    <w:link w:val="af9"/>
    <w:uiPriority w:val="99"/>
    <w:semiHidden/>
    <w:unhideWhenUsed/>
    <w:rsid w:val="00E3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E36F2A"/>
    <w:rPr>
      <w:rFonts w:ascii="Tahoma" w:hAnsi="Tahoma" w:cs="Tahoma"/>
      <w:i/>
      <w:iCs/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072199"/>
    <w:pPr>
      <w:spacing w:after="0" w:line="240" w:lineRule="auto"/>
    </w:pPr>
    <w:rPr>
      <w:rFonts w:ascii="Times New Roman" w:eastAsia="Times New Roman" w:hAnsi="Times New Roman" w:cs="Times New Roman"/>
      <w:i w:val="0"/>
      <w:iCs w:val="0"/>
      <w:lang w:val="ru-RU" w:eastAsia="ru-RU" w:bidi="ar-SA"/>
    </w:rPr>
  </w:style>
  <w:style w:type="character" w:customStyle="1" w:styleId="afb">
    <w:name w:val="Текст примітки Знак"/>
    <w:basedOn w:val="a0"/>
    <w:link w:val="afa"/>
    <w:uiPriority w:val="99"/>
    <w:semiHidden/>
    <w:rsid w:val="00072199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c">
    <w:name w:val="Revision"/>
    <w:hidden/>
    <w:uiPriority w:val="99"/>
    <w:semiHidden/>
    <w:rsid w:val="00A81068"/>
    <w:pPr>
      <w:spacing w:after="0" w:line="240" w:lineRule="auto"/>
    </w:pPr>
    <w:rPr>
      <w:i/>
      <w:iCs/>
      <w:sz w:val="20"/>
      <w:szCs w:val="20"/>
    </w:rPr>
  </w:style>
  <w:style w:type="character" w:styleId="afd">
    <w:name w:val="annotation reference"/>
    <w:basedOn w:val="a0"/>
    <w:uiPriority w:val="99"/>
    <w:semiHidden/>
    <w:unhideWhenUsed/>
    <w:rsid w:val="00D05D79"/>
    <w:rPr>
      <w:sz w:val="16"/>
      <w:szCs w:val="16"/>
    </w:rPr>
  </w:style>
  <w:style w:type="paragraph" w:styleId="afe">
    <w:name w:val="annotation subject"/>
    <w:basedOn w:val="afa"/>
    <w:next w:val="afa"/>
    <w:link w:val="aff"/>
    <w:uiPriority w:val="99"/>
    <w:semiHidden/>
    <w:unhideWhenUsed/>
    <w:rsid w:val="00D05D79"/>
    <w:pPr>
      <w:spacing w:after="200"/>
    </w:pPr>
    <w:rPr>
      <w:rFonts w:asciiTheme="minorHAnsi" w:eastAsiaTheme="minorHAnsi" w:hAnsiTheme="minorHAnsi" w:cstheme="minorBidi"/>
      <w:b/>
      <w:bCs/>
      <w:i/>
      <w:iCs/>
      <w:lang w:val="en-US" w:eastAsia="en-US" w:bidi="en-US"/>
    </w:rPr>
  </w:style>
  <w:style w:type="character" w:customStyle="1" w:styleId="aff">
    <w:name w:val="Тема примітки Знак"/>
    <w:basedOn w:val="afb"/>
    <w:link w:val="afe"/>
    <w:uiPriority w:val="99"/>
    <w:semiHidden/>
    <w:rsid w:val="00D05D79"/>
    <w:rPr>
      <w:rFonts w:ascii="Times New Roman" w:eastAsia="Times New Roman" w:hAnsi="Times New Roman" w:cs="Times New Roman"/>
      <w:b/>
      <w:bCs/>
      <w:i/>
      <w:iCs/>
      <w:sz w:val="20"/>
      <w:szCs w:val="20"/>
      <w:lang w:val="ru-RU" w:eastAsia="ru-RU" w:bidi="ar-SA"/>
    </w:rPr>
  </w:style>
  <w:style w:type="character" w:customStyle="1" w:styleId="21">
    <w:name w:val="Основной текст (2)_"/>
    <w:basedOn w:val="a0"/>
    <w:uiPriority w:val="99"/>
    <w:rsid w:val="00BA2E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BA2E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3">
    <w:name w:val="Основной текст (2) + Полужирный"/>
    <w:basedOn w:val="21"/>
    <w:rsid w:val="00EA1E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EA1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3">
    <w:name w:val="Основной текст (5) + Не полужирный"/>
    <w:basedOn w:val="51"/>
    <w:rsid w:val="00EA1E3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2">
    <w:name w:val="Основной текст (5)"/>
    <w:basedOn w:val="a"/>
    <w:link w:val="51"/>
    <w:rsid w:val="00EA1E34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212pt">
    <w:name w:val="Основной текст (2) + 12 pt;Полужирный"/>
    <w:basedOn w:val="21"/>
    <w:rsid w:val="006E50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3pt">
    <w:name w:val="Основной текст (2) + 13 pt;Полужирный;Малые прописные"/>
    <w:basedOn w:val="21"/>
    <w:rsid w:val="00627C4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styleId="aff0">
    <w:name w:val="Hyperlink"/>
    <w:basedOn w:val="a0"/>
    <w:uiPriority w:val="99"/>
    <w:semiHidden/>
    <w:unhideWhenUsed/>
    <w:rsid w:val="00445D58"/>
    <w:rPr>
      <w:color w:val="0000FF"/>
      <w:u w:val="single"/>
    </w:rPr>
  </w:style>
  <w:style w:type="character" w:customStyle="1" w:styleId="rvts37">
    <w:name w:val="rvts37"/>
    <w:basedOn w:val="a0"/>
    <w:rsid w:val="004F063F"/>
  </w:style>
  <w:style w:type="character" w:customStyle="1" w:styleId="71">
    <w:name w:val="Основной текст (7)_"/>
    <w:basedOn w:val="a0"/>
    <w:link w:val="72"/>
    <w:rsid w:val="000162C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0162C0"/>
    <w:pPr>
      <w:widowControl w:val="0"/>
      <w:shd w:val="clear" w:color="auto" w:fill="FFFFFF"/>
      <w:spacing w:after="0" w:line="322" w:lineRule="exact"/>
      <w:ind w:firstLine="7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1">
    <w:name w:val="Основний текст_"/>
    <w:basedOn w:val="a0"/>
    <w:link w:val="24"/>
    <w:rsid w:val="006A1B3C"/>
    <w:rPr>
      <w:rFonts w:eastAsia="Times New Roman"/>
      <w:sz w:val="26"/>
      <w:szCs w:val="26"/>
      <w:shd w:val="clear" w:color="auto" w:fill="FFFFFF"/>
    </w:rPr>
  </w:style>
  <w:style w:type="paragraph" w:customStyle="1" w:styleId="24">
    <w:name w:val="Основний текст2"/>
    <w:basedOn w:val="a"/>
    <w:link w:val="aff1"/>
    <w:rsid w:val="006A1B3C"/>
    <w:pPr>
      <w:widowControl w:val="0"/>
      <w:shd w:val="clear" w:color="auto" w:fill="FFFFFF"/>
      <w:spacing w:before="420" w:after="840" w:line="0" w:lineRule="atLeast"/>
      <w:jc w:val="both"/>
    </w:pPr>
    <w:rPr>
      <w:rFonts w:eastAsia="Times New Roman"/>
      <w:i w:val="0"/>
      <w:iCs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46E4B-7AA0-4C1D-80BF-F54BF28B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2618</TotalTime>
  <Pages>3</Pages>
  <Words>3996</Words>
  <Characters>2278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Валентина Андрієвська (VRU-IMP19-UKR - v.andrievska)</dc:creator>
  <cp:lastModifiedBy>Наталія Жовмір (VRU-MONO0200 - n.zhovmir)</cp:lastModifiedBy>
  <cp:revision>71</cp:revision>
  <cp:lastPrinted>2018-06-18T15:51:00Z</cp:lastPrinted>
  <dcterms:created xsi:type="dcterms:W3CDTF">2017-11-06T08:14:00Z</dcterms:created>
  <dcterms:modified xsi:type="dcterms:W3CDTF">2022-02-11T11:47:00Z</dcterms:modified>
</cp:coreProperties>
</file>