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15C" w:rsidRDefault="00B27B65">
      <w:pPr>
        <w:pStyle w:val="a4"/>
        <w:rPr>
          <w:sz w:val="24"/>
          <w:szCs w:val="24"/>
        </w:rPr>
      </w:pPr>
      <w:r w:rsidRPr="006F0543">
        <w:rPr>
          <w:sz w:val="24"/>
          <w:szCs w:val="24"/>
        </w:rPr>
        <w:t>Інвестиційна діяльність в Україні</w:t>
      </w:r>
    </w:p>
    <w:p w:rsidR="006F0543" w:rsidRPr="006F0543" w:rsidRDefault="006F0543">
      <w:pPr>
        <w:pStyle w:val="a4"/>
        <w:rPr>
          <w:sz w:val="24"/>
          <w:szCs w:val="24"/>
        </w:rPr>
      </w:pPr>
    </w:p>
    <w:p w:rsidR="006F0543" w:rsidRPr="006F0543" w:rsidRDefault="00B27B65" w:rsidP="009F0F0A">
      <w:pPr>
        <w:spacing w:before="120" w:after="120"/>
        <w:ind w:firstLine="567"/>
        <w:jc w:val="both"/>
        <w:rPr>
          <w:sz w:val="24"/>
          <w:szCs w:val="24"/>
        </w:rPr>
      </w:pPr>
      <w:r w:rsidRPr="006F0543">
        <w:rPr>
          <w:sz w:val="24"/>
          <w:szCs w:val="24"/>
        </w:rPr>
        <w:t>За даними Національного банку України обсяг прямих іноземних інвестицій в економік</w:t>
      </w:r>
      <w:r w:rsidR="00DB03A7" w:rsidRPr="006F0543">
        <w:rPr>
          <w:sz w:val="24"/>
          <w:szCs w:val="24"/>
        </w:rPr>
        <w:t>у України  (залишків)  на  30.09</w:t>
      </w:r>
      <w:r w:rsidRPr="006F0543">
        <w:rPr>
          <w:sz w:val="24"/>
          <w:szCs w:val="24"/>
        </w:rPr>
        <w:t xml:space="preserve">.2020  року  становив  </w:t>
      </w:r>
      <w:r w:rsidR="00DB03A7" w:rsidRPr="006F0543">
        <w:rPr>
          <w:b/>
          <w:sz w:val="24"/>
          <w:szCs w:val="24"/>
        </w:rPr>
        <w:t>48 951,7</w:t>
      </w:r>
      <w:r w:rsidRPr="006F0543">
        <w:rPr>
          <w:b/>
          <w:sz w:val="24"/>
          <w:szCs w:val="24"/>
        </w:rPr>
        <w:t xml:space="preserve">  </w:t>
      </w:r>
      <w:proofErr w:type="spellStart"/>
      <w:r w:rsidRPr="006F0543">
        <w:rPr>
          <w:b/>
          <w:sz w:val="24"/>
          <w:szCs w:val="24"/>
        </w:rPr>
        <w:t>млн</w:t>
      </w:r>
      <w:proofErr w:type="spellEnd"/>
      <w:r w:rsidRPr="006F0543">
        <w:rPr>
          <w:b/>
          <w:sz w:val="24"/>
          <w:szCs w:val="24"/>
        </w:rPr>
        <w:t xml:space="preserve">  дол. США</w:t>
      </w:r>
      <w:r w:rsidRPr="006F0543">
        <w:rPr>
          <w:sz w:val="24"/>
          <w:szCs w:val="24"/>
        </w:rPr>
        <w:t xml:space="preserve">.  </w:t>
      </w:r>
    </w:p>
    <w:p w:rsidR="006F0543" w:rsidRPr="006F0543" w:rsidRDefault="006F0543" w:rsidP="009F0F0A">
      <w:pPr>
        <w:spacing w:before="120" w:after="120"/>
        <w:ind w:firstLine="567"/>
        <w:jc w:val="both"/>
        <w:rPr>
          <w:b/>
          <w:bCs/>
          <w:color w:val="000000"/>
          <w:sz w:val="24"/>
          <w:szCs w:val="24"/>
          <w:lang w:eastAsia="uk-UA"/>
        </w:rPr>
      </w:pPr>
      <w:r w:rsidRPr="006F0543">
        <w:rPr>
          <w:kern w:val="144"/>
          <w:sz w:val="24"/>
          <w:szCs w:val="24"/>
          <w:lang w:eastAsia="uk-UA"/>
        </w:rPr>
        <w:t xml:space="preserve">У ІІІ кварталі 2020 року надходження прямих інвестицій склали </w:t>
      </w:r>
      <w:r w:rsidRPr="006F0543">
        <w:rPr>
          <w:b/>
          <w:bCs/>
          <w:color w:val="000000"/>
          <w:sz w:val="24"/>
          <w:szCs w:val="24"/>
          <w:lang w:eastAsia="uk-UA"/>
        </w:rPr>
        <w:t xml:space="preserve">203,5 </w:t>
      </w:r>
      <w:proofErr w:type="spellStart"/>
      <w:r w:rsidRPr="006F0543">
        <w:rPr>
          <w:b/>
          <w:kern w:val="144"/>
          <w:sz w:val="24"/>
          <w:szCs w:val="24"/>
          <w:lang w:eastAsia="uk-UA"/>
        </w:rPr>
        <w:t>млн</w:t>
      </w:r>
      <w:proofErr w:type="spellEnd"/>
      <w:r w:rsidRPr="006F0543">
        <w:rPr>
          <w:b/>
          <w:kern w:val="144"/>
          <w:sz w:val="24"/>
          <w:szCs w:val="24"/>
          <w:lang w:eastAsia="uk-UA"/>
        </w:rPr>
        <w:t xml:space="preserve"> дол. США.</w:t>
      </w:r>
    </w:p>
    <w:p w:rsidR="0031115C" w:rsidRPr="006F0543" w:rsidRDefault="00B27B65" w:rsidP="009F0F0A">
      <w:pPr>
        <w:pStyle w:val="a3"/>
        <w:spacing w:after="120"/>
        <w:ind w:left="0" w:firstLine="567"/>
      </w:pPr>
      <w:r w:rsidRPr="006F0543">
        <w:t>Інвестиції спрямовуються у вже розвинені сфери економічної діяльності.</w:t>
      </w:r>
    </w:p>
    <w:p w:rsidR="0031115C" w:rsidRPr="006F0543" w:rsidRDefault="00DB03A7" w:rsidP="009F0F0A">
      <w:pPr>
        <w:spacing w:before="121" w:line="216" w:lineRule="auto"/>
        <w:ind w:right="104" w:firstLine="567"/>
        <w:jc w:val="both"/>
        <w:rPr>
          <w:sz w:val="24"/>
          <w:szCs w:val="24"/>
        </w:rPr>
      </w:pPr>
      <w:r w:rsidRPr="006F0543">
        <w:rPr>
          <w:sz w:val="24"/>
          <w:szCs w:val="24"/>
        </w:rPr>
        <w:t>Станом на 30.09</w:t>
      </w:r>
      <w:r w:rsidR="00B27B65" w:rsidRPr="006F0543">
        <w:rPr>
          <w:sz w:val="24"/>
          <w:szCs w:val="24"/>
        </w:rPr>
        <w:t xml:space="preserve">.2020 найвагоміші обсяги прямих інвестицій (залишків) були спрямовані до підприємств </w:t>
      </w:r>
      <w:r w:rsidRPr="006F0543">
        <w:rPr>
          <w:b/>
          <w:sz w:val="24"/>
          <w:szCs w:val="24"/>
        </w:rPr>
        <w:t>промисловості – 39,8</w:t>
      </w:r>
      <w:r w:rsidR="00B27B65" w:rsidRPr="006F0543">
        <w:rPr>
          <w:b/>
          <w:sz w:val="24"/>
          <w:szCs w:val="24"/>
        </w:rPr>
        <w:t xml:space="preserve">% </w:t>
      </w:r>
      <w:r w:rsidR="00B27B65" w:rsidRPr="006F0543">
        <w:rPr>
          <w:sz w:val="24"/>
          <w:szCs w:val="24"/>
        </w:rPr>
        <w:t xml:space="preserve">та установ та організацій, що здійснюють </w:t>
      </w:r>
      <w:r w:rsidR="00B27B65" w:rsidRPr="006F0543">
        <w:rPr>
          <w:b/>
          <w:sz w:val="24"/>
          <w:szCs w:val="24"/>
        </w:rPr>
        <w:t>оптову та роздрібну торгівлю; ремонт автотранспор</w:t>
      </w:r>
      <w:r w:rsidRPr="006F0543">
        <w:rPr>
          <w:b/>
          <w:sz w:val="24"/>
          <w:szCs w:val="24"/>
        </w:rPr>
        <w:t>тних засобів і мотоциклів – 16,3</w:t>
      </w:r>
      <w:r w:rsidR="00B27B65" w:rsidRPr="006F0543">
        <w:rPr>
          <w:b/>
          <w:sz w:val="24"/>
          <w:szCs w:val="24"/>
        </w:rPr>
        <w:t>%</w:t>
      </w:r>
      <w:r w:rsidR="00B27B65" w:rsidRPr="006F0543">
        <w:rPr>
          <w:sz w:val="24"/>
          <w:szCs w:val="24"/>
        </w:rPr>
        <w:t>.</w:t>
      </w:r>
    </w:p>
    <w:p w:rsidR="0031115C" w:rsidRPr="006F0543" w:rsidRDefault="00B27B65" w:rsidP="009F0F0A">
      <w:pPr>
        <w:pStyle w:val="a3"/>
        <w:spacing w:line="216" w:lineRule="auto"/>
        <w:ind w:left="0" w:right="105" w:firstLine="567"/>
      </w:pPr>
      <w:r w:rsidRPr="006F0543">
        <w:t>До основних країн-ін</w:t>
      </w:r>
      <w:r w:rsidR="0020308C" w:rsidRPr="006F0543">
        <w:t>весторів належать  Кіпр  –  31,1%,  Нідерланди –  20,2</w:t>
      </w:r>
      <w:r w:rsidRPr="006F0543">
        <w:t>%,  Велика Британія – 6,1%,</w:t>
      </w:r>
      <w:r w:rsidR="00914385" w:rsidRPr="006F0543">
        <w:t xml:space="preserve"> Швейцарія – 6,0</w:t>
      </w:r>
      <w:r w:rsidRPr="006F0543">
        <w:t>%,</w:t>
      </w:r>
      <w:r w:rsidR="0020308C" w:rsidRPr="006F0543">
        <w:t xml:space="preserve"> Німеччина – 4,6%, Австрія – 3,3</w:t>
      </w:r>
      <w:r w:rsidRPr="006F0543">
        <w:t>%</w:t>
      </w:r>
      <w:r w:rsidR="00D9469B" w:rsidRPr="006F0543">
        <w:t>, Люксембург – 2,4%</w:t>
      </w:r>
      <w:r w:rsidR="00954D66" w:rsidRPr="006F0543">
        <w:t xml:space="preserve"> і</w:t>
      </w:r>
      <w:r w:rsidR="009B0999">
        <w:rPr>
          <w:lang w:val="ru-RU"/>
        </w:rPr>
        <w:t xml:space="preserve"> </w:t>
      </w:r>
      <w:r w:rsidR="00914385" w:rsidRPr="006F0543">
        <w:t>Франція – 2,1%</w:t>
      </w:r>
      <w:r w:rsidRPr="006F0543">
        <w:t>.</w:t>
      </w:r>
    </w:p>
    <w:p w:rsidR="0031115C" w:rsidRPr="006F0543" w:rsidRDefault="009B0999" w:rsidP="009F0F0A">
      <w:pPr>
        <w:spacing w:before="118"/>
        <w:ind w:right="101" w:firstLine="567"/>
        <w:jc w:val="both"/>
        <w:rPr>
          <w:sz w:val="24"/>
          <w:szCs w:val="24"/>
        </w:rPr>
      </w:pPr>
      <w:r>
        <w:rPr>
          <w:b/>
          <w:sz w:val="24"/>
          <w:szCs w:val="24"/>
        </w:rPr>
        <w:t>Обсяги освоєння капітальних</w:t>
      </w:r>
      <w:r w:rsidR="00B27B65" w:rsidRPr="006F0543">
        <w:rPr>
          <w:b/>
          <w:sz w:val="24"/>
          <w:szCs w:val="24"/>
        </w:rPr>
        <w:t xml:space="preserve"> інвестицій </w:t>
      </w:r>
      <w:r>
        <w:rPr>
          <w:sz w:val="24"/>
          <w:szCs w:val="24"/>
        </w:rPr>
        <w:t>підприємств</w:t>
      </w:r>
      <w:r w:rsidRPr="009B0999">
        <w:rPr>
          <w:sz w:val="24"/>
          <w:szCs w:val="24"/>
        </w:rPr>
        <w:t xml:space="preserve"> </w:t>
      </w:r>
      <w:r w:rsidR="00B27B65" w:rsidRPr="006F0543">
        <w:rPr>
          <w:sz w:val="24"/>
          <w:szCs w:val="24"/>
        </w:rPr>
        <w:t xml:space="preserve">України </w:t>
      </w:r>
      <w:r w:rsidR="00B27B65" w:rsidRPr="009B0999">
        <w:rPr>
          <w:sz w:val="24"/>
          <w:szCs w:val="24"/>
        </w:rPr>
        <w:t xml:space="preserve">у </w:t>
      </w:r>
      <w:r w:rsidRPr="009B0999">
        <w:rPr>
          <w:b/>
          <w:sz w:val="24"/>
          <w:szCs w:val="24"/>
        </w:rPr>
        <w:br/>
      </w:r>
      <w:r w:rsidR="00B27B65" w:rsidRPr="006F0543">
        <w:rPr>
          <w:b/>
          <w:sz w:val="24"/>
          <w:szCs w:val="24"/>
        </w:rPr>
        <w:t xml:space="preserve">січні-вересні 2020 року </w:t>
      </w:r>
      <w:r w:rsidR="00B27B65" w:rsidRPr="006F0543">
        <w:rPr>
          <w:sz w:val="24"/>
          <w:szCs w:val="24"/>
        </w:rPr>
        <w:t xml:space="preserve">складають </w:t>
      </w:r>
      <w:r w:rsidR="00B27B65" w:rsidRPr="006F0543">
        <w:rPr>
          <w:b/>
          <w:sz w:val="24"/>
          <w:szCs w:val="24"/>
        </w:rPr>
        <w:t xml:space="preserve">267,9 </w:t>
      </w:r>
      <w:proofErr w:type="spellStart"/>
      <w:r w:rsidR="00B27B65" w:rsidRPr="006F0543">
        <w:rPr>
          <w:b/>
          <w:sz w:val="24"/>
          <w:szCs w:val="24"/>
        </w:rPr>
        <w:t>млрд</w:t>
      </w:r>
      <w:proofErr w:type="spellEnd"/>
      <w:r w:rsidR="00B27B65" w:rsidRPr="006F0543">
        <w:rPr>
          <w:b/>
          <w:sz w:val="24"/>
          <w:szCs w:val="24"/>
        </w:rPr>
        <w:t xml:space="preserve"> грн., </w:t>
      </w:r>
      <w:r w:rsidR="00B27B65" w:rsidRPr="006F0543">
        <w:rPr>
          <w:sz w:val="24"/>
          <w:szCs w:val="24"/>
        </w:rPr>
        <w:t>що на 35,4% менше від обсягу капітальних інвестицій за відповідний період 2019</w:t>
      </w:r>
      <w:r w:rsidRPr="009B0999">
        <w:rPr>
          <w:sz w:val="24"/>
          <w:szCs w:val="24"/>
        </w:rPr>
        <w:t xml:space="preserve"> </w:t>
      </w:r>
      <w:r w:rsidR="00B27B65" w:rsidRPr="006F0543">
        <w:rPr>
          <w:sz w:val="24"/>
          <w:szCs w:val="24"/>
        </w:rPr>
        <w:t>року.</w:t>
      </w:r>
    </w:p>
    <w:p w:rsidR="0031115C" w:rsidRDefault="00B27B65" w:rsidP="009F0F0A">
      <w:pPr>
        <w:spacing w:before="121"/>
        <w:ind w:right="103" w:firstLine="567"/>
        <w:jc w:val="both"/>
        <w:rPr>
          <w:i/>
          <w:sz w:val="24"/>
        </w:rPr>
      </w:pPr>
      <w:r w:rsidRPr="006F0543">
        <w:rPr>
          <w:sz w:val="24"/>
          <w:szCs w:val="24"/>
        </w:rPr>
        <w:t>Провідними сферами економічної</w:t>
      </w:r>
      <w:r>
        <w:rPr>
          <w:sz w:val="24"/>
        </w:rPr>
        <w:t xml:space="preserve"> діяльності, за обсягами освоєння капітальних інвестицій, у січні-вересні 2020 року залишаються: </w:t>
      </w:r>
      <w:r>
        <w:rPr>
          <w:i/>
          <w:sz w:val="24"/>
        </w:rPr>
        <w:t xml:space="preserve">промисловість </w:t>
      </w:r>
      <w:r>
        <w:rPr>
          <w:sz w:val="24"/>
        </w:rPr>
        <w:t xml:space="preserve">– 37,7%, </w:t>
      </w:r>
      <w:r>
        <w:rPr>
          <w:i/>
          <w:sz w:val="24"/>
        </w:rPr>
        <w:t xml:space="preserve">будівництво </w:t>
      </w:r>
      <w:r>
        <w:rPr>
          <w:sz w:val="24"/>
        </w:rPr>
        <w:t xml:space="preserve">– 10,2%, </w:t>
      </w:r>
      <w:r>
        <w:rPr>
          <w:i/>
          <w:sz w:val="24"/>
        </w:rPr>
        <w:t xml:space="preserve">сільське, лісове та рибне господарство </w:t>
      </w:r>
      <w:r>
        <w:rPr>
          <w:sz w:val="24"/>
        </w:rPr>
        <w:t xml:space="preserve">– 9,3%, </w:t>
      </w:r>
      <w:r>
        <w:rPr>
          <w:i/>
          <w:sz w:val="24"/>
        </w:rPr>
        <w:t xml:space="preserve">інформація та телекомунікації </w:t>
      </w:r>
      <w:r>
        <w:rPr>
          <w:sz w:val="24"/>
        </w:rPr>
        <w:t xml:space="preserve">– 5,0%, </w:t>
      </w:r>
      <w:r>
        <w:rPr>
          <w:i/>
          <w:sz w:val="24"/>
        </w:rPr>
        <w:t xml:space="preserve">оптова та роздрібна торгівля; ремонт автотранспортних засобів і мотоциклів </w:t>
      </w:r>
      <w:r>
        <w:rPr>
          <w:sz w:val="24"/>
        </w:rPr>
        <w:t xml:space="preserve">– 7,8%, </w:t>
      </w:r>
      <w:r>
        <w:rPr>
          <w:i/>
          <w:sz w:val="24"/>
        </w:rPr>
        <w:t xml:space="preserve">транспорт, складське господарство, поштова та кур’єрська діяльність </w:t>
      </w:r>
      <w:r>
        <w:rPr>
          <w:sz w:val="24"/>
        </w:rPr>
        <w:t xml:space="preserve">– 5,7%, </w:t>
      </w:r>
      <w:r>
        <w:rPr>
          <w:i/>
          <w:sz w:val="24"/>
        </w:rPr>
        <w:t xml:space="preserve">державне управління й оборона; обов’язкове соціальне страхування </w:t>
      </w:r>
      <w:r>
        <w:rPr>
          <w:sz w:val="24"/>
        </w:rPr>
        <w:t>– 9,8%, о</w:t>
      </w:r>
      <w:r>
        <w:rPr>
          <w:i/>
          <w:sz w:val="24"/>
        </w:rPr>
        <w:t>перації з нерухомим майном – 5,0%.</w:t>
      </w:r>
    </w:p>
    <w:p w:rsidR="0031115C" w:rsidRDefault="00B27B65" w:rsidP="009F0F0A">
      <w:pPr>
        <w:pStyle w:val="a3"/>
        <w:ind w:left="0" w:right="101" w:firstLine="567"/>
      </w:pPr>
      <w:r>
        <w:t>Головним джерелом фінансування капітальних інвестицій, як і раніше, залишаються власні кошти підприємств та організацій, за рахунок яких у січні-вересні 2020 року освоєно 69,2 відсотка капіталовкладень.</w:t>
      </w:r>
    </w:p>
    <w:p w:rsidR="0031115C" w:rsidRDefault="00B27B65" w:rsidP="009F0F0A">
      <w:pPr>
        <w:pStyle w:val="a3"/>
        <w:ind w:left="0" w:right="113" w:firstLine="567"/>
      </w:pPr>
      <w:r>
        <w:t>Частка кредитів банків та інших позик у загальних обсягах капіталовкладень становила 7,5 відсотка.</w:t>
      </w:r>
    </w:p>
    <w:p w:rsidR="0031115C" w:rsidRDefault="00B27B65" w:rsidP="009F0F0A">
      <w:pPr>
        <w:pStyle w:val="a3"/>
        <w:spacing w:before="121"/>
        <w:ind w:left="0" w:right="107" w:firstLine="567"/>
      </w:pPr>
      <w:r>
        <w:t>За рахунок державного та місцевих бюджетів освоєно 14,6 відсотка капітальних інвестицій. Частка коштів іноземних інвесторів становила 0,5 відсотка усіх капіталовкладень, частка коштів населення на будівництво житла – 5,2 відсотка. Інші джерела фінансування становлять 3,0 відсотка.</w:t>
      </w:r>
    </w:p>
    <w:p w:rsidR="0031115C" w:rsidRDefault="00B27B65" w:rsidP="009F0F0A">
      <w:pPr>
        <w:pStyle w:val="a3"/>
        <w:ind w:left="0" w:right="114" w:firstLine="567"/>
      </w:pPr>
      <w:r>
        <w:t xml:space="preserve">Отже, Україна залишається привабливою для інвестицій, водночас вона не знаходиться осторонь світових процесів, є достатньо інтегрованою у світове господарство і порушення </w:t>
      </w:r>
      <w:proofErr w:type="spellStart"/>
      <w:r>
        <w:t>макростабільності</w:t>
      </w:r>
      <w:proofErr w:type="spellEnd"/>
      <w:r>
        <w:t xml:space="preserve"> на зовнішніх ринках має свій відголос в</w:t>
      </w:r>
      <w:r w:rsidR="00BF7DB6" w:rsidRPr="00BF7DB6">
        <w:t xml:space="preserve"> </w:t>
      </w:r>
      <w:r>
        <w:t>Україні.</w:t>
      </w:r>
    </w:p>
    <w:p w:rsidR="0031115C" w:rsidRDefault="00B27B65" w:rsidP="009F0F0A">
      <w:pPr>
        <w:pStyle w:val="a3"/>
        <w:spacing w:after="120"/>
        <w:ind w:left="0" w:right="107" w:firstLine="567"/>
      </w:pPr>
      <w:r>
        <w:t xml:space="preserve">У </w:t>
      </w:r>
      <w:r w:rsidRPr="00F917FF">
        <w:t xml:space="preserve">рейтингу </w:t>
      </w:r>
      <w:proofErr w:type="spellStart"/>
      <w:r w:rsidRPr="00F917FF">
        <w:t>Doing</w:t>
      </w:r>
      <w:proofErr w:type="spellEnd"/>
      <w:r w:rsidR="00BF7DB6" w:rsidRPr="00BF7DB6">
        <w:t xml:space="preserve"> </w:t>
      </w:r>
      <w:proofErr w:type="spellStart"/>
      <w:r w:rsidRPr="00F917FF">
        <w:t>Business</w:t>
      </w:r>
      <w:proofErr w:type="spellEnd"/>
      <w:r w:rsidRPr="00F917FF">
        <w:t xml:space="preserve"> 2020 </w:t>
      </w:r>
      <w:r>
        <w:t>Україна піднялась на +7 пунктів і посіла</w:t>
      </w:r>
      <w:r w:rsidR="00BF7DB6" w:rsidRPr="00BF7DB6">
        <w:t xml:space="preserve"> </w:t>
      </w:r>
      <w:r>
        <w:t xml:space="preserve">64 позицію зі 190 країн світу. Найбільший прогрес було продемонстровано за компонентою «захист </w:t>
      </w:r>
      <w:proofErr w:type="spellStart"/>
      <w:r>
        <w:t>міноритарних</w:t>
      </w:r>
      <w:proofErr w:type="spellEnd"/>
      <w:r>
        <w:t xml:space="preserve"> акціонерів» +27 пунктів та компонентою «отримання дозволу на будівництво» +10 пунктів.</w:t>
      </w:r>
    </w:p>
    <w:p w:rsidR="0031115C" w:rsidRDefault="00B27B65" w:rsidP="009F0F0A">
      <w:pPr>
        <w:pStyle w:val="a3"/>
        <w:spacing w:after="120"/>
        <w:ind w:left="0" w:right="108" w:firstLine="567"/>
      </w:pPr>
      <w:r>
        <w:t xml:space="preserve">Міжнародне рейтингове агентство </w:t>
      </w:r>
      <w:proofErr w:type="spellStart"/>
      <w:r>
        <w:rPr>
          <w:b/>
        </w:rPr>
        <w:t>Moody's</w:t>
      </w:r>
      <w:proofErr w:type="spellEnd"/>
      <w:r w:rsidR="00BF7DB6" w:rsidRPr="00BF7DB6">
        <w:rPr>
          <w:b/>
        </w:rPr>
        <w:t xml:space="preserve"> </w:t>
      </w:r>
      <w:proofErr w:type="spellStart"/>
      <w:r>
        <w:rPr>
          <w:b/>
        </w:rPr>
        <w:t>Investors</w:t>
      </w:r>
      <w:proofErr w:type="spellEnd"/>
      <w:r w:rsidR="00BF7DB6" w:rsidRPr="00BF7DB6">
        <w:rPr>
          <w:b/>
        </w:rPr>
        <w:t xml:space="preserve"> </w:t>
      </w:r>
      <w:proofErr w:type="spellStart"/>
      <w:r>
        <w:rPr>
          <w:b/>
        </w:rPr>
        <w:t>Service</w:t>
      </w:r>
      <w:proofErr w:type="spellEnd"/>
      <w:r w:rsidR="00BF7DB6" w:rsidRPr="00BF7DB6">
        <w:rPr>
          <w:b/>
        </w:rPr>
        <w:t xml:space="preserve"> </w:t>
      </w:r>
      <w:r>
        <w:t>підвищило суверенний кредитний рейтинг України до B3 зі стабільним прогнозом. Україна піднялась в рейтингу довгострокового емітента та пріоритетних незабезпечених зобов’язань Уряду після підписання нової програми з МВФ Stand-</w:t>
      </w:r>
      <w:proofErr w:type="spellStart"/>
      <w:r>
        <w:t>bу</w:t>
      </w:r>
      <w:proofErr w:type="spellEnd"/>
      <w:r>
        <w:t>.</w:t>
      </w:r>
    </w:p>
    <w:p w:rsidR="0031115C" w:rsidRDefault="00B27B65" w:rsidP="009F0F0A">
      <w:pPr>
        <w:pStyle w:val="a3"/>
        <w:spacing w:after="120"/>
        <w:ind w:left="0" w:right="103" w:firstLine="567"/>
      </w:pPr>
      <w:r>
        <w:t xml:space="preserve">У вересні 2020 року </w:t>
      </w:r>
      <w:r>
        <w:rPr>
          <w:b/>
        </w:rPr>
        <w:t>Standard &amp;</w:t>
      </w:r>
      <w:proofErr w:type="spellStart"/>
      <w:r>
        <w:rPr>
          <w:b/>
        </w:rPr>
        <w:t>Poor's</w:t>
      </w:r>
      <w:proofErr w:type="spellEnd"/>
      <w:r w:rsidR="00BF7DB6" w:rsidRPr="00BF7DB6">
        <w:rPr>
          <w:b/>
        </w:rPr>
        <w:t xml:space="preserve"> </w:t>
      </w:r>
      <w:r>
        <w:t xml:space="preserve">підтвердило довгострокові та короткострокові рейтинги України в іноземній та національній валютах на рівні </w:t>
      </w:r>
      <w:r>
        <w:rPr>
          <w:rFonts w:ascii="Courier New" w:hAnsi="Courier New"/>
          <w:sz w:val="21"/>
        </w:rPr>
        <w:t>«</w:t>
      </w:r>
      <w:r>
        <w:t>В/В</w:t>
      </w:r>
      <w:r>
        <w:rPr>
          <w:rFonts w:ascii="Courier New" w:hAnsi="Courier New"/>
          <w:sz w:val="21"/>
        </w:rPr>
        <w:t>»</w:t>
      </w:r>
      <w:r>
        <w:t>. Прогноз стабільний.</w:t>
      </w:r>
    </w:p>
    <w:p w:rsidR="0031115C" w:rsidRDefault="0031115C" w:rsidP="009F0F0A">
      <w:pPr>
        <w:spacing w:before="120" w:after="120"/>
        <w:ind w:firstLine="567"/>
        <w:sectPr w:rsidR="0031115C">
          <w:headerReference w:type="default" r:id="rId7"/>
          <w:footerReference w:type="default" r:id="rId8"/>
          <w:type w:val="continuous"/>
          <w:pgSz w:w="11910" w:h="16840"/>
          <w:pgMar w:top="1160" w:right="740" w:bottom="280" w:left="1600" w:header="720" w:footer="720" w:gutter="0"/>
          <w:cols w:space="720"/>
        </w:sectPr>
      </w:pPr>
    </w:p>
    <w:p w:rsidR="0031115C" w:rsidRDefault="00B27B65" w:rsidP="009F0F0A">
      <w:pPr>
        <w:pStyle w:val="a3"/>
        <w:spacing w:after="120"/>
        <w:ind w:left="0" w:right="103" w:firstLine="567"/>
      </w:pPr>
      <w:r>
        <w:lastRenderedPageBreak/>
        <w:t xml:space="preserve">У вересні 2020 року Міжнародне рейтингове агентство </w:t>
      </w:r>
      <w:proofErr w:type="spellStart"/>
      <w:r>
        <w:rPr>
          <w:b/>
        </w:rPr>
        <w:t>Fitch</w:t>
      </w:r>
      <w:proofErr w:type="spellEnd"/>
      <w:r w:rsidR="00BF7DB6" w:rsidRPr="00BF7DB6">
        <w:rPr>
          <w:b/>
        </w:rPr>
        <w:t xml:space="preserve"> </w:t>
      </w:r>
      <w:proofErr w:type="spellStart"/>
      <w:r>
        <w:rPr>
          <w:b/>
        </w:rPr>
        <w:t>Ratings</w:t>
      </w:r>
      <w:proofErr w:type="spellEnd"/>
      <w:r w:rsidR="00BF7DB6" w:rsidRPr="00BF7DB6">
        <w:rPr>
          <w:b/>
        </w:rPr>
        <w:t xml:space="preserve"> </w:t>
      </w:r>
      <w:r>
        <w:t xml:space="preserve">підтвердило рейтинги </w:t>
      </w:r>
      <w:proofErr w:type="spellStart"/>
      <w:r>
        <w:t>дефолту</w:t>
      </w:r>
      <w:proofErr w:type="spellEnd"/>
      <w:r>
        <w:t xml:space="preserve"> емітента (РДЕ) в іноземний та національній валютах на рівні </w:t>
      </w:r>
      <w:r>
        <w:rPr>
          <w:spacing w:val="-3"/>
        </w:rPr>
        <w:t>«В/В».</w:t>
      </w:r>
      <w:r w:rsidR="00BF7DB6">
        <w:rPr>
          <w:spacing w:val="-3"/>
          <w:lang w:val="ru-RU"/>
        </w:rPr>
        <w:t xml:space="preserve"> </w:t>
      </w:r>
      <w:r>
        <w:t xml:space="preserve">Рейтинги довгострокових випусків пріоритетних незабезпечених облігацій України в іноземний та національній валютах підтверджено на рівні «В» та рейтинг короткострокових випусків пріоритетних незабезпечених облігацій України в національній валюті підтверджено на рівні </w:t>
      </w:r>
      <w:r>
        <w:rPr>
          <w:spacing w:val="-3"/>
        </w:rPr>
        <w:t xml:space="preserve">«В». </w:t>
      </w:r>
      <w:r>
        <w:t>Прогноз</w:t>
      </w:r>
      <w:r w:rsidR="00BF7DB6">
        <w:rPr>
          <w:lang w:val="ru-RU"/>
        </w:rPr>
        <w:t xml:space="preserve"> </w:t>
      </w:r>
      <w:r>
        <w:t>стабільний.</w:t>
      </w:r>
    </w:p>
    <w:p w:rsidR="0031115C" w:rsidRDefault="00B27B65" w:rsidP="009F0F0A">
      <w:pPr>
        <w:pStyle w:val="a3"/>
        <w:spacing w:before="1"/>
        <w:ind w:left="0" w:right="107" w:firstLine="567"/>
      </w:pPr>
      <w:r>
        <w:rPr>
          <w:b/>
        </w:rPr>
        <w:t xml:space="preserve">Державно-приватне партнерство (ДПП) </w:t>
      </w:r>
      <w:r>
        <w:t>є одним з інструментів залучення додаткових інвестицій у державний сектор економіки та сприяння розвитку відносин між державними органами та бізнесом.</w:t>
      </w:r>
    </w:p>
    <w:p w:rsidR="0031115C" w:rsidRDefault="00B27B65" w:rsidP="009F0F0A">
      <w:pPr>
        <w:pStyle w:val="a3"/>
        <w:ind w:left="0" w:firstLine="567"/>
        <w:jc w:val="left"/>
      </w:pPr>
      <w:r>
        <w:rPr>
          <w:u w:val="single"/>
        </w:rPr>
        <w:t>У цьому напрямку отримані основні результати:</w:t>
      </w:r>
    </w:p>
    <w:p w:rsidR="0031115C" w:rsidRDefault="00B27B65" w:rsidP="009F0F0A">
      <w:pPr>
        <w:pStyle w:val="a3"/>
        <w:ind w:left="0" w:firstLine="567"/>
        <w:jc w:val="left"/>
      </w:pPr>
      <w:r>
        <w:t>По-перше, вдосконалене законодавство.</w:t>
      </w:r>
    </w:p>
    <w:p w:rsidR="0031115C" w:rsidRDefault="00B27B65" w:rsidP="009F0F0A">
      <w:pPr>
        <w:pStyle w:val="a3"/>
        <w:ind w:left="0" w:right="101" w:firstLine="567"/>
      </w:pPr>
      <w:r>
        <w:t xml:space="preserve">Варто зауважити, що 20.10.2019 набрав чинності </w:t>
      </w:r>
      <w:r>
        <w:rPr>
          <w:b/>
        </w:rPr>
        <w:t xml:space="preserve">Закон України «Про концесію» </w:t>
      </w:r>
      <w:r w:rsidR="00062EF9">
        <w:rPr>
          <w:b/>
        </w:rPr>
        <w:br/>
      </w:r>
      <w:r>
        <w:rPr>
          <w:b/>
        </w:rPr>
        <w:t>(№ 155-ІХ, від 03.10.2019)</w:t>
      </w:r>
      <w:r>
        <w:t>, який розроблений з метою реформування концесійного законодавства, гармонізації законодавства про концесії із законодавством про ДПП, імплементації основних принципів здійснення концесій та ДПП відповідно до права ЄС та регулювання всіх аспектів концесійної діяльності. Зокрема, положеннями цього Закону передбачено:</w:t>
      </w:r>
    </w:p>
    <w:p w:rsidR="0031115C" w:rsidRDefault="00B27B65" w:rsidP="009F0F0A">
      <w:pPr>
        <w:pStyle w:val="a5"/>
        <w:numPr>
          <w:ilvl w:val="0"/>
          <w:numId w:val="1"/>
        </w:numPr>
        <w:tabs>
          <w:tab w:val="left" w:pos="1096"/>
        </w:tabs>
        <w:spacing w:before="122"/>
        <w:ind w:left="0" w:firstLine="567"/>
        <w:rPr>
          <w:sz w:val="24"/>
        </w:rPr>
      </w:pPr>
      <w:r>
        <w:rPr>
          <w:sz w:val="24"/>
        </w:rPr>
        <w:t>чітке розмежування регулювання концесії та інших форм здійснення</w:t>
      </w:r>
      <w:r w:rsidR="00BF7DB6" w:rsidRPr="00BF7DB6">
        <w:rPr>
          <w:sz w:val="24"/>
        </w:rPr>
        <w:t xml:space="preserve"> </w:t>
      </w:r>
      <w:r>
        <w:rPr>
          <w:sz w:val="24"/>
        </w:rPr>
        <w:t>ДПП;</w:t>
      </w:r>
    </w:p>
    <w:p w:rsidR="0031115C" w:rsidRDefault="00B27B65" w:rsidP="009F0F0A">
      <w:pPr>
        <w:pStyle w:val="a5"/>
        <w:numPr>
          <w:ilvl w:val="0"/>
          <w:numId w:val="1"/>
        </w:numPr>
        <w:tabs>
          <w:tab w:val="left" w:pos="1096"/>
        </w:tabs>
        <w:spacing w:line="237" w:lineRule="auto"/>
        <w:ind w:left="0" w:right="112" w:firstLine="567"/>
        <w:rPr>
          <w:sz w:val="24"/>
        </w:rPr>
      </w:pPr>
      <w:r>
        <w:rPr>
          <w:sz w:val="24"/>
        </w:rPr>
        <w:t>єдину процедуру ініціювання та прийняття рішення щодо здійснення ДПП для всіх форм ДПП, у тому числі</w:t>
      </w:r>
      <w:r w:rsidR="00BF7DB6" w:rsidRPr="00BF7DB6">
        <w:rPr>
          <w:sz w:val="24"/>
        </w:rPr>
        <w:t xml:space="preserve"> </w:t>
      </w:r>
      <w:r>
        <w:rPr>
          <w:sz w:val="24"/>
        </w:rPr>
        <w:t>концесії;</w:t>
      </w:r>
    </w:p>
    <w:p w:rsidR="0031115C" w:rsidRDefault="00B27B65" w:rsidP="009F0F0A">
      <w:pPr>
        <w:pStyle w:val="a5"/>
        <w:numPr>
          <w:ilvl w:val="0"/>
          <w:numId w:val="1"/>
        </w:numPr>
        <w:tabs>
          <w:tab w:val="left" w:pos="1096"/>
        </w:tabs>
        <w:spacing w:before="125" w:line="237" w:lineRule="auto"/>
        <w:ind w:left="0" w:right="112" w:firstLine="567"/>
        <w:rPr>
          <w:sz w:val="24"/>
        </w:rPr>
      </w:pPr>
      <w:r>
        <w:rPr>
          <w:sz w:val="24"/>
        </w:rPr>
        <w:t>ініціаторами підготовки концесійних проектів можуть бути юридичні особи приватного права (резиденти та/або нерезиденти) або об’єднання таких юридичних осіб (резидентів та/або</w:t>
      </w:r>
      <w:r w:rsidR="00BF7DB6">
        <w:rPr>
          <w:sz w:val="24"/>
          <w:lang w:val="ru-RU"/>
        </w:rPr>
        <w:t xml:space="preserve"> </w:t>
      </w:r>
      <w:r>
        <w:rPr>
          <w:sz w:val="24"/>
        </w:rPr>
        <w:t>нерезидентів);</w:t>
      </w:r>
    </w:p>
    <w:p w:rsidR="0031115C" w:rsidRDefault="00B27B65" w:rsidP="009F0F0A">
      <w:pPr>
        <w:pStyle w:val="a5"/>
        <w:numPr>
          <w:ilvl w:val="0"/>
          <w:numId w:val="1"/>
        </w:numPr>
        <w:tabs>
          <w:tab w:val="left" w:pos="1096"/>
        </w:tabs>
        <w:spacing w:before="125"/>
        <w:ind w:left="0" w:right="105" w:firstLine="567"/>
        <w:rPr>
          <w:sz w:val="24"/>
        </w:rPr>
      </w:pPr>
      <w:r>
        <w:rPr>
          <w:sz w:val="24"/>
        </w:rPr>
        <w:t>запровадження прозорої процедури вибору концесіонера (концесійний конкурс, конкурентний діалог), що відповідає кращій міжнародній практиці, зокрема «Типовим законодавчим положенням щодо проектів в сфері інфраструктури, які фінансуються з приватних</w:t>
      </w:r>
      <w:r w:rsidR="00BF7DB6" w:rsidRPr="00BF7DB6">
        <w:rPr>
          <w:sz w:val="24"/>
        </w:rPr>
        <w:t xml:space="preserve"> </w:t>
      </w:r>
      <w:r>
        <w:rPr>
          <w:sz w:val="24"/>
        </w:rPr>
        <w:t>джерел»;</w:t>
      </w:r>
    </w:p>
    <w:p w:rsidR="0031115C" w:rsidRDefault="00B27B65" w:rsidP="009F0F0A">
      <w:pPr>
        <w:pStyle w:val="a5"/>
        <w:numPr>
          <w:ilvl w:val="0"/>
          <w:numId w:val="1"/>
        </w:numPr>
        <w:tabs>
          <w:tab w:val="left" w:pos="1096"/>
        </w:tabs>
        <w:spacing w:before="119"/>
        <w:ind w:left="0" w:right="102" w:firstLine="567"/>
        <w:rPr>
          <w:sz w:val="24"/>
        </w:rPr>
      </w:pPr>
      <w:r>
        <w:rPr>
          <w:sz w:val="24"/>
        </w:rPr>
        <w:t>можливість залучення радників та незалежних експертів для підготовки проектів ДПП у формі</w:t>
      </w:r>
      <w:r w:rsidR="00BF7DB6">
        <w:rPr>
          <w:sz w:val="24"/>
          <w:lang w:val="ru-RU"/>
        </w:rPr>
        <w:t xml:space="preserve"> </w:t>
      </w:r>
      <w:r>
        <w:rPr>
          <w:sz w:val="24"/>
        </w:rPr>
        <w:t>концесії;</w:t>
      </w:r>
    </w:p>
    <w:p w:rsidR="0031115C" w:rsidRDefault="00B27B65" w:rsidP="009F0F0A">
      <w:pPr>
        <w:pStyle w:val="a5"/>
        <w:numPr>
          <w:ilvl w:val="0"/>
          <w:numId w:val="1"/>
        </w:numPr>
        <w:tabs>
          <w:tab w:val="left" w:pos="1096"/>
        </w:tabs>
        <w:ind w:left="0" w:firstLine="567"/>
        <w:rPr>
          <w:sz w:val="24"/>
        </w:rPr>
      </w:pPr>
      <w:r>
        <w:rPr>
          <w:sz w:val="24"/>
        </w:rPr>
        <w:t>додаткові гарантії для концесіонерів та</w:t>
      </w:r>
      <w:r w:rsidR="00BF7DB6">
        <w:rPr>
          <w:sz w:val="24"/>
          <w:lang w:val="ru-RU"/>
        </w:rPr>
        <w:t xml:space="preserve"> </w:t>
      </w:r>
      <w:r>
        <w:rPr>
          <w:sz w:val="24"/>
        </w:rPr>
        <w:t>кредиторів.</w:t>
      </w:r>
    </w:p>
    <w:p w:rsidR="0031115C" w:rsidRDefault="00B27B65" w:rsidP="009F0F0A">
      <w:pPr>
        <w:pStyle w:val="a3"/>
        <w:spacing w:before="117"/>
        <w:ind w:left="0" w:right="107" w:firstLine="567"/>
      </w:pPr>
      <w:r>
        <w:t>Також внесені зміни до 25 законодавчих актів, у тому числі до Закону України «Про державно-приватне партнерство» з метою забезпечення системного підходу до врегулювання відносин залучення приватного бізнесу до реалізації проектів ДПП в усіх сферах господарської діяльності.</w:t>
      </w:r>
    </w:p>
    <w:p w:rsidR="0031115C" w:rsidRDefault="00B27B65" w:rsidP="009F0F0A">
      <w:pPr>
        <w:pStyle w:val="a3"/>
        <w:ind w:left="0" w:right="103" w:firstLine="567"/>
      </w:pPr>
      <w:r>
        <w:t>По-друге, позитивним сигналом у розвитку інфраструктури стало проведення перших</w:t>
      </w:r>
      <w:r w:rsidR="00BF7DB6">
        <w:rPr>
          <w:lang w:val="ru-RU"/>
        </w:rPr>
        <w:t xml:space="preserve"> </w:t>
      </w:r>
      <w:r>
        <w:t>концесійних</w:t>
      </w:r>
      <w:r w:rsidR="00BF7DB6">
        <w:rPr>
          <w:lang w:val="ru-RU"/>
        </w:rPr>
        <w:t xml:space="preserve"> </w:t>
      </w:r>
      <w:r>
        <w:t>конкурсів</w:t>
      </w:r>
      <w:r w:rsidR="00BF7DB6">
        <w:rPr>
          <w:lang w:val="ru-RU"/>
        </w:rPr>
        <w:t xml:space="preserve"> </w:t>
      </w:r>
      <w:r>
        <w:t>у</w:t>
      </w:r>
      <w:r w:rsidR="00BF7DB6">
        <w:rPr>
          <w:lang w:val="ru-RU"/>
        </w:rPr>
        <w:t xml:space="preserve"> </w:t>
      </w:r>
      <w:r>
        <w:t>портовій</w:t>
      </w:r>
      <w:r w:rsidR="00BF7DB6">
        <w:rPr>
          <w:lang w:val="ru-RU"/>
        </w:rPr>
        <w:t xml:space="preserve"> </w:t>
      </w:r>
      <w:r>
        <w:t>інфраструктурі.</w:t>
      </w:r>
      <w:r w:rsidR="00BF7DB6">
        <w:rPr>
          <w:lang w:val="ru-RU"/>
        </w:rPr>
        <w:t xml:space="preserve"> </w:t>
      </w:r>
      <w:r>
        <w:t>Так,</w:t>
      </w:r>
      <w:r w:rsidR="00BF7DB6">
        <w:rPr>
          <w:lang w:val="ru-RU"/>
        </w:rPr>
        <w:t xml:space="preserve"> </w:t>
      </w:r>
      <w:r>
        <w:t>у</w:t>
      </w:r>
      <w:r w:rsidR="00BF7DB6">
        <w:rPr>
          <w:lang w:val="ru-RU"/>
        </w:rPr>
        <w:t xml:space="preserve"> </w:t>
      </w:r>
      <w:r>
        <w:t>2019</w:t>
      </w:r>
      <w:r w:rsidR="00BF7DB6">
        <w:rPr>
          <w:lang w:val="ru-RU"/>
        </w:rPr>
        <w:t xml:space="preserve"> </w:t>
      </w:r>
      <w:r>
        <w:t>році</w:t>
      </w:r>
      <w:r w:rsidR="00BF7DB6">
        <w:rPr>
          <w:lang w:val="ru-RU"/>
        </w:rPr>
        <w:t xml:space="preserve"> </w:t>
      </w:r>
      <w:r>
        <w:t>Урядом</w:t>
      </w:r>
      <w:r w:rsidR="00BF7DB6">
        <w:rPr>
          <w:lang w:val="ru-RU"/>
        </w:rPr>
        <w:t xml:space="preserve"> </w:t>
      </w:r>
      <w:r>
        <w:t>України були проведені концесійні конкурси у морських портах «Ольвія» та «Херсон», за результатами яких укладені концесійні договори, а саме:</w:t>
      </w:r>
    </w:p>
    <w:p w:rsidR="0031115C" w:rsidRDefault="00882DCF" w:rsidP="009F0F0A">
      <w:pPr>
        <w:pStyle w:val="a3"/>
        <w:ind w:left="0" w:right="100" w:firstLine="567"/>
      </w:pPr>
      <w:r w:rsidRPr="00882DCF">
        <w:t>договір стосовно передачі в концесію</w:t>
      </w:r>
      <w:r w:rsidR="00567187">
        <w:t xml:space="preserve"> майна державного підприємства «</w:t>
      </w:r>
      <w:r w:rsidRPr="00882DCF">
        <w:t>Херсонс</w:t>
      </w:r>
      <w:r w:rsidR="00567187">
        <w:t>ький морський торговельний порт»</w:t>
      </w:r>
      <w:r w:rsidRPr="00882DCF">
        <w:t xml:space="preserve"> і майна державного підприємст</w:t>
      </w:r>
      <w:r w:rsidR="00567187">
        <w:t>ва «</w:t>
      </w:r>
      <w:r w:rsidRPr="00882DCF">
        <w:t>Адміні</w:t>
      </w:r>
      <w:r w:rsidR="00567187">
        <w:t>страція морських портів України»</w:t>
      </w:r>
      <w:r w:rsidR="00104C2E" w:rsidRPr="00104C2E">
        <w:t xml:space="preserve"> </w:t>
      </w:r>
      <w:r w:rsidR="00B27B65">
        <w:t xml:space="preserve">(договір підписано 26.06.2020), відповідно до якого компанія «РИСОІЛ-ХЕРСОН» (Швейцарія-Грузія) інвестуватиме 300 </w:t>
      </w:r>
      <w:proofErr w:type="spellStart"/>
      <w:r w:rsidR="00B27B65">
        <w:t>млн</w:t>
      </w:r>
      <w:proofErr w:type="spellEnd"/>
      <w:r w:rsidR="00B27B65">
        <w:t xml:space="preserve"> гривень у розвиток порту впродовж 4-х років;</w:t>
      </w:r>
    </w:p>
    <w:p w:rsidR="0031115C" w:rsidRDefault="00882DCF" w:rsidP="009F0F0A">
      <w:pPr>
        <w:pStyle w:val="a3"/>
        <w:ind w:left="0" w:right="100" w:firstLine="567"/>
      </w:pPr>
      <w:r w:rsidRPr="00882DCF">
        <w:t>договір стосовно передачі в концесію майна державн</w:t>
      </w:r>
      <w:r w:rsidR="00567187">
        <w:t>ого підприємства «</w:t>
      </w:r>
      <w:proofErr w:type="spellStart"/>
      <w:r w:rsidR="00567187">
        <w:t>Стивідорна</w:t>
      </w:r>
      <w:proofErr w:type="spellEnd"/>
      <w:r w:rsidR="00567187">
        <w:t xml:space="preserve"> компанія «Ольвія»</w:t>
      </w:r>
      <w:r w:rsidRPr="00882DCF">
        <w:t xml:space="preserve"> і</w:t>
      </w:r>
      <w:r w:rsidR="00567187">
        <w:t xml:space="preserve"> майна державного підприємства «</w:t>
      </w:r>
      <w:r w:rsidRPr="00882DCF">
        <w:t>Адміні</w:t>
      </w:r>
      <w:r w:rsidR="00567187">
        <w:t xml:space="preserve">страція морських портів </w:t>
      </w:r>
      <w:r w:rsidR="00567187">
        <w:lastRenderedPageBreak/>
        <w:t>України»</w:t>
      </w:r>
      <w:r w:rsidR="00104C2E" w:rsidRPr="00104C2E">
        <w:t xml:space="preserve"> </w:t>
      </w:r>
      <w:r w:rsidR="00B27B65">
        <w:t>(договір підписано 20.08.2020), відповідно до якого компанія «</w:t>
      </w:r>
      <w:proofErr w:type="spellStart"/>
      <w:r w:rsidR="00B27B65">
        <w:t>QTerminals</w:t>
      </w:r>
      <w:proofErr w:type="spellEnd"/>
      <w:r w:rsidR="00B27B65">
        <w:t>» (Катар) інвестув</w:t>
      </w:r>
      <w:r w:rsidR="002A3E3E">
        <w:t xml:space="preserve">атиме в розвиток порту 3,4 </w:t>
      </w:r>
      <w:proofErr w:type="spellStart"/>
      <w:r w:rsidR="002A3E3E">
        <w:t>млрд</w:t>
      </w:r>
      <w:proofErr w:type="spellEnd"/>
      <w:r w:rsidR="00B27B65">
        <w:t xml:space="preserve"> гривень впродовж 5-ти</w:t>
      </w:r>
      <w:r w:rsidR="00104C2E" w:rsidRPr="00104C2E">
        <w:t xml:space="preserve"> </w:t>
      </w:r>
      <w:r w:rsidR="00B27B65">
        <w:t>років.</w:t>
      </w:r>
    </w:p>
    <w:p w:rsidR="0031115C" w:rsidRDefault="00B27B65" w:rsidP="009F0F0A">
      <w:pPr>
        <w:pStyle w:val="a3"/>
        <w:ind w:left="0" w:right="108" w:firstLine="567"/>
      </w:pPr>
      <w:r>
        <w:t xml:space="preserve">Окрім цього, Уряд затвердив перелік пріоритетних для держави інвестиційних проектів на період до 2023 року, з яких 40 </w:t>
      </w:r>
      <w:proofErr w:type="spellStart"/>
      <w:r>
        <w:t>відс</w:t>
      </w:r>
      <w:proofErr w:type="spellEnd"/>
      <w:r>
        <w:t>. – масштабні проекти у галузі інфраструктури і транспорту.</w:t>
      </w:r>
    </w:p>
    <w:p w:rsidR="0031115C" w:rsidRDefault="00B27B65" w:rsidP="009F0F0A">
      <w:pPr>
        <w:pStyle w:val="a3"/>
        <w:ind w:left="0" w:firstLine="567"/>
      </w:pPr>
      <w:r>
        <w:t>Пріоритетні інвестиційні проекти охоплюють практично всі галузі транспорту.</w:t>
      </w:r>
    </w:p>
    <w:p w:rsidR="0031115C" w:rsidRDefault="00B27B65" w:rsidP="009F0F0A">
      <w:pPr>
        <w:pStyle w:val="a3"/>
        <w:spacing w:before="121"/>
        <w:ind w:left="0" w:right="112" w:firstLine="567"/>
      </w:pPr>
      <w:r>
        <w:t>Зокрема, до їх списку увійшло будівництво нового летовища на Закарпатті та реконструкція ще 13 регіональних аеропортів.</w:t>
      </w:r>
    </w:p>
    <w:p w:rsidR="0031115C" w:rsidRDefault="00B27B65" w:rsidP="009F0F0A">
      <w:pPr>
        <w:pStyle w:val="a3"/>
        <w:ind w:left="0" w:right="103" w:firstLine="567"/>
      </w:pPr>
      <w:r>
        <w:t xml:space="preserve">У дорожній галузі – будівництво нової Кільцевої дороги навколо Києва, нового мосту через Південний Буг у Миколаєві, укладення верхнього асфальтного шару на автодорозі </w:t>
      </w:r>
      <w:r w:rsidR="00E15E28">
        <w:br/>
      </w:r>
      <w:r>
        <w:t xml:space="preserve">Н-31 </w:t>
      </w:r>
      <w:proofErr w:type="spellStart"/>
      <w:r>
        <w:t>Дніпро-Решетилівка</w:t>
      </w:r>
      <w:proofErr w:type="spellEnd"/>
      <w:r>
        <w:t>, ремонт ще перспективних 10 ділянок доріг, у тому числі тих, що були обрані раніше для реалізації потенційних пілотних проектів ДПП у рамках Першої програми ДПП у дорожній</w:t>
      </w:r>
      <w:r w:rsidR="00104C2E" w:rsidRPr="00104C2E">
        <w:t xml:space="preserve"> </w:t>
      </w:r>
      <w:r>
        <w:t>галузі.</w:t>
      </w:r>
    </w:p>
    <w:p w:rsidR="0031115C" w:rsidRDefault="00B27B65" w:rsidP="009F0F0A">
      <w:pPr>
        <w:pStyle w:val="a3"/>
        <w:ind w:left="0" w:right="102" w:firstLine="567"/>
      </w:pPr>
      <w:r>
        <w:t xml:space="preserve">У залізничній галузі - концесія вокзалів і станцій Харків-Пасажирський, </w:t>
      </w:r>
      <w:proofErr w:type="spellStart"/>
      <w:r>
        <w:t>Дніпро-</w:t>
      </w:r>
      <w:proofErr w:type="spellEnd"/>
      <w:r>
        <w:t xml:space="preserve"> Головний, Вінниця, Миколаїв, Чоп, Київ-Пасажирський, Хмельницький.</w:t>
      </w:r>
    </w:p>
    <w:p w:rsidR="0031115C" w:rsidRDefault="00B27B65" w:rsidP="009F0F0A">
      <w:pPr>
        <w:pStyle w:val="a3"/>
        <w:ind w:left="0" w:right="103" w:firstLine="567"/>
      </w:pPr>
      <w:r>
        <w:t>В той же час, продовжується робота щодо підготовки перспективних проектів ДПП у портовій інфраструктурі, а саме:</w:t>
      </w:r>
    </w:p>
    <w:p w:rsidR="0031115C" w:rsidRDefault="00B27B65" w:rsidP="00104C2E">
      <w:pPr>
        <w:pStyle w:val="a3"/>
        <w:ind w:left="0" w:firstLine="567"/>
      </w:pPr>
      <w:r>
        <w:t>проект   концесії   залізнично-поромного   комплексу   державного   підприємства</w:t>
      </w:r>
      <w:r w:rsidR="00104C2E">
        <w:rPr>
          <w:lang w:val="ru-RU"/>
        </w:rPr>
        <w:t xml:space="preserve"> </w:t>
      </w:r>
      <w:r>
        <w:t>«Морський торговельний порт «</w:t>
      </w:r>
      <w:proofErr w:type="spellStart"/>
      <w:r>
        <w:t>Чорноморськ</w:t>
      </w:r>
      <w:proofErr w:type="spellEnd"/>
      <w:r>
        <w:t>» в межах п’ятого терміналу державного підприємства «Морський торговельний порт «</w:t>
      </w:r>
      <w:proofErr w:type="spellStart"/>
      <w:r>
        <w:t>Чорноморськ</w:t>
      </w:r>
      <w:proofErr w:type="spellEnd"/>
      <w:r>
        <w:t>» та майна державного підприємства     «Адміністрація     морських     портів     України»     у     морському порту</w:t>
      </w:r>
      <w:r w:rsidR="00104C2E">
        <w:rPr>
          <w:lang w:val="ru-RU"/>
        </w:rPr>
        <w:t xml:space="preserve"> </w:t>
      </w:r>
      <w:r>
        <w:t>«</w:t>
      </w:r>
      <w:proofErr w:type="spellStart"/>
      <w:r>
        <w:t>Чорноморськ</w:t>
      </w:r>
      <w:proofErr w:type="spellEnd"/>
      <w:r>
        <w:t>»;</w:t>
      </w:r>
    </w:p>
    <w:p w:rsidR="0031115C" w:rsidRDefault="00B27B65" w:rsidP="009F0F0A">
      <w:pPr>
        <w:pStyle w:val="a3"/>
        <w:ind w:left="0" w:right="105" w:firstLine="567"/>
      </w:pPr>
      <w:r>
        <w:t>проект концесії контейнерного терміналу державного підприємства «Морський торговельний порт «</w:t>
      </w:r>
      <w:proofErr w:type="spellStart"/>
      <w:r>
        <w:t>Чорноморськ</w:t>
      </w:r>
      <w:proofErr w:type="spellEnd"/>
      <w:r>
        <w:t>» разом з причалами №№ 1-6 Чорноморської філії державного підприємства «Адміністрація морських портів України».</w:t>
      </w:r>
    </w:p>
    <w:p w:rsidR="0031115C" w:rsidRDefault="00B27B65" w:rsidP="009F0F0A">
      <w:pPr>
        <w:pStyle w:val="a3"/>
        <w:spacing w:before="117"/>
        <w:ind w:left="0" w:right="105" w:firstLine="567"/>
      </w:pPr>
      <w:r>
        <w:t>Третім важливим напрямом є функціонування державної організації «Агенція з питань підтримки державно-приватного партнерства» (далі – Агенція ДПП).</w:t>
      </w:r>
    </w:p>
    <w:p w:rsidR="0031115C" w:rsidRDefault="00B27B65" w:rsidP="009F0F0A">
      <w:pPr>
        <w:pStyle w:val="a3"/>
        <w:ind w:left="0" w:right="102" w:firstLine="567"/>
      </w:pPr>
      <w:r>
        <w:t xml:space="preserve">Основними функціями Агенції ДПП, серед інших, є забезпечення ідентифікації проектів ДПП, підготовка та сприяння в підготовці концептуальних записок та </w:t>
      </w:r>
      <w:proofErr w:type="spellStart"/>
      <w:r>
        <w:t>техніко-</w:t>
      </w:r>
      <w:proofErr w:type="spellEnd"/>
      <w:r>
        <w:t xml:space="preserve"> економічного обґрунтування для ініціаторів підготовки пропозицій (крім приватного сектору економіки), надання консультацій таким ініціаторам під час ініціювання та реалізації проектів ДПП, організація та проведення тренінгів та навчання з метою підвищення інституційної спроможності органів державної влади та органів місцевого самоврядування у сфері ДПП, взаємодія з міжнародними фінансовими (</w:t>
      </w:r>
      <w:proofErr w:type="spellStart"/>
      <w:r>
        <w:t>нефінансовими</w:t>
      </w:r>
      <w:proofErr w:type="spellEnd"/>
      <w:r>
        <w:t>) організаціями, урядовими (неурядовими), фінансовими (</w:t>
      </w:r>
      <w:proofErr w:type="spellStart"/>
      <w:r>
        <w:t>нефінансовими</w:t>
      </w:r>
      <w:proofErr w:type="spellEnd"/>
      <w:r>
        <w:t>) організаціями іноземних держав з питань залучення інвестицій для реалізації проектів ДПП в Україні.</w:t>
      </w:r>
    </w:p>
    <w:p w:rsidR="0031115C" w:rsidRDefault="00B27B65" w:rsidP="009F0F0A">
      <w:pPr>
        <w:spacing w:before="121"/>
        <w:ind w:firstLine="567"/>
        <w:jc w:val="both"/>
        <w:rPr>
          <w:sz w:val="24"/>
        </w:rPr>
      </w:pPr>
      <w:r>
        <w:rPr>
          <w:sz w:val="24"/>
        </w:rPr>
        <w:t xml:space="preserve">Іншим інструментом залучення інвестицій є </w:t>
      </w:r>
      <w:r>
        <w:rPr>
          <w:b/>
          <w:sz w:val="24"/>
        </w:rPr>
        <w:t>індустріальні парки</w:t>
      </w:r>
      <w:r>
        <w:rPr>
          <w:sz w:val="24"/>
        </w:rPr>
        <w:t>.</w:t>
      </w:r>
    </w:p>
    <w:p w:rsidR="0031115C" w:rsidRDefault="00B27B65" w:rsidP="009F0F0A">
      <w:pPr>
        <w:pStyle w:val="a3"/>
        <w:ind w:left="0" w:right="106" w:firstLine="567"/>
      </w:pPr>
      <w:r>
        <w:t>На   сьогодні   до   Реєстру    індустріальних    (промисл</w:t>
      </w:r>
      <w:r w:rsidR="0025715D">
        <w:t xml:space="preserve">ових)    парків    включено   </w:t>
      </w:r>
      <w:r w:rsidR="00E15E28">
        <w:br/>
      </w:r>
      <w:r w:rsidR="0025715D">
        <w:t>4</w:t>
      </w:r>
      <w:r w:rsidR="00500963">
        <w:rPr>
          <w:lang w:val="ru-RU"/>
        </w:rPr>
        <w:t>6</w:t>
      </w:r>
      <w:r w:rsidR="0025715D">
        <w:t xml:space="preserve"> </w:t>
      </w:r>
      <w:proofErr w:type="spellStart"/>
      <w:r w:rsidR="0025715D">
        <w:t>індустріальн</w:t>
      </w:r>
      <w:proofErr w:type="spellEnd"/>
      <w:r w:rsidR="0025715D">
        <w:rPr>
          <w:lang w:val="ru-RU"/>
        </w:rPr>
        <w:t>их</w:t>
      </w:r>
      <w:r w:rsidR="00897440">
        <w:rPr>
          <w:lang w:val="ru-RU"/>
        </w:rPr>
        <w:t xml:space="preserve"> </w:t>
      </w:r>
      <w:r w:rsidR="0025715D">
        <w:t>парків</w:t>
      </w:r>
      <w:r>
        <w:t>.</w:t>
      </w:r>
    </w:p>
    <w:p w:rsidR="0031115C" w:rsidRDefault="00B27B65" w:rsidP="009F0F0A">
      <w:pPr>
        <w:pStyle w:val="a3"/>
        <w:spacing w:before="80"/>
        <w:ind w:left="0" w:right="103" w:firstLine="567"/>
      </w:pPr>
      <w:r>
        <w:t>Крім того, з метою впровадження дієвого механізму залучення іноземних інвестицій та підтримки інвестиційного розвитку України діє державна установа «Офіс із залучення та підтримки інвестицій» (далі – Офіс).</w:t>
      </w:r>
    </w:p>
    <w:p w:rsidR="0031115C" w:rsidRDefault="00B27B65" w:rsidP="009F0F0A">
      <w:pPr>
        <w:pStyle w:val="a3"/>
        <w:ind w:left="0" w:right="112" w:firstLine="567"/>
      </w:pPr>
      <w:r>
        <w:t>Положення про Офіс затверджено наказом Державного секретаря Кабінету Міністрів України від 23.04.2018 № 76.</w:t>
      </w:r>
    </w:p>
    <w:p w:rsidR="0031115C" w:rsidRDefault="00B27B65" w:rsidP="008425D5">
      <w:pPr>
        <w:pStyle w:val="a3"/>
        <w:ind w:left="0" w:right="72" w:firstLine="567"/>
      </w:pPr>
      <w:r>
        <w:lastRenderedPageBreak/>
        <w:t>Згідно з Положенням до основних завдань Офісу, у т. ч. належить: здійснення заходів щодо залучення інвестицій, а також забезпечення співпраці органів виконавчої влади та органів місцевого самоврядування, спрямованої на створення сприятливого інвестиційного клімату в Україні; інформаційна підтримка іноземних інвесторів під час підготовки та реалізації ними інвестиційних проектів, а також під час їх діяльності в Україні; підготовка пропозицій щодо формування та реалізації інвестиційного потенціалу України</w:t>
      </w:r>
      <w:r w:rsidR="00897440" w:rsidRPr="00897440">
        <w:t xml:space="preserve"> </w:t>
      </w:r>
      <w:r>
        <w:t>тощо.</w:t>
      </w:r>
    </w:p>
    <w:p w:rsidR="0031115C" w:rsidRDefault="00B27B65" w:rsidP="008425D5">
      <w:pPr>
        <w:pStyle w:val="a3"/>
        <w:ind w:left="0" w:right="72" w:firstLine="567"/>
      </w:pPr>
      <w:r>
        <w:t xml:space="preserve">Детальна інформація про Офіс та напрямки його діяльності, а також можливі шляхи співпраці щодо проектів розміщена на сайті: </w:t>
      </w:r>
      <w:hyperlink r:id="rId9">
        <w:r>
          <w:rPr>
            <w:color w:val="0462C1"/>
            <w:u w:val="single" w:color="0462C1"/>
          </w:rPr>
          <w:t>https://ukraineinvest.com/</w:t>
        </w:r>
      </w:hyperlink>
      <w:r>
        <w:t>.</w:t>
      </w:r>
    </w:p>
    <w:p w:rsidR="0031115C" w:rsidRDefault="00B27B65" w:rsidP="008425D5">
      <w:pPr>
        <w:pStyle w:val="a3"/>
        <w:tabs>
          <w:tab w:val="left" w:pos="2493"/>
          <w:tab w:val="left" w:pos="3700"/>
          <w:tab w:val="left" w:pos="5688"/>
          <w:tab w:val="left" w:pos="7379"/>
          <w:tab w:val="left" w:pos="8228"/>
        </w:tabs>
        <w:spacing w:before="121"/>
        <w:ind w:left="0" w:right="72" w:firstLine="567"/>
      </w:pPr>
      <w:r>
        <w:t>Також</w:t>
      </w:r>
      <w:r w:rsidR="00897440" w:rsidRPr="00897440">
        <w:t xml:space="preserve"> </w:t>
      </w:r>
      <w:r>
        <w:t xml:space="preserve"> Офісом сформовано інвестиційний атлас, </w:t>
      </w:r>
      <w:r w:rsidR="00897440" w:rsidRPr="00897440">
        <w:t xml:space="preserve"> </w:t>
      </w:r>
      <w:r>
        <w:t>який містить інвестиційні пропозиції з різних відомств та регіональних органів влади, доступний для розповсюдження</w:t>
      </w:r>
      <w:r>
        <w:tab/>
        <w:t>серед</w:t>
      </w:r>
      <w:r w:rsidR="00897440" w:rsidRPr="00897440">
        <w:t xml:space="preserve"> </w:t>
      </w:r>
      <w:r>
        <w:t>зацікавлених</w:t>
      </w:r>
      <w:r>
        <w:tab/>
        <w:t>інвесторів</w:t>
      </w:r>
      <w:r>
        <w:tab/>
        <w:t>за</w:t>
      </w:r>
      <w:r>
        <w:tab/>
        <w:t xml:space="preserve">посиланням </w:t>
      </w:r>
      <w:hyperlink r:id="rId10">
        <w:r>
          <w:rPr>
            <w:color w:val="0462C1"/>
            <w:u w:val="single" w:color="0462C1"/>
          </w:rPr>
          <w:t>https://ukraineinvest.com/life-in-ukraine/invest-atlas/</w:t>
        </w:r>
        <w:r>
          <w:rPr>
            <w:rFonts w:ascii="Calibri" w:hAnsi="Calibri"/>
            <w:sz w:val="22"/>
          </w:rPr>
          <w:t>,</w:t>
        </w:r>
      </w:hyperlink>
      <w:r>
        <w:t xml:space="preserve">та підготовлено </w:t>
      </w:r>
      <w:proofErr w:type="spellStart"/>
      <w:r>
        <w:t>UkraineInvestGuide</w:t>
      </w:r>
      <w:proofErr w:type="spellEnd"/>
      <w:r>
        <w:t xml:space="preserve"> – універсальний довідник для іноземних інвесторів і джерело інформації про інвестиційний потенціал в різних галузях економіки України, доступний за посиланням </w:t>
      </w:r>
      <w:hyperlink r:id="rId11">
        <w:r>
          <w:rPr>
            <w:color w:val="0462C1"/>
            <w:u w:val="single" w:color="0462C1"/>
          </w:rPr>
          <w:t>https://ukraineinvest.gov.ua/uk/guide/</w:t>
        </w:r>
      </w:hyperlink>
      <w:r>
        <w:t>.</w:t>
      </w:r>
    </w:p>
    <w:p w:rsidR="007304CB" w:rsidRPr="00767F92" w:rsidRDefault="00B27B65" w:rsidP="001674AC">
      <w:pPr>
        <w:spacing w:before="100" w:after="120"/>
        <w:ind w:right="72" w:firstLine="567"/>
        <w:jc w:val="both"/>
        <w:textAlignment w:val="baseline"/>
        <w:rPr>
          <w:sz w:val="24"/>
          <w:szCs w:val="24"/>
        </w:rPr>
      </w:pPr>
      <w:r w:rsidRPr="00767F92">
        <w:rPr>
          <w:sz w:val="24"/>
          <w:szCs w:val="24"/>
        </w:rPr>
        <w:t xml:space="preserve">З метою стимулювання залучення в економіку України стратегічних інвесторів, підвищення інвестиційної привабливості України, а також зростання конкурентоспроможності економіки через запровадження державної підтримки великих інвестиційних проектів, </w:t>
      </w:r>
      <w:r w:rsidR="001674AC">
        <w:rPr>
          <w:sz w:val="24"/>
          <w:szCs w:val="24"/>
        </w:rPr>
        <w:t>13</w:t>
      </w:r>
      <w:r w:rsidR="007304CB" w:rsidRPr="00767F92">
        <w:rPr>
          <w:sz w:val="24"/>
          <w:szCs w:val="24"/>
        </w:rPr>
        <w:t xml:space="preserve"> лютого 2021 року </w:t>
      </w:r>
      <w:r w:rsidR="001674AC">
        <w:rPr>
          <w:sz w:val="24"/>
          <w:szCs w:val="24"/>
        </w:rPr>
        <w:t xml:space="preserve">набрав чинності </w:t>
      </w:r>
      <w:r w:rsidR="007304CB" w:rsidRPr="00767F92">
        <w:rPr>
          <w:sz w:val="24"/>
          <w:szCs w:val="24"/>
        </w:rPr>
        <w:t>Закон</w:t>
      </w:r>
      <w:r w:rsidR="001674AC">
        <w:rPr>
          <w:sz w:val="24"/>
          <w:szCs w:val="24"/>
        </w:rPr>
        <w:t xml:space="preserve"> України</w:t>
      </w:r>
      <w:r w:rsidR="00897440" w:rsidRPr="00897440">
        <w:rPr>
          <w:sz w:val="24"/>
          <w:szCs w:val="24"/>
        </w:rPr>
        <w:t xml:space="preserve"> </w:t>
      </w:r>
      <w:r w:rsidR="00894255">
        <w:rPr>
          <w:sz w:val="24"/>
          <w:szCs w:val="24"/>
        </w:rPr>
        <w:t>ві</w:t>
      </w:r>
      <w:r w:rsidR="00815877">
        <w:rPr>
          <w:sz w:val="24"/>
          <w:szCs w:val="24"/>
        </w:rPr>
        <w:t>д 17 грудня</w:t>
      </w:r>
      <w:r w:rsidR="00897440" w:rsidRPr="00897440">
        <w:rPr>
          <w:sz w:val="24"/>
          <w:szCs w:val="24"/>
        </w:rPr>
        <w:t xml:space="preserve"> </w:t>
      </w:r>
      <w:r w:rsidR="00894255">
        <w:rPr>
          <w:sz w:val="24"/>
          <w:szCs w:val="24"/>
        </w:rPr>
        <w:t>2020</w:t>
      </w:r>
      <w:r w:rsidR="003A7F04" w:rsidRPr="00A62EFF">
        <w:rPr>
          <w:sz w:val="24"/>
          <w:szCs w:val="24"/>
        </w:rPr>
        <w:t xml:space="preserve"> року</w:t>
      </w:r>
      <w:r w:rsidR="00897440" w:rsidRPr="00897440">
        <w:rPr>
          <w:sz w:val="24"/>
          <w:szCs w:val="24"/>
        </w:rPr>
        <w:t xml:space="preserve"> </w:t>
      </w:r>
      <w:r w:rsidR="00894255">
        <w:rPr>
          <w:sz w:val="24"/>
          <w:szCs w:val="24"/>
        </w:rPr>
        <w:t xml:space="preserve">№ 1116-ІХ </w:t>
      </w:r>
      <w:r w:rsidR="007304CB" w:rsidRPr="00767F92">
        <w:rPr>
          <w:sz w:val="24"/>
          <w:szCs w:val="24"/>
        </w:rPr>
        <w:t>«Про державну підтримку інвестиційних проектів із з</w:t>
      </w:r>
      <w:r w:rsidR="00894255">
        <w:rPr>
          <w:sz w:val="24"/>
          <w:szCs w:val="24"/>
        </w:rPr>
        <w:t xml:space="preserve">начними інвестиціями в Україні». </w:t>
      </w:r>
      <w:r w:rsidR="007304CB" w:rsidRPr="00767F92">
        <w:rPr>
          <w:sz w:val="24"/>
          <w:szCs w:val="24"/>
        </w:rPr>
        <w:t xml:space="preserve">Цей документ сприятиме відновленню інвестиційної активності в Україні після кризового 2020 року. </w:t>
      </w:r>
    </w:p>
    <w:p w:rsidR="009F0F0A" w:rsidRPr="00767F92" w:rsidRDefault="009F0F0A" w:rsidP="007304CB">
      <w:pPr>
        <w:spacing w:before="100" w:after="120"/>
        <w:ind w:right="-142" w:firstLine="567"/>
        <w:jc w:val="both"/>
        <w:textAlignment w:val="baseline"/>
        <w:rPr>
          <w:sz w:val="24"/>
          <w:szCs w:val="24"/>
        </w:rPr>
      </w:pPr>
      <w:r w:rsidRPr="009F0F0A">
        <w:rPr>
          <w:sz w:val="24"/>
          <w:szCs w:val="24"/>
        </w:rPr>
        <w:t xml:space="preserve">Зокрема, положеннями </w:t>
      </w:r>
      <w:r w:rsidR="00A62EFF">
        <w:rPr>
          <w:sz w:val="24"/>
          <w:szCs w:val="24"/>
        </w:rPr>
        <w:t>З</w:t>
      </w:r>
      <w:bookmarkStart w:id="0" w:name="_GoBack"/>
      <w:bookmarkEnd w:id="0"/>
      <w:r w:rsidR="00C55D68">
        <w:rPr>
          <w:sz w:val="24"/>
          <w:szCs w:val="24"/>
        </w:rPr>
        <w:t>акону</w:t>
      </w:r>
      <w:r w:rsidRPr="009F0F0A">
        <w:rPr>
          <w:sz w:val="24"/>
          <w:szCs w:val="24"/>
        </w:rPr>
        <w:t xml:space="preserve"> визначено, що інвестиційний проект із значними інвестиціями має відповідати певним критеріям, а саме: </w:t>
      </w:r>
    </w:p>
    <w:p w:rsidR="009F0F0A" w:rsidRPr="009F0F0A" w:rsidRDefault="009F0F0A" w:rsidP="009F0F0A">
      <w:pPr>
        <w:pStyle w:val="a5"/>
        <w:widowControl/>
        <w:numPr>
          <w:ilvl w:val="0"/>
          <w:numId w:val="2"/>
        </w:numPr>
        <w:autoSpaceDE/>
        <w:autoSpaceDN/>
        <w:spacing w:before="115"/>
        <w:ind w:left="0" w:right="-1" w:firstLine="567"/>
        <w:contextualSpacing/>
        <w:rPr>
          <w:sz w:val="24"/>
          <w:szCs w:val="24"/>
        </w:rPr>
      </w:pPr>
      <w:r w:rsidRPr="009F0F0A">
        <w:rPr>
          <w:sz w:val="24"/>
          <w:szCs w:val="24"/>
        </w:rPr>
        <w:t xml:space="preserve">сума інвестицій повинна перевищувати 20 млн. євро; </w:t>
      </w:r>
    </w:p>
    <w:p w:rsidR="009F0F0A" w:rsidRPr="009F0F0A" w:rsidRDefault="009F0F0A" w:rsidP="009F0F0A">
      <w:pPr>
        <w:pStyle w:val="a5"/>
        <w:widowControl/>
        <w:numPr>
          <w:ilvl w:val="0"/>
          <w:numId w:val="2"/>
        </w:numPr>
        <w:autoSpaceDE/>
        <w:autoSpaceDN/>
        <w:spacing w:before="115"/>
        <w:ind w:left="0" w:right="-1" w:firstLine="567"/>
        <w:contextualSpacing/>
        <w:rPr>
          <w:sz w:val="24"/>
          <w:szCs w:val="24"/>
        </w:rPr>
      </w:pPr>
      <w:r w:rsidRPr="009F0F0A">
        <w:rPr>
          <w:sz w:val="24"/>
          <w:szCs w:val="24"/>
        </w:rPr>
        <w:t xml:space="preserve">строк реалізації інвестиційного проекту до 5 років; </w:t>
      </w:r>
    </w:p>
    <w:p w:rsidR="009F0F0A" w:rsidRPr="009F0F0A" w:rsidRDefault="009F0F0A" w:rsidP="009F0F0A">
      <w:pPr>
        <w:pStyle w:val="a5"/>
        <w:widowControl/>
        <w:numPr>
          <w:ilvl w:val="0"/>
          <w:numId w:val="2"/>
        </w:numPr>
        <w:autoSpaceDE/>
        <w:autoSpaceDN/>
        <w:spacing w:before="115"/>
        <w:ind w:left="0" w:right="-1" w:firstLine="567"/>
        <w:contextualSpacing/>
        <w:rPr>
          <w:sz w:val="24"/>
          <w:szCs w:val="24"/>
        </w:rPr>
      </w:pPr>
      <w:r w:rsidRPr="009F0F0A">
        <w:rPr>
          <w:sz w:val="24"/>
          <w:szCs w:val="24"/>
        </w:rPr>
        <w:t xml:space="preserve">створення </w:t>
      </w:r>
      <w:proofErr w:type="spellStart"/>
      <w:r w:rsidRPr="009F0F0A">
        <w:rPr>
          <w:sz w:val="24"/>
          <w:szCs w:val="24"/>
        </w:rPr>
        <w:t>min</w:t>
      </w:r>
      <w:proofErr w:type="spellEnd"/>
      <w:r w:rsidRPr="009F0F0A">
        <w:rPr>
          <w:sz w:val="24"/>
          <w:szCs w:val="24"/>
        </w:rPr>
        <w:t xml:space="preserve"> 80 робочих місць з </w:t>
      </w:r>
      <w:proofErr w:type="spellStart"/>
      <w:r w:rsidRPr="009F0F0A">
        <w:rPr>
          <w:sz w:val="24"/>
          <w:szCs w:val="24"/>
        </w:rPr>
        <w:t>min</w:t>
      </w:r>
      <w:proofErr w:type="spellEnd"/>
      <w:r w:rsidRPr="009F0F0A">
        <w:rPr>
          <w:sz w:val="24"/>
          <w:szCs w:val="24"/>
        </w:rPr>
        <w:t xml:space="preserve"> зарплатою +15% ніж середня у відповідній галузі у регіоні; </w:t>
      </w:r>
    </w:p>
    <w:p w:rsidR="009F0F0A" w:rsidRDefault="009F0F0A" w:rsidP="009F0F0A">
      <w:pPr>
        <w:pStyle w:val="a5"/>
        <w:widowControl/>
        <w:numPr>
          <w:ilvl w:val="0"/>
          <w:numId w:val="2"/>
        </w:numPr>
        <w:autoSpaceDE/>
        <w:autoSpaceDN/>
        <w:spacing w:before="115"/>
        <w:ind w:left="0" w:right="-1" w:firstLine="567"/>
        <w:contextualSpacing/>
        <w:rPr>
          <w:sz w:val="24"/>
          <w:szCs w:val="24"/>
        </w:rPr>
      </w:pPr>
      <w:r w:rsidRPr="009F0F0A">
        <w:rPr>
          <w:sz w:val="24"/>
          <w:szCs w:val="24"/>
        </w:rPr>
        <w:t xml:space="preserve">види економічної діяльності: сфера переробної промисловості (крім діяльності з виробництва та обігу тютюнових виробів, спирту етилового, коньячного і плодового, алкогольних напоїв), добування з метою подальшої переробки та/або збагачення корисних копалин (крім кам’яного та бурого вугілля, сирої нафти та природного газу), поводження з відходами, транспорт, складське господарство, поштова та кур'єрська діяльність, логістика, освіта, наукова та науково-технічна діяльність, охорона здоров'я, мистецтво, культура, спорт, туризм та курортно-рекреаційна сфера. </w:t>
      </w:r>
    </w:p>
    <w:p w:rsidR="00F40631" w:rsidRPr="00F40631" w:rsidRDefault="00F40631" w:rsidP="00F40631">
      <w:pPr>
        <w:pStyle w:val="a3"/>
        <w:ind w:left="0" w:right="105" w:firstLine="567"/>
      </w:pPr>
      <w:r>
        <w:t>Також потрібно зазначити, що державна</w:t>
      </w:r>
      <w:r w:rsidRPr="00F40631">
        <w:t xml:space="preserve"> підтримка інвестиційних проектів із значними інвестиціями</w:t>
      </w:r>
      <w:r>
        <w:t xml:space="preserve"> може надаватись</w:t>
      </w:r>
      <w:r w:rsidRPr="00F40631">
        <w:t xml:space="preserve"> інвестору із значними інвестиціями у таких формах:</w:t>
      </w:r>
    </w:p>
    <w:p w:rsidR="00F40631" w:rsidRPr="00F40631" w:rsidRDefault="00F40631" w:rsidP="00F40631">
      <w:pPr>
        <w:pStyle w:val="a3"/>
        <w:ind w:left="0" w:right="105" w:firstLine="567"/>
      </w:pPr>
      <w:r w:rsidRPr="00F40631">
        <w:t>1)</w:t>
      </w:r>
      <w:r w:rsidR="00897440">
        <w:rPr>
          <w:lang w:val="ru-RU"/>
        </w:rPr>
        <w:t xml:space="preserve"> </w:t>
      </w:r>
      <w:r w:rsidRPr="00F40631">
        <w:t>звільнення від сплати окремих податків та зборів відповідно до Податкового кодексу України;</w:t>
      </w:r>
    </w:p>
    <w:p w:rsidR="00F40631" w:rsidRPr="00F40631" w:rsidRDefault="00F40631" w:rsidP="00F40631">
      <w:pPr>
        <w:pStyle w:val="a3"/>
        <w:ind w:left="0" w:right="105" w:firstLine="567"/>
      </w:pPr>
      <w:r w:rsidRPr="00F40631">
        <w:t xml:space="preserve">2) </w:t>
      </w:r>
      <w:r w:rsidR="00897440" w:rsidRPr="00897440">
        <w:t xml:space="preserve"> </w:t>
      </w:r>
      <w:r w:rsidRPr="00F40631">
        <w:t>звільнення від оподаткування ввізним митом нового устаткування (обладнання) та комплектуючих виробів до нього, що ввозяться виключно для реалізації інвестиційного проекту із значними інвестиціями на виконання спеціального інвестиційного договору, відповідно до Митного кодексу України;</w:t>
      </w:r>
    </w:p>
    <w:p w:rsidR="00F40631" w:rsidRPr="00F40631" w:rsidRDefault="00F40631" w:rsidP="00F40631">
      <w:pPr>
        <w:pStyle w:val="a3"/>
        <w:ind w:left="0" w:right="105" w:firstLine="567"/>
      </w:pPr>
      <w:r w:rsidRPr="00F40631">
        <w:t xml:space="preserve">3) забезпечення переважного права землекористування земельною ділянкою державної або комунальної власності для реалізації інвестиційного проекту із значними інвестиціями - надання земельної ділянки державної або комунальної власності у </w:t>
      </w:r>
      <w:r w:rsidRPr="00F40631">
        <w:lastRenderedPageBreak/>
        <w:t>користування (оренду) для реалізації інвестиційного проекту із значними інвестиціями на умовах, визначених з урахуванням зобов'язань, передбачених спеціальним інвестиційним договором, та з переважним правом інвестора із значними інвестиціями придбання такої земельної ділянки у власність після спливу строку дії спеціального інвестиційного договору (крім випадків його дострокового припинення), якщо таке право передбачено спеціальним інвестиційним договором;</w:t>
      </w:r>
    </w:p>
    <w:p w:rsidR="00F40631" w:rsidRPr="00F40631" w:rsidRDefault="00F40631" w:rsidP="00F40631">
      <w:pPr>
        <w:pStyle w:val="a3"/>
        <w:ind w:left="0" w:right="105" w:firstLine="567"/>
      </w:pPr>
      <w:r w:rsidRPr="00F40631">
        <w:t xml:space="preserve">4) </w:t>
      </w:r>
      <w:r w:rsidR="00897440" w:rsidRPr="00897440">
        <w:t xml:space="preserve"> </w:t>
      </w:r>
      <w:r w:rsidRPr="00F40631">
        <w:t xml:space="preserve">забезпечення за рахунок коштів державного, місцевих бюджетів та з інших джерел, не заборонених законом, будівництва об'єктів суміжної інфраструктури (автомобільних шляхів, ліній зв'язку, засобів </w:t>
      </w:r>
      <w:proofErr w:type="spellStart"/>
      <w:r w:rsidRPr="00F40631">
        <w:t>тепло-</w:t>
      </w:r>
      <w:proofErr w:type="spellEnd"/>
      <w:r w:rsidRPr="00F40631">
        <w:t xml:space="preserve">, </w:t>
      </w:r>
      <w:proofErr w:type="spellStart"/>
      <w:r w:rsidRPr="00F40631">
        <w:t>газо-</w:t>
      </w:r>
      <w:proofErr w:type="spellEnd"/>
      <w:r w:rsidRPr="00F40631">
        <w:t xml:space="preserve">, </w:t>
      </w:r>
      <w:proofErr w:type="spellStart"/>
      <w:r w:rsidRPr="00F40631">
        <w:t>водо-</w:t>
      </w:r>
      <w:proofErr w:type="spellEnd"/>
      <w:r w:rsidRPr="00F40631">
        <w:t xml:space="preserve"> та електропостачання, інженерних комунікацій тощо), необхідних для реалізації інвестиційного проекту із значними інвестиціями.</w:t>
      </w:r>
    </w:p>
    <w:p w:rsidR="00F40631" w:rsidRDefault="00F40631" w:rsidP="00F40631">
      <w:pPr>
        <w:pStyle w:val="a3"/>
        <w:ind w:left="0" w:right="105" w:firstLine="567"/>
      </w:pPr>
    </w:p>
    <w:p w:rsidR="009F0F0A" w:rsidRPr="00E95BD7" w:rsidRDefault="009F0F0A" w:rsidP="00E95BD7">
      <w:pPr>
        <w:pStyle w:val="a3"/>
        <w:ind w:left="0" w:right="105" w:firstLine="567"/>
      </w:pPr>
    </w:p>
    <w:sectPr w:rsidR="009F0F0A" w:rsidRPr="00E95BD7" w:rsidSect="00E15E28">
      <w:headerReference w:type="default" r:id="rId12"/>
      <w:pgSz w:w="11910" w:h="16840"/>
      <w:pgMar w:top="1140" w:right="740" w:bottom="1418" w:left="1600" w:header="74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465" w:rsidRDefault="00F70465" w:rsidP="0031115C">
      <w:r>
        <w:separator/>
      </w:r>
    </w:p>
  </w:endnote>
  <w:endnote w:type="continuationSeparator" w:id="1">
    <w:p w:rsidR="00F70465" w:rsidRDefault="00F70465" w:rsidP="003111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0D0" w:rsidRDefault="00AC40D0" w:rsidP="00AC40D0">
    <w:pPr>
      <w:pStyle w:val="a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465" w:rsidRDefault="00F70465" w:rsidP="0031115C">
      <w:r>
        <w:separator/>
      </w:r>
    </w:p>
  </w:footnote>
  <w:footnote w:type="continuationSeparator" w:id="1">
    <w:p w:rsidR="00F70465" w:rsidRDefault="00F70465" w:rsidP="003111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0D0" w:rsidRDefault="001674AC" w:rsidP="00AC40D0">
    <w:pPr>
      <w:pStyle w:val="a6"/>
      <w:jc w:val="right"/>
    </w:pPr>
    <w:r>
      <w:t>Станом на 15</w:t>
    </w:r>
    <w:r w:rsidR="00AC40D0">
      <w:t>.02.2021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15C" w:rsidRDefault="00AB7B4B">
    <w:pPr>
      <w:pStyle w:val="a3"/>
      <w:spacing w:before="0" w:line="14" w:lineRule="auto"/>
      <w:ind w:left="0" w:firstLine="0"/>
      <w:jc w:val="left"/>
      <w:rPr>
        <w:sz w:val="20"/>
      </w:rPr>
    </w:pPr>
    <w:r w:rsidRPr="00AB7B4B">
      <w:rPr>
        <w:noProof/>
        <w:lang w:eastAsia="uk-UA"/>
      </w:rPr>
      <w:pict>
        <v:shapetype id="_x0000_t202" coordsize="21600,21600" o:spt="202" path="m,l,21600r21600,l21600,xe">
          <v:stroke joinstyle="miter"/>
          <v:path gradientshapeok="t" o:connecttype="rect"/>
        </v:shapetype>
        <v:shape id="Text Box 1" o:spid="_x0000_s4097" type="#_x0000_t202" style="position:absolute;margin-left:313.25pt;margin-top:36.45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" filled="f" stroked="f">
          <v:path arrowok="t"/>
          <v:textbox inset="0,0,0,0">
            <w:txbxContent>
              <w:p w:rsidR="0031115C" w:rsidRDefault="00AB7B4B">
                <w:pPr>
                  <w:spacing w:line="245" w:lineRule="exact"/>
                  <w:ind w:left="60"/>
                  <w:rPr>
                    <w:rFonts w:ascii="Calibri"/>
                  </w:rPr>
                </w:pPr>
                <w:r>
                  <w:fldChar w:fldCharType="begin"/>
                </w:r>
                <w:r w:rsidR="00B27B65">
                  <w:rPr>
                    <w:rFonts w:ascii="Calibri"/>
                  </w:rPr>
                  <w:instrText xml:space="preserve"> PAGE </w:instrText>
                </w:r>
                <w:r>
                  <w:fldChar w:fldCharType="separate"/>
                </w:r>
                <w:r w:rsidR="00897440">
                  <w:rPr>
                    <w:rFonts w:ascii="Calibri"/>
                    <w:noProof/>
                  </w:rPr>
                  <w:t>5</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02E70"/>
    <w:multiLevelType w:val="hybridMultilevel"/>
    <w:tmpl w:val="5D54E294"/>
    <w:lvl w:ilvl="0" w:tplc="DE4A630C">
      <w:numFmt w:val="bullet"/>
      <w:lvlText w:val="-"/>
      <w:lvlJc w:val="left"/>
      <w:pPr>
        <w:ind w:left="1287" w:hanging="360"/>
      </w:pPr>
      <w:rPr>
        <w:rFonts w:ascii="Times New Roman" w:eastAsia="Times New Roman" w:hAnsi="Times New Roman" w:cs="Times New Roman" w:hint="default"/>
        <w:color w:val="0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7C4365F5"/>
    <w:multiLevelType w:val="hybridMultilevel"/>
    <w:tmpl w:val="0FFC795C"/>
    <w:lvl w:ilvl="0" w:tplc="44143660">
      <w:numFmt w:val="bullet"/>
      <w:lvlText w:val=""/>
      <w:lvlJc w:val="left"/>
      <w:pPr>
        <w:ind w:left="102" w:hanging="286"/>
      </w:pPr>
      <w:rPr>
        <w:rFonts w:ascii="Symbol" w:eastAsia="Symbol" w:hAnsi="Symbol" w:cs="Symbol" w:hint="default"/>
        <w:w w:val="100"/>
        <w:sz w:val="24"/>
        <w:szCs w:val="24"/>
        <w:lang w:val="uk-UA" w:eastAsia="en-US" w:bidi="ar-SA"/>
      </w:rPr>
    </w:lvl>
    <w:lvl w:ilvl="1" w:tplc="62B8925A">
      <w:numFmt w:val="bullet"/>
      <w:lvlText w:val="•"/>
      <w:lvlJc w:val="left"/>
      <w:pPr>
        <w:ind w:left="1046" w:hanging="286"/>
      </w:pPr>
      <w:rPr>
        <w:rFonts w:hint="default"/>
        <w:lang w:val="uk-UA" w:eastAsia="en-US" w:bidi="ar-SA"/>
      </w:rPr>
    </w:lvl>
    <w:lvl w:ilvl="2" w:tplc="05920F5C">
      <w:numFmt w:val="bullet"/>
      <w:lvlText w:val="•"/>
      <w:lvlJc w:val="left"/>
      <w:pPr>
        <w:ind w:left="1993" w:hanging="286"/>
      </w:pPr>
      <w:rPr>
        <w:rFonts w:hint="default"/>
        <w:lang w:val="uk-UA" w:eastAsia="en-US" w:bidi="ar-SA"/>
      </w:rPr>
    </w:lvl>
    <w:lvl w:ilvl="3" w:tplc="78FCBF5E">
      <w:numFmt w:val="bullet"/>
      <w:lvlText w:val="•"/>
      <w:lvlJc w:val="left"/>
      <w:pPr>
        <w:ind w:left="2939" w:hanging="286"/>
      </w:pPr>
      <w:rPr>
        <w:rFonts w:hint="default"/>
        <w:lang w:val="uk-UA" w:eastAsia="en-US" w:bidi="ar-SA"/>
      </w:rPr>
    </w:lvl>
    <w:lvl w:ilvl="4" w:tplc="FDF445F8">
      <w:numFmt w:val="bullet"/>
      <w:lvlText w:val="•"/>
      <w:lvlJc w:val="left"/>
      <w:pPr>
        <w:ind w:left="3886" w:hanging="286"/>
      </w:pPr>
      <w:rPr>
        <w:rFonts w:hint="default"/>
        <w:lang w:val="uk-UA" w:eastAsia="en-US" w:bidi="ar-SA"/>
      </w:rPr>
    </w:lvl>
    <w:lvl w:ilvl="5" w:tplc="A57AE442">
      <w:numFmt w:val="bullet"/>
      <w:lvlText w:val="•"/>
      <w:lvlJc w:val="left"/>
      <w:pPr>
        <w:ind w:left="4833" w:hanging="286"/>
      </w:pPr>
      <w:rPr>
        <w:rFonts w:hint="default"/>
        <w:lang w:val="uk-UA" w:eastAsia="en-US" w:bidi="ar-SA"/>
      </w:rPr>
    </w:lvl>
    <w:lvl w:ilvl="6" w:tplc="577A34CC">
      <w:numFmt w:val="bullet"/>
      <w:lvlText w:val="•"/>
      <w:lvlJc w:val="left"/>
      <w:pPr>
        <w:ind w:left="5779" w:hanging="286"/>
      </w:pPr>
      <w:rPr>
        <w:rFonts w:hint="default"/>
        <w:lang w:val="uk-UA" w:eastAsia="en-US" w:bidi="ar-SA"/>
      </w:rPr>
    </w:lvl>
    <w:lvl w:ilvl="7" w:tplc="002C0E42">
      <w:numFmt w:val="bullet"/>
      <w:lvlText w:val="•"/>
      <w:lvlJc w:val="left"/>
      <w:pPr>
        <w:ind w:left="6726" w:hanging="286"/>
      </w:pPr>
      <w:rPr>
        <w:rFonts w:hint="default"/>
        <w:lang w:val="uk-UA" w:eastAsia="en-US" w:bidi="ar-SA"/>
      </w:rPr>
    </w:lvl>
    <w:lvl w:ilvl="8" w:tplc="582AD078">
      <w:numFmt w:val="bullet"/>
      <w:lvlText w:val="•"/>
      <w:lvlJc w:val="left"/>
      <w:pPr>
        <w:ind w:left="7673" w:hanging="286"/>
      </w:pPr>
      <w:rPr>
        <w:rFonts w:hint="default"/>
        <w:lang w:val="uk-UA"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ulTrailSpace/>
  </w:compat>
  <w:rsids>
    <w:rsidRoot w:val="0031115C"/>
    <w:rsid w:val="00025CC7"/>
    <w:rsid w:val="00062EF9"/>
    <w:rsid w:val="00094248"/>
    <w:rsid w:val="000A2A45"/>
    <w:rsid w:val="000D36EE"/>
    <w:rsid w:val="000E76F4"/>
    <w:rsid w:val="00104C2E"/>
    <w:rsid w:val="001674AC"/>
    <w:rsid w:val="001848A3"/>
    <w:rsid w:val="001F740D"/>
    <w:rsid w:val="0020308C"/>
    <w:rsid w:val="0025715D"/>
    <w:rsid w:val="0028372B"/>
    <w:rsid w:val="00293708"/>
    <w:rsid w:val="002A3E3E"/>
    <w:rsid w:val="0031115C"/>
    <w:rsid w:val="00332955"/>
    <w:rsid w:val="00360CB8"/>
    <w:rsid w:val="003702C1"/>
    <w:rsid w:val="003710DE"/>
    <w:rsid w:val="003A7F04"/>
    <w:rsid w:val="003D5D78"/>
    <w:rsid w:val="003E0AB5"/>
    <w:rsid w:val="00433A2B"/>
    <w:rsid w:val="004E1116"/>
    <w:rsid w:val="00500963"/>
    <w:rsid w:val="00567187"/>
    <w:rsid w:val="00596D24"/>
    <w:rsid w:val="005E2B69"/>
    <w:rsid w:val="00696C7B"/>
    <w:rsid w:val="006B02F3"/>
    <w:rsid w:val="006D0DE6"/>
    <w:rsid w:val="006D65B7"/>
    <w:rsid w:val="006E6572"/>
    <w:rsid w:val="006F0543"/>
    <w:rsid w:val="006F2A73"/>
    <w:rsid w:val="007304CB"/>
    <w:rsid w:val="00767F92"/>
    <w:rsid w:val="007D408A"/>
    <w:rsid w:val="007D7694"/>
    <w:rsid w:val="00815877"/>
    <w:rsid w:val="008425D5"/>
    <w:rsid w:val="00882DCF"/>
    <w:rsid w:val="00890C45"/>
    <w:rsid w:val="00894255"/>
    <w:rsid w:val="00897440"/>
    <w:rsid w:val="00914385"/>
    <w:rsid w:val="009373C3"/>
    <w:rsid w:val="00954D66"/>
    <w:rsid w:val="009709A6"/>
    <w:rsid w:val="009A7EB5"/>
    <w:rsid w:val="009B0999"/>
    <w:rsid w:val="009F0F0A"/>
    <w:rsid w:val="00A40F33"/>
    <w:rsid w:val="00A62EFF"/>
    <w:rsid w:val="00AB7B4B"/>
    <w:rsid w:val="00AC40D0"/>
    <w:rsid w:val="00AF782F"/>
    <w:rsid w:val="00B27B65"/>
    <w:rsid w:val="00B9219E"/>
    <w:rsid w:val="00B95E56"/>
    <w:rsid w:val="00BB1FE2"/>
    <w:rsid w:val="00BF0F04"/>
    <w:rsid w:val="00BF7DB6"/>
    <w:rsid w:val="00C55D68"/>
    <w:rsid w:val="00C70F0B"/>
    <w:rsid w:val="00C806AC"/>
    <w:rsid w:val="00CE646F"/>
    <w:rsid w:val="00CF1DF2"/>
    <w:rsid w:val="00D132FF"/>
    <w:rsid w:val="00D26764"/>
    <w:rsid w:val="00D9469B"/>
    <w:rsid w:val="00DB03A7"/>
    <w:rsid w:val="00E15E28"/>
    <w:rsid w:val="00E92B20"/>
    <w:rsid w:val="00E95BD7"/>
    <w:rsid w:val="00EF7B60"/>
    <w:rsid w:val="00F01D8C"/>
    <w:rsid w:val="00F11E28"/>
    <w:rsid w:val="00F2247E"/>
    <w:rsid w:val="00F40631"/>
    <w:rsid w:val="00F41BD3"/>
    <w:rsid w:val="00F44FA3"/>
    <w:rsid w:val="00F6272C"/>
    <w:rsid w:val="00F70465"/>
    <w:rsid w:val="00F8122B"/>
    <w:rsid w:val="00F845BB"/>
    <w:rsid w:val="00F85180"/>
    <w:rsid w:val="00F917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1115C"/>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1115C"/>
    <w:tblPr>
      <w:tblInd w:w="0" w:type="dxa"/>
      <w:tblCellMar>
        <w:top w:w="0" w:type="dxa"/>
        <w:left w:w="0" w:type="dxa"/>
        <w:bottom w:w="0" w:type="dxa"/>
        <w:right w:w="0" w:type="dxa"/>
      </w:tblCellMar>
    </w:tblPr>
  </w:style>
  <w:style w:type="paragraph" w:styleId="a3">
    <w:name w:val="Body Text"/>
    <w:basedOn w:val="a"/>
    <w:uiPriority w:val="1"/>
    <w:qFormat/>
    <w:rsid w:val="0031115C"/>
    <w:pPr>
      <w:spacing w:before="120"/>
      <w:ind w:left="102" w:firstLine="566"/>
      <w:jc w:val="both"/>
    </w:pPr>
    <w:rPr>
      <w:sz w:val="24"/>
      <w:szCs w:val="24"/>
    </w:rPr>
  </w:style>
  <w:style w:type="paragraph" w:styleId="a4">
    <w:name w:val="Title"/>
    <w:basedOn w:val="a"/>
    <w:uiPriority w:val="1"/>
    <w:qFormat/>
    <w:rsid w:val="0031115C"/>
    <w:pPr>
      <w:spacing w:before="74"/>
      <w:ind w:left="2766"/>
      <w:jc w:val="both"/>
    </w:pPr>
    <w:rPr>
      <w:b/>
      <w:bCs/>
      <w:sz w:val="26"/>
      <w:szCs w:val="26"/>
    </w:rPr>
  </w:style>
  <w:style w:type="paragraph" w:styleId="a5">
    <w:name w:val="List Paragraph"/>
    <w:basedOn w:val="a"/>
    <w:uiPriority w:val="34"/>
    <w:qFormat/>
    <w:rsid w:val="0031115C"/>
    <w:pPr>
      <w:spacing w:before="121"/>
      <w:ind w:left="102" w:firstLine="707"/>
      <w:jc w:val="both"/>
    </w:pPr>
  </w:style>
  <w:style w:type="paragraph" w:customStyle="1" w:styleId="TableParagraph">
    <w:name w:val="Table Paragraph"/>
    <w:basedOn w:val="a"/>
    <w:uiPriority w:val="1"/>
    <w:qFormat/>
    <w:rsid w:val="0031115C"/>
  </w:style>
  <w:style w:type="paragraph" w:customStyle="1" w:styleId="StyleZakonu">
    <w:name w:val="StyleZakonu"/>
    <w:basedOn w:val="a"/>
    <w:rsid w:val="00F40631"/>
    <w:pPr>
      <w:widowControl/>
      <w:autoSpaceDE/>
      <w:autoSpaceDN/>
      <w:spacing w:after="60" w:line="220" w:lineRule="exact"/>
      <w:ind w:firstLine="284"/>
      <w:jc w:val="both"/>
    </w:pPr>
    <w:rPr>
      <w:sz w:val="20"/>
      <w:szCs w:val="20"/>
      <w:lang w:eastAsia="ru-RU"/>
    </w:rPr>
  </w:style>
  <w:style w:type="paragraph" w:styleId="a6">
    <w:name w:val="header"/>
    <w:basedOn w:val="a"/>
    <w:link w:val="a7"/>
    <w:uiPriority w:val="99"/>
    <w:unhideWhenUsed/>
    <w:rsid w:val="00AC40D0"/>
    <w:pPr>
      <w:tabs>
        <w:tab w:val="center" w:pos="4819"/>
        <w:tab w:val="right" w:pos="9639"/>
      </w:tabs>
    </w:pPr>
  </w:style>
  <w:style w:type="character" w:customStyle="1" w:styleId="a7">
    <w:name w:val="Верхний колонтитул Знак"/>
    <w:basedOn w:val="a0"/>
    <w:link w:val="a6"/>
    <w:uiPriority w:val="99"/>
    <w:rsid w:val="00AC40D0"/>
    <w:rPr>
      <w:rFonts w:ascii="Times New Roman" w:eastAsia="Times New Roman" w:hAnsi="Times New Roman" w:cs="Times New Roman"/>
      <w:lang w:val="uk-UA"/>
    </w:rPr>
  </w:style>
  <w:style w:type="paragraph" w:styleId="a8">
    <w:name w:val="footer"/>
    <w:basedOn w:val="a"/>
    <w:link w:val="a9"/>
    <w:uiPriority w:val="99"/>
    <w:unhideWhenUsed/>
    <w:rsid w:val="00AC40D0"/>
    <w:pPr>
      <w:tabs>
        <w:tab w:val="center" w:pos="4819"/>
        <w:tab w:val="right" w:pos="9639"/>
      </w:tabs>
    </w:pPr>
  </w:style>
  <w:style w:type="character" w:customStyle="1" w:styleId="a9">
    <w:name w:val="Нижний колонтитул Знак"/>
    <w:basedOn w:val="a0"/>
    <w:link w:val="a8"/>
    <w:uiPriority w:val="99"/>
    <w:rsid w:val="00AC40D0"/>
    <w:rPr>
      <w:rFonts w:ascii="Times New Roman" w:eastAsia="Times New Roman" w:hAnsi="Times New Roman" w:cs="Times New Roman"/>
      <w:lang w:val="uk-UA"/>
    </w:rPr>
  </w:style>
</w:styles>
</file>

<file path=word/webSettings.xml><?xml version="1.0" encoding="utf-8"?>
<w:webSettings xmlns:r="http://schemas.openxmlformats.org/officeDocument/2006/relationships" xmlns:w="http://schemas.openxmlformats.org/wordprocessingml/2006/main">
  <w:divs>
    <w:div w:id="116067569">
      <w:bodyDiv w:val="1"/>
      <w:marLeft w:val="0"/>
      <w:marRight w:val="0"/>
      <w:marTop w:val="0"/>
      <w:marBottom w:val="0"/>
      <w:divBdr>
        <w:top w:val="none" w:sz="0" w:space="0" w:color="auto"/>
        <w:left w:val="none" w:sz="0" w:space="0" w:color="auto"/>
        <w:bottom w:val="none" w:sz="0" w:space="0" w:color="auto"/>
        <w:right w:val="none" w:sz="0" w:space="0" w:color="auto"/>
      </w:divBdr>
    </w:div>
    <w:div w:id="597833146">
      <w:bodyDiv w:val="1"/>
      <w:marLeft w:val="0"/>
      <w:marRight w:val="0"/>
      <w:marTop w:val="0"/>
      <w:marBottom w:val="0"/>
      <w:divBdr>
        <w:top w:val="none" w:sz="0" w:space="0" w:color="auto"/>
        <w:left w:val="none" w:sz="0" w:space="0" w:color="auto"/>
        <w:bottom w:val="none" w:sz="0" w:space="0" w:color="auto"/>
        <w:right w:val="none" w:sz="0" w:space="0" w:color="auto"/>
      </w:divBdr>
    </w:div>
    <w:div w:id="751852365">
      <w:bodyDiv w:val="1"/>
      <w:marLeft w:val="0"/>
      <w:marRight w:val="0"/>
      <w:marTop w:val="0"/>
      <w:marBottom w:val="0"/>
      <w:divBdr>
        <w:top w:val="none" w:sz="0" w:space="0" w:color="auto"/>
        <w:left w:val="none" w:sz="0" w:space="0" w:color="auto"/>
        <w:bottom w:val="none" w:sz="0" w:space="0" w:color="auto"/>
        <w:right w:val="none" w:sz="0" w:space="0" w:color="auto"/>
      </w:divBdr>
      <w:divsChild>
        <w:div w:id="1935094867">
          <w:marLeft w:val="0"/>
          <w:marRight w:val="0"/>
          <w:marTop w:val="0"/>
          <w:marBottom w:val="0"/>
          <w:divBdr>
            <w:top w:val="none" w:sz="0" w:space="0" w:color="auto"/>
            <w:left w:val="none" w:sz="0" w:space="0" w:color="auto"/>
            <w:bottom w:val="none" w:sz="0" w:space="0" w:color="auto"/>
            <w:right w:val="none" w:sz="0" w:space="0" w:color="auto"/>
          </w:divBdr>
          <w:divsChild>
            <w:div w:id="365450019">
              <w:marLeft w:val="0"/>
              <w:marRight w:val="0"/>
              <w:marTop w:val="0"/>
              <w:marBottom w:val="0"/>
              <w:divBdr>
                <w:top w:val="none" w:sz="0" w:space="0" w:color="auto"/>
                <w:left w:val="none" w:sz="0" w:space="0" w:color="auto"/>
                <w:bottom w:val="none" w:sz="0" w:space="0" w:color="auto"/>
                <w:right w:val="none" w:sz="0" w:space="0" w:color="auto"/>
              </w:divBdr>
            </w:div>
          </w:divsChild>
        </w:div>
        <w:div w:id="1814984462">
          <w:marLeft w:val="0"/>
          <w:marRight w:val="0"/>
          <w:marTop w:val="0"/>
          <w:marBottom w:val="0"/>
          <w:divBdr>
            <w:top w:val="none" w:sz="0" w:space="0" w:color="auto"/>
            <w:left w:val="none" w:sz="0" w:space="0" w:color="auto"/>
            <w:bottom w:val="none" w:sz="0" w:space="0" w:color="auto"/>
            <w:right w:val="none" w:sz="0" w:space="0" w:color="auto"/>
          </w:divBdr>
          <w:divsChild>
            <w:div w:id="1943297851">
              <w:marLeft w:val="0"/>
              <w:marRight w:val="0"/>
              <w:marTop w:val="0"/>
              <w:marBottom w:val="0"/>
              <w:divBdr>
                <w:top w:val="none" w:sz="0" w:space="0" w:color="auto"/>
                <w:left w:val="none" w:sz="0" w:space="0" w:color="auto"/>
                <w:bottom w:val="none" w:sz="0" w:space="0" w:color="auto"/>
                <w:right w:val="none" w:sz="0" w:space="0" w:color="auto"/>
              </w:divBdr>
            </w:div>
          </w:divsChild>
        </w:div>
        <w:div w:id="390269110">
          <w:marLeft w:val="0"/>
          <w:marRight w:val="0"/>
          <w:marTop w:val="0"/>
          <w:marBottom w:val="0"/>
          <w:divBdr>
            <w:top w:val="none" w:sz="0" w:space="0" w:color="auto"/>
            <w:left w:val="none" w:sz="0" w:space="0" w:color="auto"/>
            <w:bottom w:val="none" w:sz="0" w:space="0" w:color="auto"/>
            <w:right w:val="none" w:sz="0" w:space="0" w:color="auto"/>
          </w:divBdr>
          <w:divsChild>
            <w:div w:id="203569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09502">
      <w:bodyDiv w:val="1"/>
      <w:marLeft w:val="0"/>
      <w:marRight w:val="0"/>
      <w:marTop w:val="0"/>
      <w:marBottom w:val="0"/>
      <w:divBdr>
        <w:top w:val="none" w:sz="0" w:space="0" w:color="auto"/>
        <w:left w:val="none" w:sz="0" w:space="0" w:color="auto"/>
        <w:bottom w:val="none" w:sz="0" w:space="0" w:color="auto"/>
        <w:right w:val="none" w:sz="0" w:space="0" w:color="auto"/>
      </w:divBdr>
    </w:div>
    <w:div w:id="1213620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raineinvest.gov.ua/uk/guide/" TargetMode="External"/><Relationship Id="rId5" Type="http://schemas.openxmlformats.org/officeDocument/2006/relationships/footnotes" Target="footnotes.xml"/><Relationship Id="rId10" Type="http://schemas.openxmlformats.org/officeDocument/2006/relationships/hyperlink" Target="https://ukraineinvest.com/life-in-ukraine/invest-atlas/" TargetMode="External"/><Relationship Id="rId4" Type="http://schemas.openxmlformats.org/officeDocument/2006/relationships/webSettings" Target="webSettings.xml"/><Relationship Id="rId9" Type="http://schemas.openxmlformats.org/officeDocument/2006/relationships/hyperlink" Target="https://ukraineinves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2015</Words>
  <Characters>11486</Characters>
  <Application>Microsoft Office Word</Application>
  <DocSecurity>0</DocSecurity>
  <Lines>95</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MultiDVD Team</Company>
  <LinksUpToDate>false</LinksUpToDate>
  <CharactersWithSpaces>13475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КОМАШЕНКО Тетяна Андріївна</dc:creator>
  <cp:lastModifiedBy>Юра</cp:lastModifiedBy>
  <cp:revision>8</cp:revision>
  <dcterms:created xsi:type="dcterms:W3CDTF">2021-02-17T13:38:00Z</dcterms:created>
  <dcterms:modified xsi:type="dcterms:W3CDTF">2021-02-17T13:46:00Z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2020-12-10T00:00:00Z</vt:filetime>
  </property>
  <property fmtid="{D5CDD505-2E9C-101B-9397-08002B2CF9AE}" pid="3" name="Creator">
    <vt:lpwstr>Microsoft® Word 2010</vt:lpwstr>
  </property>
  <property fmtid="{D5CDD505-2E9C-101B-9397-08002B2CF9AE}" pid="4" name="LastSaved">
    <vt:filetime>2020-12-17T00:00:00Z</vt:filetime>
  </property>
</Properties>
</file>