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06" w:rsidRDefault="00164806" w:rsidP="00164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надходження до Головного управління ДФС у Київській області</w:t>
      </w:r>
    </w:p>
    <w:p w:rsidR="00164806" w:rsidRDefault="00164806" w:rsidP="0016480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запитів на отримання публічної інформації за січень-</w:t>
      </w:r>
      <w:r w:rsidR="0093268C">
        <w:rPr>
          <w:rFonts w:ascii="Times New Roman" w:hAnsi="Times New Roman" w:cs="Times New Roman"/>
          <w:b/>
          <w:sz w:val="28"/>
          <w:szCs w:val="28"/>
        </w:rPr>
        <w:t>червень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року</w:t>
      </w:r>
    </w:p>
    <w:p w:rsidR="00164806" w:rsidRDefault="00164806" w:rsidP="00164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64806" w:rsidRDefault="00164806" w:rsidP="0016480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надання інформації за запитами відповідно до Закону України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доступ до публічної інформації» (далі – Закон) </w:t>
      </w:r>
      <w:r>
        <w:rPr>
          <w:rFonts w:ascii="Times New Roman" w:hAnsi="Times New Roman" w:cs="Times New Roman"/>
          <w:sz w:val="28"/>
          <w:szCs w:val="28"/>
        </w:rPr>
        <w:t xml:space="preserve">ГУ ДФС у Київській області забезпечено розгляд документів щодо надання публічної інформації відповідно до Закону, які надійшли поштою, електронною поштою, факсом, телефоном. </w:t>
      </w:r>
    </w:p>
    <w:p w:rsidR="00164806" w:rsidRDefault="00164806" w:rsidP="0016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у 2019 році</w:t>
      </w:r>
      <w:r>
        <w:rPr>
          <w:rFonts w:ascii="Times New Roman" w:hAnsi="Times New Roman" w:cs="Times New Roman"/>
          <w:sz w:val="28"/>
          <w:szCs w:val="28"/>
        </w:rPr>
        <w:t xml:space="preserve"> до ГУ ДФС у Київській області поштою, електронною поштою, факсом, телефоном надійшло </w:t>
      </w:r>
      <w:r>
        <w:rPr>
          <w:rFonts w:ascii="Times New Roman" w:hAnsi="Times New Roman" w:cs="Times New Roman"/>
          <w:b/>
          <w:sz w:val="28"/>
          <w:szCs w:val="28"/>
        </w:rPr>
        <w:t xml:space="preserve">206 </w:t>
      </w:r>
      <w:r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документів, з них:</w:t>
      </w:r>
    </w:p>
    <w:p w:rsidR="00164806" w:rsidRDefault="00164806" w:rsidP="0016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запити на отримання публічної інформації - 203 </w:t>
      </w:r>
      <w:r>
        <w:rPr>
          <w:rFonts w:ascii="Times New Roman" w:hAnsi="Times New Roman" w:cs="Times New Roman"/>
          <w:sz w:val="28"/>
          <w:szCs w:val="28"/>
        </w:rPr>
        <w:t>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99% </w:t>
      </w:r>
      <w:r>
        <w:rPr>
          <w:rFonts w:ascii="Times New Roman" w:hAnsi="Times New Roman" w:cs="Times New Roman"/>
          <w:sz w:val="28"/>
          <w:szCs w:val="28"/>
        </w:rPr>
        <w:t>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 результатами розгляду яких надано відповіді електронною поштою або поштою відповідно до вимог чинного законодавства України;</w:t>
      </w:r>
    </w:p>
    <w:p w:rsidR="00164806" w:rsidRDefault="00164806" w:rsidP="0016480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документи, </w:t>
      </w:r>
      <w:r>
        <w:rPr>
          <w:rFonts w:ascii="Times New Roman" w:hAnsi="Times New Roman" w:cs="Times New Roman"/>
          <w:sz w:val="28"/>
          <w:szCs w:val="28"/>
        </w:rPr>
        <w:t>які містять посилання на норми Закону, але за змістом є зверненням щодо надання консультації з питань практичного використання окремих норм податкового законодавства та законодавства України з питань державної митної справи відповідно до Податкового кодексу України, Митного кодексу України або зверненням громадян відповідно до Закону України «Про звернення громадян»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03F1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1% </w:t>
      </w:r>
      <w:r>
        <w:rPr>
          <w:rFonts w:ascii="Times New Roman" w:hAnsi="Times New Roman" w:cs="Times New Roman"/>
          <w:sz w:val="28"/>
          <w:szCs w:val="28"/>
        </w:rPr>
        <w:t>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06" w:rsidRDefault="00164806" w:rsidP="0016480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Електронною поштою надійшло </w:t>
      </w:r>
      <w:r w:rsidRPr="00C03F1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 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03F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поштою надійшло</w:t>
      </w:r>
      <w:r>
        <w:rPr>
          <w:rFonts w:ascii="Times New Roman" w:hAnsi="Times New Roman" w:cs="Times New Roman"/>
          <w:b/>
          <w:sz w:val="28"/>
          <w:szCs w:val="28"/>
        </w:rPr>
        <w:t xml:space="preserve"> 116</w:t>
      </w:r>
      <w:r>
        <w:rPr>
          <w:rFonts w:ascii="Times New Roman" w:hAnsi="Times New Roman" w:cs="Times New Roman"/>
          <w:sz w:val="28"/>
          <w:szCs w:val="28"/>
        </w:rPr>
        <w:t xml:space="preserve"> документів 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03F1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документів).</w:t>
      </w:r>
    </w:p>
    <w:p w:rsidR="00164806" w:rsidRDefault="00164806" w:rsidP="0016480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розрізі категорій запитувачів відповідно до Закону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у 2019 році ГУ ДФС у Київській області </w:t>
      </w:r>
      <w:r>
        <w:rPr>
          <w:rFonts w:ascii="Times New Roman" w:hAnsi="Times New Roman" w:cs="Times New Roman"/>
          <w:sz w:val="28"/>
          <w:szCs w:val="28"/>
        </w:rPr>
        <w:t>розглянуто запити від:</w:t>
      </w:r>
    </w:p>
    <w:p w:rsidR="00164806" w:rsidRDefault="00164806" w:rsidP="00164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фізичних осіб – </w:t>
      </w:r>
      <w:r w:rsidRPr="00C03F19">
        <w:rPr>
          <w:rFonts w:ascii="Times New Roman" w:hAnsi="Times New Roman" w:cs="Times New Roman"/>
          <w:b/>
          <w:sz w:val="28"/>
          <w:szCs w:val="28"/>
        </w:rPr>
        <w:t xml:space="preserve">94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46%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запитів);</w:t>
      </w:r>
    </w:p>
    <w:p w:rsidR="00164806" w:rsidRDefault="00164806" w:rsidP="00164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юридичних осіб – </w:t>
      </w:r>
      <w:r w:rsidRPr="00C03F19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54%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запитів).</w:t>
      </w:r>
    </w:p>
    <w:p w:rsidR="00164806" w:rsidRDefault="00164806" w:rsidP="001648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Запитувачі, зокрема, зверталися з проханням надати інформацію щодо: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контрольно-перевірочної роботи;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реєстраційних даних платників податків;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діяльності підприємств;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відомостей про третіх осіб;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стану надходження податків та зборів до бюджетів;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суми нарахованих податків;</w:t>
      </w:r>
    </w:p>
    <w:p w:rsidR="00164806" w:rsidRDefault="00164806" w:rsidP="0016480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іншої податкової інформації.</w:t>
      </w:r>
    </w:p>
    <w:p w:rsidR="00164806" w:rsidRDefault="00164806" w:rsidP="00164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розгляду задоволено </w:t>
      </w:r>
      <w:r w:rsidRPr="00C03F19">
        <w:rPr>
          <w:rFonts w:ascii="Times New Roman" w:hAnsi="Times New Roman" w:cs="Times New Roman"/>
          <w:b/>
          <w:sz w:val="28"/>
          <w:szCs w:val="28"/>
        </w:rPr>
        <w:t>149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запитів на інформацію 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72%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запитів), відповідно до статті 22 Закону відмовлено в задоволенні по </w:t>
      </w:r>
      <w:r w:rsidRPr="00C03F19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запитам (або </w:t>
      </w:r>
      <w:r>
        <w:rPr>
          <w:rFonts w:ascii="Times New Roman" w:hAnsi="Times New Roman" w:cs="Times New Roman"/>
          <w:b/>
          <w:sz w:val="28"/>
          <w:szCs w:val="28"/>
        </w:rPr>
        <w:t xml:space="preserve">22% </w:t>
      </w:r>
      <w:r>
        <w:rPr>
          <w:rFonts w:ascii="Times New Roman" w:hAnsi="Times New Roman" w:cs="Times New Roman"/>
          <w:sz w:val="28"/>
          <w:szCs w:val="28"/>
        </w:rPr>
        <w:t>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направлено іншим розпорядникам інформації, 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володінні яких вона знаходиться - </w:t>
      </w:r>
      <w:r w:rsidRPr="00C03F1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(або</w:t>
      </w:r>
      <w:r>
        <w:rPr>
          <w:rFonts w:ascii="Times New Roman" w:hAnsi="Times New Roman" w:cs="Times New Roman"/>
          <w:b/>
          <w:sz w:val="28"/>
          <w:szCs w:val="28"/>
        </w:rPr>
        <w:t xml:space="preserve"> 1%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запитів). Станом на 01.07.2019 знаходяться на розгляді </w:t>
      </w:r>
      <w:r w:rsidR="00C03F1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запитів на інформацію (термін розгляду не настав).</w:t>
      </w:r>
    </w:p>
    <w:p w:rsidR="00164806" w:rsidRDefault="00164806" w:rsidP="001648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Отримати публічну інформацію, розпорядником якої є ГУ ДФС у Київській області, може кожен бажаючий, надіславши листа-запита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03151,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Народного Ополчення, 5а (на конверті вказувати «Публічна інфо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рмація»); або на електронну адресу: kyivobl.public@sfs.gov.ua; факс: (044) 246-23-40 чи зателефонувавши на (044) 200-37-31 у робочий час: з понеділка по п’ятницю з 09-00 до 13-00 год.; 13-45 до 18-00 год. (у п’ятницю – до 16-45 год.).</w:t>
      </w:r>
    </w:p>
    <w:p w:rsidR="00280037" w:rsidRPr="00164806" w:rsidRDefault="00280037" w:rsidP="00164806"/>
    <w:sectPr w:rsidR="00280037" w:rsidRPr="00164806" w:rsidSect="001259DA">
      <w:pgSz w:w="11906" w:h="16838"/>
      <w:pgMar w:top="709" w:right="567" w:bottom="568" w:left="1418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EB"/>
    <w:rsid w:val="001259DA"/>
    <w:rsid w:val="00164806"/>
    <w:rsid w:val="00280037"/>
    <w:rsid w:val="007A56A0"/>
    <w:rsid w:val="008A05EB"/>
    <w:rsid w:val="0093268C"/>
    <w:rsid w:val="00C03F19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5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05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nataliia.khomutovska</dc:creator>
  <cp:lastModifiedBy>User</cp:lastModifiedBy>
  <cp:revision>3</cp:revision>
  <dcterms:created xsi:type="dcterms:W3CDTF">2019-07-01T14:51:00Z</dcterms:created>
  <dcterms:modified xsi:type="dcterms:W3CDTF">2019-07-01T14:52:00Z</dcterms:modified>
</cp:coreProperties>
</file>