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3F6709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7060" cy="6800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F67C9" w:rsidRPr="00702E84" w:rsidRDefault="000F67C9" w:rsidP="003936F0">
      <w:pPr>
        <w:tabs>
          <w:tab w:val="left" w:leader="hyphen" w:pos="10206"/>
        </w:tabs>
        <w:jc w:val="center"/>
        <w:rPr>
          <w:b/>
          <w:sz w:val="16"/>
          <w:szCs w:val="16"/>
        </w:rPr>
      </w:pPr>
    </w:p>
    <w:p w:rsidR="00BD3702" w:rsidRPr="00702E84" w:rsidRDefault="00BD3702" w:rsidP="009675B9">
      <w:pPr>
        <w:tabs>
          <w:tab w:val="left" w:leader="hyphen" w:pos="10206"/>
        </w:tabs>
        <w:rPr>
          <w:bCs/>
          <w:sz w:val="16"/>
          <w:szCs w:val="16"/>
        </w:rPr>
      </w:pPr>
    </w:p>
    <w:p w:rsidR="00F026B0" w:rsidRDefault="009379BD" w:rsidP="00CA3E7A">
      <w:pPr>
        <w:tabs>
          <w:tab w:val="left" w:pos="4820"/>
          <w:tab w:val="left" w:leader="hyphen" w:pos="10206"/>
        </w:tabs>
      </w:pPr>
      <w:r>
        <w:rPr>
          <w:bCs/>
        </w:rPr>
        <w:t xml:space="preserve">02 липня </w:t>
      </w:r>
      <w:r w:rsidR="00AD4E5F">
        <w:rPr>
          <w:bCs/>
        </w:rPr>
        <w:t>2020</w:t>
      </w:r>
      <w:r w:rsidR="003936F0">
        <w:rPr>
          <w:bCs/>
        </w:rPr>
        <w:t xml:space="preserve"> </w:t>
      </w:r>
      <w:r w:rsidR="00AD4E5F">
        <w:rPr>
          <w:bCs/>
        </w:rPr>
        <w:t xml:space="preserve">р. </w:t>
      </w:r>
      <w:r w:rsidR="003936F0" w:rsidRPr="00D8321A">
        <w:t xml:space="preserve">   </w:t>
      </w:r>
      <w:r w:rsidR="00612E4B">
        <w:t xml:space="preserve">  </w:t>
      </w:r>
      <w:r w:rsidR="003936F0" w:rsidRPr="00D8321A">
        <w:t xml:space="preserve">          </w:t>
      </w:r>
      <w:r w:rsidR="003936F0">
        <w:t xml:space="preserve">         </w:t>
      </w:r>
      <w:r w:rsidR="00A226CC">
        <w:t xml:space="preserve"> </w:t>
      </w:r>
      <w:r w:rsidR="00573BA1">
        <w:t xml:space="preserve"> </w:t>
      </w:r>
      <w:r w:rsidR="00AC5E63">
        <w:t xml:space="preserve">  </w:t>
      </w:r>
      <w:r w:rsidR="00BD3702">
        <w:t xml:space="preserve">        </w:t>
      </w:r>
      <w:r w:rsidR="003936F0">
        <w:t xml:space="preserve"> </w:t>
      </w:r>
      <w:r w:rsidR="005558FC">
        <w:t xml:space="preserve"> </w:t>
      </w:r>
      <w:r w:rsidR="00CA3E7A">
        <w:t xml:space="preserve"> </w:t>
      </w:r>
      <w:r w:rsidR="008078B0">
        <w:rPr>
          <w:lang w:val="ru-RU"/>
        </w:rPr>
        <w:t xml:space="preserve"> </w:t>
      </w:r>
      <w:r w:rsidR="003936F0" w:rsidRPr="00D8321A">
        <w:t>Київ</w:t>
      </w:r>
      <w:r w:rsidR="003936F0">
        <w:t xml:space="preserve">                          </w:t>
      </w:r>
      <w:r w:rsidR="00A234F1">
        <w:t xml:space="preserve">  </w:t>
      </w:r>
      <w:r w:rsidR="003936F0">
        <w:t xml:space="preserve">                     </w:t>
      </w:r>
      <w:r w:rsidR="00AC5E63">
        <w:t xml:space="preserve"> </w:t>
      </w:r>
      <w:r w:rsidR="003936F0">
        <w:t xml:space="preserve"> </w:t>
      </w:r>
      <w:r w:rsidR="00A175BD">
        <w:t xml:space="preserve">  </w:t>
      </w:r>
      <w:r w:rsidR="00AD4E5F">
        <w:t xml:space="preserve">   </w:t>
      </w:r>
      <w:r w:rsidR="003936F0">
        <w:t>№</w:t>
      </w:r>
      <w:r w:rsidR="009C3FDC">
        <w:t xml:space="preserve"> </w:t>
      </w:r>
      <w:r>
        <w:t>419</w:t>
      </w:r>
      <w:r w:rsidR="007415A6">
        <w:t>-р</w:t>
      </w:r>
    </w:p>
    <w:p w:rsidR="00382440" w:rsidRPr="00702E84" w:rsidRDefault="00382440" w:rsidP="003D2304">
      <w:pPr>
        <w:jc w:val="both"/>
        <w:rPr>
          <w:sz w:val="16"/>
          <w:szCs w:val="16"/>
          <w:lang w:val="ru-RU"/>
        </w:rPr>
      </w:pPr>
    </w:p>
    <w:p w:rsidR="0063141E" w:rsidRPr="00702E84" w:rsidRDefault="0063141E" w:rsidP="003D2304">
      <w:pPr>
        <w:jc w:val="both"/>
        <w:rPr>
          <w:sz w:val="16"/>
          <w:szCs w:val="16"/>
          <w:lang w:val="ru-RU"/>
        </w:rPr>
      </w:pPr>
    </w:p>
    <w:p w:rsidR="009B5B0A" w:rsidRPr="007E5323" w:rsidRDefault="006F788D" w:rsidP="003D2304">
      <w:pPr>
        <w:jc w:val="both"/>
      </w:pPr>
      <w:r w:rsidRPr="007E5323">
        <w:t>П</w:t>
      </w:r>
      <w:r w:rsidR="009B5B0A" w:rsidRPr="007E5323">
        <w:t>ро надання дозволу</w:t>
      </w:r>
    </w:p>
    <w:p w:rsidR="009B5B0A" w:rsidRPr="007E5323" w:rsidRDefault="009B5B0A" w:rsidP="003D2304">
      <w:pPr>
        <w:jc w:val="both"/>
      </w:pPr>
      <w:r w:rsidRPr="007E5323">
        <w:t>на концентрацію</w:t>
      </w:r>
    </w:p>
    <w:p w:rsidR="007E5323" w:rsidRPr="00702E84" w:rsidRDefault="007E5323" w:rsidP="002B4EA7">
      <w:pPr>
        <w:jc w:val="both"/>
        <w:rPr>
          <w:sz w:val="16"/>
          <w:szCs w:val="16"/>
        </w:rPr>
      </w:pPr>
    </w:p>
    <w:p w:rsidR="00EF277E" w:rsidRDefault="00186751" w:rsidP="00EF277E">
      <w:pPr>
        <w:pStyle w:val="a3"/>
        <w:tabs>
          <w:tab w:val="left" w:pos="4862"/>
        </w:tabs>
        <w:ind w:firstLine="709"/>
      </w:pPr>
      <w:r w:rsidRPr="00186751">
        <w:t xml:space="preserve">Антимонопольний комітет України, розглянувши заяву </w:t>
      </w:r>
      <w:r w:rsidR="00EF277E" w:rsidRPr="00454397">
        <w:rPr>
          <w:szCs w:val="24"/>
        </w:rPr>
        <w:t xml:space="preserve">уповноваженого представника компанії «Microsoft Corporation» (далі – компанія «Microsoft») (м. Редмонд, штат Вашингтон, США) та компанії «Metaswitch Networks Ltd.» (далі – компанія «Metaswitch») (м. Енфілд, Велікобританія) про надання дозволу компанії «Microsoft» на придбання </w:t>
      </w:r>
      <w:r w:rsidR="00EF277E">
        <w:rPr>
          <w:szCs w:val="24"/>
        </w:rPr>
        <w:t xml:space="preserve">акцій </w:t>
      </w:r>
      <w:r w:rsidR="00EF277E" w:rsidRPr="00454397">
        <w:rPr>
          <w:szCs w:val="24"/>
        </w:rPr>
        <w:t>компані</w:t>
      </w:r>
      <w:r w:rsidR="00EF277E">
        <w:rPr>
          <w:szCs w:val="24"/>
        </w:rPr>
        <w:t>ї</w:t>
      </w:r>
      <w:r w:rsidR="00EF277E" w:rsidRPr="00454397">
        <w:rPr>
          <w:szCs w:val="24"/>
        </w:rPr>
        <w:t xml:space="preserve"> «Metaswitch», </w:t>
      </w:r>
    </w:p>
    <w:p w:rsidR="00EF277E" w:rsidRDefault="00EF277E" w:rsidP="00186751">
      <w:pPr>
        <w:pStyle w:val="a3"/>
        <w:ind w:firstLine="709"/>
        <w:jc w:val="center"/>
      </w:pPr>
    </w:p>
    <w:p w:rsidR="00186751" w:rsidRPr="00186751" w:rsidRDefault="00186751" w:rsidP="00186751">
      <w:pPr>
        <w:pStyle w:val="a3"/>
        <w:ind w:firstLine="709"/>
        <w:jc w:val="center"/>
      </w:pPr>
      <w:r w:rsidRPr="00186751">
        <w:t>ВСТАНОВИВ:</w:t>
      </w:r>
    </w:p>
    <w:p w:rsidR="00186751" w:rsidRPr="00702E84" w:rsidRDefault="00186751" w:rsidP="00186751">
      <w:pPr>
        <w:pStyle w:val="a3"/>
        <w:tabs>
          <w:tab w:val="left" w:pos="4862"/>
        </w:tabs>
        <w:rPr>
          <w:sz w:val="16"/>
          <w:szCs w:val="16"/>
        </w:rPr>
      </w:pPr>
    </w:p>
    <w:p w:rsidR="00186751" w:rsidRDefault="00186751" w:rsidP="00EF277E">
      <w:pPr>
        <w:pStyle w:val="a3"/>
        <w:tabs>
          <w:tab w:val="left" w:pos="4862"/>
        </w:tabs>
        <w:ind w:firstLine="709"/>
        <w:rPr>
          <w:sz w:val="20"/>
        </w:rPr>
      </w:pPr>
      <w:r w:rsidRPr="00186751">
        <w:t xml:space="preserve">Концентрація полягає у придбанні </w:t>
      </w:r>
      <w:r w:rsidR="00EF277E">
        <w:t>компанією</w:t>
      </w:r>
      <w:r w:rsidR="00EF277E" w:rsidRPr="00EF277E">
        <w:t xml:space="preserve"> «Microsoft» акцій компанії «Metaswitch», що забезпечує перевищення 50 відсотків голосів у вищому органі управління компанії.</w:t>
      </w:r>
    </w:p>
    <w:p w:rsidR="00ED69C2" w:rsidRDefault="00ED69C2" w:rsidP="00EF277E">
      <w:pPr>
        <w:pStyle w:val="a3"/>
        <w:tabs>
          <w:tab w:val="left" w:pos="4862"/>
        </w:tabs>
        <w:ind w:firstLine="709"/>
        <w:rPr>
          <w:sz w:val="20"/>
        </w:rPr>
      </w:pPr>
    </w:p>
    <w:p w:rsidR="00186751" w:rsidRPr="00186751" w:rsidRDefault="00186751" w:rsidP="00702E84">
      <w:pPr>
        <w:pStyle w:val="a3"/>
        <w:tabs>
          <w:tab w:val="left" w:pos="4862"/>
        </w:tabs>
        <w:ind w:firstLine="709"/>
      </w:pPr>
      <w:r w:rsidRPr="00186751">
        <w:t>Відповідно до наданої заявниками інформації:</w:t>
      </w:r>
    </w:p>
    <w:p w:rsidR="00E13535" w:rsidRPr="00ED69C2" w:rsidRDefault="00E13535" w:rsidP="00AA1A2F">
      <w:pPr>
        <w:ind w:firstLine="709"/>
        <w:jc w:val="both"/>
        <w:rPr>
          <w:rFonts w:eastAsia="Calibri"/>
          <w:i/>
          <w:sz w:val="20"/>
          <w:szCs w:val="20"/>
          <w:u w:val="single"/>
          <w:lang w:eastAsia="en-US"/>
        </w:rPr>
      </w:pPr>
    </w:p>
    <w:p w:rsidR="009A5407" w:rsidRDefault="009A5407" w:rsidP="009A5407">
      <w:pPr>
        <w:ind w:firstLine="709"/>
        <w:jc w:val="both"/>
      </w:pPr>
      <w:r>
        <w:t>к</w:t>
      </w:r>
      <w:r w:rsidRPr="005832F2">
        <w:t xml:space="preserve">омпанія </w:t>
      </w:r>
      <w:r>
        <w:t>«</w:t>
      </w:r>
      <w:proofErr w:type="spellStart"/>
      <w:r w:rsidRPr="005832F2">
        <w:t>Metaswitch</w:t>
      </w:r>
      <w:proofErr w:type="spellEnd"/>
      <w:r>
        <w:t xml:space="preserve">» здійснює діяльність з управління корпоративними правами суб’єктів господарювання – нерезидентів України, які разом утворюють Групу </w:t>
      </w:r>
      <w:proofErr w:type="spellStart"/>
      <w:r w:rsidRPr="005832F2">
        <w:t>Metaswitch</w:t>
      </w:r>
      <w:proofErr w:type="spellEnd"/>
      <w:r>
        <w:t>;</w:t>
      </w:r>
    </w:p>
    <w:p w:rsidR="009A5407" w:rsidRDefault="009A5407" w:rsidP="009A5407">
      <w:pPr>
        <w:ind w:firstLine="709"/>
        <w:jc w:val="both"/>
        <w:rPr>
          <w:bCs/>
        </w:rPr>
      </w:pPr>
      <w:r>
        <w:t xml:space="preserve">Група </w:t>
      </w:r>
      <w:proofErr w:type="spellStart"/>
      <w:r w:rsidRPr="005832F2">
        <w:t>Metaswitch</w:t>
      </w:r>
      <w:proofErr w:type="spellEnd"/>
      <w:r>
        <w:rPr>
          <w:bCs/>
        </w:rPr>
        <w:t xml:space="preserve"> </w:t>
      </w:r>
      <w:r w:rsidR="00884F3A">
        <w:t xml:space="preserve">здійснює діяльність із </w:t>
      </w:r>
      <w:r>
        <w:t>розробки програмного забезпечення; постачання віртуальних мережевих послуг та шлюзового функціоналу, які дозволя</w:t>
      </w:r>
      <w:r w:rsidR="00884F3A">
        <w:t>ю</w:t>
      </w:r>
      <w:r>
        <w:t xml:space="preserve">ть надавати голосові та мультимедійні сервіси, такі як обмін повідомленнями та файлами </w:t>
      </w:r>
      <w:r w:rsidR="00884F3A">
        <w:t>між пристроями</w:t>
      </w:r>
      <w:r>
        <w:t>, підключени</w:t>
      </w:r>
      <w:r w:rsidR="00884F3A">
        <w:t>ми</w:t>
      </w:r>
      <w:r>
        <w:t xml:space="preserve"> до мобільної мережі</w:t>
      </w:r>
      <w:r w:rsidR="00884F3A">
        <w:t>,</w:t>
      </w:r>
      <w:r>
        <w:t xml:space="preserve"> та</w:t>
      </w:r>
      <w:r>
        <w:rPr>
          <w:bCs/>
        </w:rPr>
        <w:t xml:space="preserve"> не здійснює господарської діяльності на території України;</w:t>
      </w:r>
    </w:p>
    <w:p w:rsidR="000033F4" w:rsidRDefault="000033F4" w:rsidP="000033F4">
      <w:pPr>
        <w:ind w:firstLine="709"/>
        <w:jc w:val="both"/>
      </w:pPr>
      <w:r>
        <w:t>контроль на Групою «</w:t>
      </w:r>
      <w:proofErr w:type="spellStart"/>
      <w:r w:rsidRPr="005832F2">
        <w:t>Metaswitch</w:t>
      </w:r>
      <w:proofErr w:type="spellEnd"/>
      <w:r>
        <w:t>»</w:t>
      </w:r>
      <w:r w:rsidRPr="005832F2">
        <w:t xml:space="preserve"> </w:t>
      </w:r>
      <w:r>
        <w:rPr>
          <w:lang w:val="ru-RU"/>
        </w:rPr>
        <w:t>(</w:t>
      </w:r>
      <w:r>
        <w:t>через компанію «</w:t>
      </w:r>
      <w:r w:rsidRPr="005832F2">
        <w:t xml:space="preserve">DC </w:t>
      </w:r>
      <w:proofErr w:type="spellStart"/>
      <w:r w:rsidRPr="005832F2">
        <w:t>Holdco</w:t>
      </w:r>
      <w:proofErr w:type="spellEnd"/>
      <w:r w:rsidRPr="005832F2">
        <w:t xml:space="preserve"> S.à </w:t>
      </w:r>
      <w:proofErr w:type="spellStart"/>
      <w:r w:rsidRPr="005832F2">
        <w:t>r.l</w:t>
      </w:r>
      <w:proofErr w:type="spellEnd"/>
      <w:r w:rsidRPr="005832F2">
        <w:t>.</w:t>
      </w:r>
      <w:r>
        <w:t>») здійснюють компанії «</w:t>
      </w:r>
      <w:proofErr w:type="spellStart"/>
      <w:r w:rsidRPr="00031D9E">
        <w:t>Francisco</w:t>
      </w:r>
      <w:proofErr w:type="spellEnd"/>
      <w:r w:rsidRPr="00031D9E">
        <w:t xml:space="preserve"> </w:t>
      </w:r>
      <w:proofErr w:type="spellStart"/>
      <w:r w:rsidRPr="00031D9E">
        <w:t>Partners</w:t>
      </w:r>
      <w:proofErr w:type="spellEnd"/>
      <w:r w:rsidRPr="00031D9E">
        <w:t xml:space="preserve"> GP II </w:t>
      </w:r>
      <w:proofErr w:type="spellStart"/>
      <w:r w:rsidRPr="00031D9E">
        <w:t>Management</w:t>
      </w:r>
      <w:proofErr w:type="spellEnd"/>
      <w:r w:rsidRPr="00031D9E">
        <w:t xml:space="preserve"> (</w:t>
      </w:r>
      <w:proofErr w:type="spellStart"/>
      <w:r w:rsidRPr="00031D9E">
        <w:t>Cayman</w:t>
      </w:r>
      <w:proofErr w:type="spellEnd"/>
      <w:r w:rsidRPr="00031D9E">
        <w:t xml:space="preserve">) </w:t>
      </w:r>
      <w:proofErr w:type="spellStart"/>
      <w:r w:rsidRPr="00031D9E">
        <w:t>Limited</w:t>
      </w:r>
      <w:proofErr w:type="spellEnd"/>
      <w:r>
        <w:t>»</w:t>
      </w:r>
      <w:r w:rsidRPr="00031D9E">
        <w:t xml:space="preserve"> </w:t>
      </w:r>
      <w:r>
        <w:t>(</w:t>
      </w:r>
      <w:r w:rsidRPr="00D96688">
        <w:t>м. Джордж Таун, Кайманові Острови</w:t>
      </w:r>
      <w:r>
        <w:t>)</w:t>
      </w:r>
      <w:r w:rsidRPr="00D96688">
        <w:t xml:space="preserve"> </w:t>
      </w:r>
      <w:r w:rsidRPr="00031D9E">
        <w:t xml:space="preserve">та </w:t>
      </w:r>
      <w:r>
        <w:t>«</w:t>
      </w:r>
      <w:proofErr w:type="spellStart"/>
      <w:r w:rsidRPr="00031D9E">
        <w:t>Francisco</w:t>
      </w:r>
      <w:proofErr w:type="spellEnd"/>
      <w:r>
        <w:t xml:space="preserve"> </w:t>
      </w:r>
      <w:proofErr w:type="spellStart"/>
      <w:r>
        <w:t>Partners</w:t>
      </w:r>
      <w:proofErr w:type="spellEnd"/>
      <w:r>
        <w:t xml:space="preserve"> GP II </w:t>
      </w:r>
      <w:proofErr w:type="spellStart"/>
      <w:r>
        <w:t>Management</w:t>
      </w:r>
      <w:proofErr w:type="spellEnd"/>
      <w:r>
        <w:t>, LLC» (</w:t>
      </w:r>
      <w:r w:rsidRPr="00D96688">
        <w:t>м. Сан-Франциско, штат Каліфорнія, США</w:t>
      </w:r>
      <w:r>
        <w:t>);</w:t>
      </w:r>
    </w:p>
    <w:p w:rsidR="000033F4" w:rsidRDefault="000033F4" w:rsidP="000033F4">
      <w:pPr>
        <w:ind w:firstLine="709"/>
        <w:jc w:val="both"/>
      </w:pPr>
      <w:r>
        <w:t>к</w:t>
      </w:r>
      <w:r w:rsidRPr="005832F2">
        <w:t xml:space="preserve">омпанія </w:t>
      </w:r>
      <w:r>
        <w:t>«</w:t>
      </w:r>
      <w:proofErr w:type="spellStart"/>
      <w:r w:rsidRPr="005832F2">
        <w:t>Metaswitch</w:t>
      </w:r>
      <w:proofErr w:type="spellEnd"/>
      <w:r>
        <w:t xml:space="preserve">» пов’язана відносинами контролю із суб’єктами господарювання – нерезидентами України, які на території України </w:t>
      </w:r>
      <w:r w:rsidRPr="00031D9E">
        <w:t>здійснюють діяльність</w:t>
      </w:r>
      <w:r w:rsidR="00884F3A">
        <w:t>, яка стосується</w:t>
      </w:r>
      <w:r w:rsidRPr="00031D9E">
        <w:t xml:space="preserve">: корпоративних </w:t>
      </w:r>
      <w:proofErr w:type="spellStart"/>
      <w:r w:rsidRPr="00031D9E">
        <w:t>розробницьких</w:t>
      </w:r>
      <w:proofErr w:type="spellEnd"/>
      <w:r w:rsidRPr="00031D9E">
        <w:t xml:space="preserve"> операційних програмних рішень; потокових відео технологій, що використовують технології стільникового зв</w:t>
      </w:r>
      <w:r>
        <w:t>’</w:t>
      </w:r>
      <w:r w:rsidRPr="00031D9E">
        <w:t>язку; прийому платежів, що спеціалізується на складних сегментах, включаючи ігри та електронну комерцію; точок торгових терміналів та технології платіжних сервісів та програмного забезпечення для роздрібних торговців; приладів мережевої безпеки, які орієнтовані на ринок малого та середнього бізнесу;</w:t>
      </w:r>
    </w:p>
    <w:p w:rsidR="000033F4" w:rsidRDefault="000033F4" w:rsidP="000033F4">
      <w:pPr>
        <w:ind w:firstLine="709"/>
        <w:jc w:val="both"/>
      </w:pPr>
      <w:r>
        <w:t xml:space="preserve">після здійснення заявленої концентрації відносини контролю між Групою </w:t>
      </w:r>
      <w:proofErr w:type="spellStart"/>
      <w:r w:rsidRPr="005832F2">
        <w:t>Metaswitch</w:t>
      </w:r>
      <w:proofErr w:type="spellEnd"/>
      <w:r>
        <w:t xml:space="preserve"> та суб’єктами господарювання, які пов’язані з нею відносинами контролю</w:t>
      </w:r>
      <w:r w:rsidR="00884F3A">
        <w:t>,</w:t>
      </w:r>
      <w:r>
        <w:t xml:space="preserve"> будуть припинені;</w:t>
      </w:r>
    </w:p>
    <w:p w:rsidR="009A5407" w:rsidRDefault="009A5407" w:rsidP="009A5407">
      <w:pPr>
        <w:ind w:firstLine="709"/>
        <w:jc w:val="both"/>
        <w:rPr>
          <w:bCs/>
        </w:rPr>
      </w:pPr>
    </w:p>
    <w:p w:rsidR="009A5407" w:rsidRPr="009A5407" w:rsidRDefault="009A5407" w:rsidP="009A5407">
      <w:pPr>
        <w:tabs>
          <w:tab w:val="left" w:pos="0"/>
        </w:tabs>
        <w:spacing w:after="20" w:line="280" w:lineRule="exact"/>
        <w:ind w:right="-1" w:firstLine="709"/>
        <w:jc w:val="both"/>
        <w:textAlignment w:val="baseline"/>
        <w:rPr>
          <w:rFonts w:eastAsia="Calibri"/>
          <w:lang w:eastAsia="en-US"/>
        </w:rPr>
      </w:pPr>
      <w:r w:rsidRPr="009A5407">
        <w:rPr>
          <w:rFonts w:eastAsia="Calibri"/>
          <w:lang w:eastAsia="en-US"/>
        </w:rPr>
        <w:t xml:space="preserve">компанія </w:t>
      </w:r>
      <w:r>
        <w:t>«</w:t>
      </w:r>
      <w:r w:rsidRPr="00721801">
        <w:t>Microsoft</w:t>
      </w:r>
      <w:r>
        <w:t>»</w:t>
      </w:r>
      <w:r w:rsidRPr="009A5407">
        <w:rPr>
          <w:rFonts w:eastAsia="Calibri"/>
          <w:lang w:eastAsia="en-US"/>
        </w:rPr>
        <w:t xml:space="preserve"> пропонує широкий асортимент продукції та сервісів спо</w:t>
      </w:r>
      <w:r w:rsidR="00884F3A">
        <w:rPr>
          <w:rFonts w:eastAsia="Calibri"/>
          <w:lang w:eastAsia="en-US"/>
        </w:rPr>
        <w:t>живачам через бізнес-підрозділи</w:t>
      </w:r>
      <w:r w:rsidRPr="009A5407">
        <w:rPr>
          <w:rFonts w:eastAsia="Calibri"/>
          <w:lang w:eastAsia="en-US"/>
        </w:rPr>
        <w:t xml:space="preserve"> </w:t>
      </w:r>
      <w:r w:rsidR="00884F3A">
        <w:rPr>
          <w:rFonts w:eastAsia="Calibri"/>
          <w:lang w:eastAsia="en-US"/>
        </w:rPr>
        <w:t>(</w:t>
      </w:r>
      <w:r w:rsidRPr="009A5407">
        <w:rPr>
          <w:rFonts w:eastAsia="Calibri"/>
          <w:lang w:eastAsia="en-US"/>
        </w:rPr>
        <w:t xml:space="preserve">продуктивність та бізнес-процеси, хмара з елементами штучного </w:t>
      </w:r>
      <w:r w:rsidRPr="009A5407">
        <w:rPr>
          <w:rFonts w:eastAsia="Calibri"/>
          <w:lang w:eastAsia="en-US"/>
        </w:rPr>
        <w:lastRenderedPageBreak/>
        <w:t>інтелекту, використання персональних комп’ютерів</w:t>
      </w:r>
      <w:r w:rsidR="00884F3A">
        <w:rPr>
          <w:rFonts w:eastAsia="Calibri"/>
          <w:lang w:eastAsia="en-US"/>
        </w:rPr>
        <w:t>)</w:t>
      </w:r>
      <w:r w:rsidRPr="009A5407">
        <w:rPr>
          <w:rFonts w:eastAsia="Calibri"/>
          <w:lang w:eastAsia="en-US"/>
        </w:rPr>
        <w:t xml:space="preserve"> та не здійснює господарської діяльності на території України;</w:t>
      </w:r>
    </w:p>
    <w:p w:rsidR="009A5407" w:rsidRPr="009A5407" w:rsidRDefault="009A5407" w:rsidP="009A5407">
      <w:pPr>
        <w:tabs>
          <w:tab w:val="left" w:pos="0"/>
        </w:tabs>
        <w:spacing w:after="20" w:line="280" w:lineRule="exact"/>
        <w:ind w:right="-1" w:firstLine="709"/>
        <w:jc w:val="both"/>
        <w:textAlignment w:val="baseline"/>
        <w:rPr>
          <w:rFonts w:eastAsia="Calibri"/>
          <w:lang w:eastAsia="en-US"/>
        </w:rPr>
      </w:pPr>
      <w:r w:rsidRPr="009A5407">
        <w:rPr>
          <w:rFonts w:eastAsia="Calibri"/>
          <w:lang w:eastAsia="en-US"/>
        </w:rPr>
        <w:t xml:space="preserve">компанія </w:t>
      </w:r>
      <w:r>
        <w:t>«</w:t>
      </w:r>
      <w:r w:rsidRPr="00721801">
        <w:t>Microsoft</w:t>
      </w:r>
      <w:r>
        <w:t>»</w:t>
      </w:r>
      <w:r w:rsidRPr="009A5407">
        <w:rPr>
          <w:rFonts w:eastAsia="Calibri"/>
          <w:lang w:eastAsia="en-US"/>
        </w:rPr>
        <w:t xml:space="preserve"> пов’язана відносинами контролю із суб’єктами </w:t>
      </w:r>
      <w:r w:rsidRPr="009A5407">
        <w:rPr>
          <w:rFonts w:eastAsia="Calibri"/>
          <w:lang w:eastAsia="en-US"/>
        </w:rPr>
        <w:br/>
        <w:t xml:space="preserve">господарювання – резидентом та нерезидентами України, які разом утворюють Групу </w:t>
      </w:r>
      <w:r w:rsidRPr="00721801">
        <w:t>Microsoft</w:t>
      </w:r>
      <w:r w:rsidRPr="009A5407">
        <w:rPr>
          <w:rFonts w:eastAsia="Calibri"/>
          <w:lang w:eastAsia="en-US"/>
        </w:rPr>
        <w:t>;</w:t>
      </w:r>
    </w:p>
    <w:p w:rsidR="009A5407" w:rsidRPr="000906EC" w:rsidRDefault="009A5407" w:rsidP="009A5407">
      <w:pPr>
        <w:tabs>
          <w:tab w:val="left" w:pos="0"/>
        </w:tabs>
        <w:spacing w:after="20" w:line="280" w:lineRule="exact"/>
        <w:ind w:right="-1" w:firstLine="709"/>
        <w:jc w:val="both"/>
        <w:textAlignment w:val="baseline"/>
      </w:pPr>
      <w:r w:rsidRPr="009A5407">
        <w:rPr>
          <w:rFonts w:eastAsia="Calibri"/>
          <w:lang w:eastAsia="en-US"/>
        </w:rPr>
        <w:t xml:space="preserve">Група </w:t>
      </w:r>
      <w:r w:rsidRPr="000906EC">
        <w:t>Microsoft на території України здійснює діяльність із постачання консалтингу та сервісів прем</w:t>
      </w:r>
      <w:r>
        <w:t>’</w:t>
      </w:r>
      <w:r w:rsidRPr="000906EC">
        <w:t>єр-підтримки споживачам в Україні; укладання договорів, включаючи ліцензування щодо корпоративних об</w:t>
      </w:r>
      <w:r>
        <w:t>’</w:t>
      </w:r>
      <w:r w:rsidRPr="000906EC">
        <w:t>єднаних комунікацій; постачання комунікаційного програмного забезпечення споживачам в Україні; продажу онлайн-ліцензування для пошуку та відображення; продажу сервісів та додатків Microsoft, що стосуються ігор, хмарних сервісів та продуктивності ігрового програмного забезпечення, обладнання бездротового пакетного ядра/ядра мережі мобільного зв</w:t>
      </w:r>
      <w:r>
        <w:t>’</w:t>
      </w:r>
      <w:r w:rsidRPr="000906EC">
        <w:t>язку.</w:t>
      </w:r>
    </w:p>
    <w:p w:rsidR="00AA1A2F" w:rsidRDefault="00AA1A2F" w:rsidP="00AA1A2F">
      <w:pPr>
        <w:ind w:firstLine="709"/>
        <w:jc w:val="both"/>
        <w:rPr>
          <w:b/>
        </w:rPr>
      </w:pPr>
    </w:p>
    <w:p w:rsidR="00186751" w:rsidRDefault="00186751" w:rsidP="00186751">
      <w:pPr>
        <w:pStyle w:val="a3"/>
        <w:tabs>
          <w:tab w:val="left" w:pos="4862"/>
        </w:tabs>
        <w:ind w:firstLine="709"/>
      </w:pPr>
      <w:r w:rsidRPr="00186751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5558FC" w:rsidRPr="00186751" w:rsidRDefault="005558FC" w:rsidP="00186751">
      <w:pPr>
        <w:pStyle w:val="a3"/>
        <w:tabs>
          <w:tab w:val="left" w:pos="4862"/>
        </w:tabs>
        <w:ind w:firstLine="709"/>
      </w:pPr>
    </w:p>
    <w:p w:rsidR="00186751" w:rsidRPr="00186751" w:rsidRDefault="00186751" w:rsidP="00186751">
      <w:pPr>
        <w:pStyle w:val="a3"/>
        <w:tabs>
          <w:tab w:val="left" w:pos="4862"/>
        </w:tabs>
        <w:ind w:firstLine="709"/>
      </w:pPr>
      <w:r w:rsidRPr="00186751">
        <w:t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</w:t>
      </w:r>
      <w:r w:rsidR="00703CBA">
        <w:t xml:space="preserve">опольного комітету України від </w:t>
      </w:r>
      <w:r w:rsidRPr="00186751">
        <w:t>19</w:t>
      </w:r>
      <w:r w:rsidR="00703CBA">
        <w:t>.02.</w:t>
      </w:r>
      <w:r w:rsidRPr="00186751">
        <w:t xml:space="preserve">2002 № 33-р, зареєстрованого в </w:t>
      </w:r>
      <w:r w:rsidR="00703CBA">
        <w:t>Міністерстві юстиції України 21.03.</w:t>
      </w:r>
      <w:r w:rsidRPr="00186751">
        <w:t xml:space="preserve">2002 </w:t>
      </w:r>
      <w:r w:rsidR="00703CBA">
        <w:br/>
      </w:r>
      <w:r w:rsidRPr="00186751">
        <w:t xml:space="preserve">за № 284/6572  (у редакції розпорядження Антимонопольного комітету України </w:t>
      </w:r>
      <w:r w:rsidR="00703CBA">
        <w:br/>
      </w:r>
      <w:r w:rsidRPr="00186751">
        <w:t xml:space="preserve">від 21.06.2016  № 14-рп), Антимонопольний комітет України </w:t>
      </w:r>
    </w:p>
    <w:p w:rsidR="00186751" w:rsidRPr="00186751" w:rsidRDefault="00186751" w:rsidP="00186751">
      <w:pPr>
        <w:pStyle w:val="a3"/>
        <w:tabs>
          <w:tab w:val="left" w:pos="4862"/>
        </w:tabs>
        <w:ind w:firstLine="709"/>
      </w:pPr>
    </w:p>
    <w:p w:rsidR="00186751" w:rsidRPr="00186751" w:rsidRDefault="00186751" w:rsidP="0085011F">
      <w:pPr>
        <w:pStyle w:val="a3"/>
        <w:jc w:val="center"/>
      </w:pPr>
      <w:r w:rsidRPr="00186751">
        <w:t>ПОСТАНОВИВ:</w:t>
      </w:r>
    </w:p>
    <w:p w:rsidR="00186751" w:rsidRPr="00186751" w:rsidRDefault="00186751" w:rsidP="00186751">
      <w:pPr>
        <w:pStyle w:val="a3"/>
        <w:ind w:firstLine="709"/>
      </w:pPr>
    </w:p>
    <w:p w:rsidR="00B21C15" w:rsidRDefault="005A5322" w:rsidP="00B21C15">
      <w:pPr>
        <w:ind w:firstLine="709"/>
        <w:jc w:val="both"/>
      </w:pPr>
      <w:r w:rsidRPr="005A5322">
        <w:rPr>
          <w:noProof/>
          <w:szCs w:val="20"/>
        </w:rPr>
        <w:t xml:space="preserve">Надати дозвіл </w:t>
      </w:r>
      <w:r w:rsidR="00B21C15" w:rsidRPr="00454397">
        <w:t xml:space="preserve">компанії «Microsoft </w:t>
      </w:r>
      <w:proofErr w:type="spellStart"/>
      <w:r w:rsidR="00B21C15" w:rsidRPr="00454397">
        <w:t>Corporation</w:t>
      </w:r>
      <w:proofErr w:type="spellEnd"/>
      <w:r w:rsidR="00B21C15" w:rsidRPr="00454397">
        <w:t xml:space="preserve">» (м. </w:t>
      </w:r>
      <w:proofErr w:type="spellStart"/>
      <w:r w:rsidR="00B21C15" w:rsidRPr="00454397">
        <w:t>Редмонд</w:t>
      </w:r>
      <w:proofErr w:type="spellEnd"/>
      <w:r w:rsidR="00B21C15" w:rsidRPr="00454397">
        <w:t xml:space="preserve">, штат Вашингтон, США) на придбання </w:t>
      </w:r>
      <w:r w:rsidR="00B21C15">
        <w:t xml:space="preserve">акцій </w:t>
      </w:r>
      <w:r w:rsidR="00B21C15" w:rsidRPr="00454397">
        <w:t>компанії «</w:t>
      </w:r>
      <w:proofErr w:type="spellStart"/>
      <w:r w:rsidR="00B21C15" w:rsidRPr="00454397">
        <w:t>Metaswitch</w:t>
      </w:r>
      <w:proofErr w:type="spellEnd"/>
      <w:r w:rsidR="00B21C15" w:rsidRPr="00454397">
        <w:t xml:space="preserve"> </w:t>
      </w:r>
      <w:proofErr w:type="spellStart"/>
      <w:r w:rsidR="00B21C15" w:rsidRPr="00454397">
        <w:t>Networks</w:t>
      </w:r>
      <w:proofErr w:type="spellEnd"/>
      <w:r w:rsidR="00B21C15" w:rsidRPr="00454397">
        <w:t xml:space="preserve"> </w:t>
      </w:r>
      <w:proofErr w:type="spellStart"/>
      <w:r w:rsidR="00B21C15" w:rsidRPr="00454397">
        <w:t>Ltd</w:t>
      </w:r>
      <w:proofErr w:type="spellEnd"/>
      <w:r w:rsidR="00B21C15" w:rsidRPr="00454397">
        <w:t>.»</w:t>
      </w:r>
      <w:r w:rsidR="00D85FE9">
        <w:t xml:space="preserve"> </w:t>
      </w:r>
      <w:r w:rsidR="00B21C15" w:rsidRPr="00454397">
        <w:t xml:space="preserve">(м. </w:t>
      </w:r>
      <w:proofErr w:type="spellStart"/>
      <w:r w:rsidR="00B21C15" w:rsidRPr="00454397">
        <w:t>Енфілд</w:t>
      </w:r>
      <w:proofErr w:type="spellEnd"/>
      <w:r w:rsidR="00B21C15" w:rsidRPr="00454397">
        <w:t xml:space="preserve">, </w:t>
      </w:r>
      <w:proofErr w:type="spellStart"/>
      <w:r w:rsidR="00B21C15" w:rsidRPr="00454397">
        <w:t>Велікобританія</w:t>
      </w:r>
      <w:proofErr w:type="spellEnd"/>
      <w:r w:rsidR="00B21C15" w:rsidRPr="00454397">
        <w:t>), що забезпечує перевищення 50 відсотків голосів у вищому органі управління компанії.</w:t>
      </w:r>
    </w:p>
    <w:p w:rsidR="00B21C15" w:rsidRDefault="00B21C15" w:rsidP="00B21C15">
      <w:pPr>
        <w:ind w:firstLine="709"/>
        <w:jc w:val="both"/>
      </w:pPr>
    </w:p>
    <w:p w:rsidR="008078B0" w:rsidRDefault="008078B0" w:rsidP="000C1EED">
      <w:pPr>
        <w:ind w:firstLine="561"/>
        <w:jc w:val="both"/>
        <w:rPr>
          <w:sz w:val="22"/>
          <w:szCs w:val="22"/>
        </w:rPr>
      </w:pPr>
    </w:p>
    <w:p w:rsidR="006850D4" w:rsidRPr="005558FC" w:rsidRDefault="006850D4" w:rsidP="000C1EED">
      <w:pPr>
        <w:ind w:firstLine="561"/>
        <w:jc w:val="both"/>
        <w:rPr>
          <w:sz w:val="22"/>
          <w:szCs w:val="22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644"/>
        <w:gridCol w:w="2835"/>
        <w:gridCol w:w="2268"/>
      </w:tblGrid>
      <w:tr w:rsidR="005A5322" w:rsidRPr="005A5322" w:rsidTr="006B796D">
        <w:tc>
          <w:tcPr>
            <w:tcW w:w="4644" w:type="dxa"/>
            <w:shd w:val="clear" w:color="auto" w:fill="auto"/>
          </w:tcPr>
          <w:p w:rsidR="005A5322" w:rsidRPr="005A5322" w:rsidRDefault="005A5322" w:rsidP="006B796D">
            <w:pPr>
              <w:tabs>
                <w:tab w:val="left" w:pos="8789"/>
              </w:tabs>
            </w:pPr>
          </w:p>
          <w:p w:rsidR="005A5322" w:rsidRPr="005A5322" w:rsidRDefault="005A5322" w:rsidP="006B796D">
            <w:pPr>
              <w:tabs>
                <w:tab w:val="left" w:pos="8789"/>
              </w:tabs>
            </w:pPr>
            <w:r w:rsidRPr="00B27286">
              <w:t xml:space="preserve">Голова Комітету                                                                                       </w:t>
            </w:r>
          </w:p>
          <w:p w:rsidR="005A5322" w:rsidRPr="005A5322" w:rsidRDefault="005A5322" w:rsidP="006B796D">
            <w:pPr>
              <w:tabs>
                <w:tab w:val="left" w:pos="8789"/>
              </w:tabs>
            </w:pPr>
          </w:p>
        </w:tc>
        <w:tc>
          <w:tcPr>
            <w:tcW w:w="2835" w:type="dxa"/>
            <w:shd w:val="clear" w:color="auto" w:fill="auto"/>
          </w:tcPr>
          <w:p w:rsidR="005A5322" w:rsidRPr="005A5322" w:rsidRDefault="005A5322" w:rsidP="006B796D">
            <w:pPr>
              <w:tabs>
                <w:tab w:val="left" w:pos="8789"/>
              </w:tabs>
            </w:pPr>
          </w:p>
          <w:p w:rsidR="005A5322" w:rsidRPr="005A5322" w:rsidRDefault="005A5322" w:rsidP="006B796D">
            <w:pPr>
              <w:tabs>
                <w:tab w:val="left" w:pos="8789"/>
              </w:tabs>
            </w:pPr>
          </w:p>
        </w:tc>
        <w:tc>
          <w:tcPr>
            <w:tcW w:w="2268" w:type="dxa"/>
            <w:shd w:val="clear" w:color="auto" w:fill="auto"/>
          </w:tcPr>
          <w:p w:rsidR="005A5322" w:rsidRPr="005A5322" w:rsidRDefault="005A5322" w:rsidP="006B796D">
            <w:pPr>
              <w:tabs>
                <w:tab w:val="left" w:pos="8789"/>
              </w:tabs>
            </w:pPr>
          </w:p>
          <w:p w:rsidR="005A5322" w:rsidRPr="005A5322" w:rsidRDefault="005A5322" w:rsidP="006B796D">
            <w:pPr>
              <w:tabs>
                <w:tab w:val="left" w:pos="8789"/>
              </w:tabs>
            </w:pPr>
            <w:r w:rsidRPr="00B27286">
              <w:t>Ю. ТЕРЕНТЬЄВ</w:t>
            </w:r>
          </w:p>
        </w:tc>
      </w:tr>
    </w:tbl>
    <w:p w:rsidR="009B5B0A" w:rsidRPr="003D2304" w:rsidRDefault="009B5B0A" w:rsidP="00F027B1">
      <w:pPr>
        <w:tabs>
          <w:tab w:val="left" w:pos="8789"/>
        </w:tabs>
        <w:jc w:val="both"/>
      </w:pPr>
    </w:p>
    <w:sectPr w:rsidR="009B5B0A" w:rsidRPr="003D2304" w:rsidSect="00F027B1">
      <w:headerReference w:type="even" r:id="rId9"/>
      <w:headerReference w:type="default" r:id="rId10"/>
      <w:pgSz w:w="11907" w:h="16840" w:code="9"/>
      <w:pgMar w:top="993" w:right="567" w:bottom="851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649" w:rsidRDefault="002B3649">
      <w:r>
        <w:separator/>
      </w:r>
    </w:p>
  </w:endnote>
  <w:endnote w:type="continuationSeparator" w:id="0">
    <w:p w:rsidR="002B3649" w:rsidRDefault="002B3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649" w:rsidRDefault="002B3649">
      <w:r>
        <w:separator/>
      </w:r>
    </w:p>
  </w:footnote>
  <w:footnote w:type="continuationSeparator" w:id="0">
    <w:p w:rsidR="002B3649" w:rsidRDefault="002B3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9C2" w:rsidRDefault="00ED69C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D69C2" w:rsidRDefault="00ED69C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9C2" w:rsidRDefault="00ED69C2">
    <w:pPr>
      <w:pStyle w:val="a5"/>
    </w:pPr>
  </w:p>
  <w:p w:rsidR="00ED69C2" w:rsidRDefault="00ED69C2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6709">
      <w:rPr>
        <w:rStyle w:val="a6"/>
        <w:noProof/>
      </w:rPr>
      <w:t>2</w:t>
    </w:r>
    <w:r>
      <w:rPr>
        <w:rStyle w:val="a6"/>
      </w:rPr>
      <w:fldChar w:fldCharType="end"/>
    </w:r>
  </w:p>
  <w:p w:rsidR="00ED69C2" w:rsidRDefault="00ED69C2">
    <w:pPr>
      <w:pStyle w:val="a5"/>
    </w:pPr>
  </w:p>
  <w:p w:rsidR="00ED69C2" w:rsidRPr="00B82EE1" w:rsidRDefault="00ED69C2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033F4"/>
    <w:rsid w:val="00013EE8"/>
    <w:rsid w:val="000158FE"/>
    <w:rsid w:val="000215AC"/>
    <w:rsid w:val="00025297"/>
    <w:rsid w:val="000255D9"/>
    <w:rsid w:val="0003259C"/>
    <w:rsid w:val="000338BF"/>
    <w:rsid w:val="000363DE"/>
    <w:rsid w:val="000464FA"/>
    <w:rsid w:val="00057020"/>
    <w:rsid w:val="00057031"/>
    <w:rsid w:val="000570E3"/>
    <w:rsid w:val="00057682"/>
    <w:rsid w:val="00070288"/>
    <w:rsid w:val="00070DCF"/>
    <w:rsid w:val="00072E8C"/>
    <w:rsid w:val="00083B78"/>
    <w:rsid w:val="00085C55"/>
    <w:rsid w:val="000913F4"/>
    <w:rsid w:val="00092B0A"/>
    <w:rsid w:val="000A52C3"/>
    <w:rsid w:val="000A69B8"/>
    <w:rsid w:val="000B59A4"/>
    <w:rsid w:val="000B5EDA"/>
    <w:rsid w:val="000C1EED"/>
    <w:rsid w:val="000C2345"/>
    <w:rsid w:val="000C548E"/>
    <w:rsid w:val="000C6342"/>
    <w:rsid w:val="000D5768"/>
    <w:rsid w:val="000D761F"/>
    <w:rsid w:val="000D787E"/>
    <w:rsid w:val="000E65F2"/>
    <w:rsid w:val="000F67C9"/>
    <w:rsid w:val="00100A72"/>
    <w:rsid w:val="001018FA"/>
    <w:rsid w:val="00104513"/>
    <w:rsid w:val="00110213"/>
    <w:rsid w:val="00111575"/>
    <w:rsid w:val="00121DA4"/>
    <w:rsid w:val="001228B1"/>
    <w:rsid w:val="0012532D"/>
    <w:rsid w:val="001318F8"/>
    <w:rsid w:val="00132783"/>
    <w:rsid w:val="0013473F"/>
    <w:rsid w:val="00135A14"/>
    <w:rsid w:val="001379C4"/>
    <w:rsid w:val="001403E3"/>
    <w:rsid w:val="00143296"/>
    <w:rsid w:val="00143C00"/>
    <w:rsid w:val="0015612D"/>
    <w:rsid w:val="001647CF"/>
    <w:rsid w:val="001662C4"/>
    <w:rsid w:val="00167CEB"/>
    <w:rsid w:val="0017375E"/>
    <w:rsid w:val="00174333"/>
    <w:rsid w:val="0017672C"/>
    <w:rsid w:val="00183A1A"/>
    <w:rsid w:val="00184174"/>
    <w:rsid w:val="00186565"/>
    <w:rsid w:val="00186751"/>
    <w:rsid w:val="00197118"/>
    <w:rsid w:val="001A3C11"/>
    <w:rsid w:val="001A46D9"/>
    <w:rsid w:val="001A4A6D"/>
    <w:rsid w:val="001A4E21"/>
    <w:rsid w:val="001A529C"/>
    <w:rsid w:val="001A71FB"/>
    <w:rsid w:val="001B31B7"/>
    <w:rsid w:val="001B5B0A"/>
    <w:rsid w:val="001C3D90"/>
    <w:rsid w:val="001C47C1"/>
    <w:rsid w:val="001C51DC"/>
    <w:rsid w:val="001D0EBE"/>
    <w:rsid w:val="001D2920"/>
    <w:rsid w:val="001E0239"/>
    <w:rsid w:val="001E10E9"/>
    <w:rsid w:val="001E3DE0"/>
    <w:rsid w:val="001E751A"/>
    <w:rsid w:val="001F0AA9"/>
    <w:rsid w:val="001F2CC2"/>
    <w:rsid w:val="001F2E3E"/>
    <w:rsid w:val="001F74EE"/>
    <w:rsid w:val="001F7BE8"/>
    <w:rsid w:val="00206382"/>
    <w:rsid w:val="0021068B"/>
    <w:rsid w:val="0021138E"/>
    <w:rsid w:val="00212559"/>
    <w:rsid w:val="00216D38"/>
    <w:rsid w:val="002173C0"/>
    <w:rsid w:val="002173F8"/>
    <w:rsid w:val="00217C2C"/>
    <w:rsid w:val="00222461"/>
    <w:rsid w:val="00223AE0"/>
    <w:rsid w:val="002258D8"/>
    <w:rsid w:val="00232B2E"/>
    <w:rsid w:val="00234A12"/>
    <w:rsid w:val="00240A98"/>
    <w:rsid w:val="00247023"/>
    <w:rsid w:val="002526FD"/>
    <w:rsid w:val="00254EA7"/>
    <w:rsid w:val="002614B0"/>
    <w:rsid w:val="00265E42"/>
    <w:rsid w:val="0026666D"/>
    <w:rsid w:val="0027520C"/>
    <w:rsid w:val="0027588B"/>
    <w:rsid w:val="00283E46"/>
    <w:rsid w:val="002850C5"/>
    <w:rsid w:val="00285938"/>
    <w:rsid w:val="00285EEA"/>
    <w:rsid w:val="002869BE"/>
    <w:rsid w:val="002875E9"/>
    <w:rsid w:val="00290C3F"/>
    <w:rsid w:val="00295AD8"/>
    <w:rsid w:val="002B0A35"/>
    <w:rsid w:val="002B3649"/>
    <w:rsid w:val="002B4EA7"/>
    <w:rsid w:val="002C07F7"/>
    <w:rsid w:val="002C1398"/>
    <w:rsid w:val="002C5892"/>
    <w:rsid w:val="002F06F5"/>
    <w:rsid w:val="002F1662"/>
    <w:rsid w:val="002F2A34"/>
    <w:rsid w:val="00301E59"/>
    <w:rsid w:val="00302094"/>
    <w:rsid w:val="00303871"/>
    <w:rsid w:val="0030501F"/>
    <w:rsid w:val="003075F1"/>
    <w:rsid w:val="00311B98"/>
    <w:rsid w:val="00311BA8"/>
    <w:rsid w:val="00312DDC"/>
    <w:rsid w:val="00313169"/>
    <w:rsid w:val="003164BA"/>
    <w:rsid w:val="0032090F"/>
    <w:rsid w:val="00324E28"/>
    <w:rsid w:val="00332DEE"/>
    <w:rsid w:val="00332F25"/>
    <w:rsid w:val="00333A94"/>
    <w:rsid w:val="00340647"/>
    <w:rsid w:val="00343796"/>
    <w:rsid w:val="003437D7"/>
    <w:rsid w:val="00344891"/>
    <w:rsid w:val="0034592E"/>
    <w:rsid w:val="00347139"/>
    <w:rsid w:val="00347FB3"/>
    <w:rsid w:val="00350CF6"/>
    <w:rsid w:val="0035212D"/>
    <w:rsid w:val="00354985"/>
    <w:rsid w:val="00355927"/>
    <w:rsid w:val="00360128"/>
    <w:rsid w:val="0036106E"/>
    <w:rsid w:val="00373A7C"/>
    <w:rsid w:val="00373A9C"/>
    <w:rsid w:val="00376513"/>
    <w:rsid w:val="0038152E"/>
    <w:rsid w:val="00382440"/>
    <w:rsid w:val="00382D6F"/>
    <w:rsid w:val="00391172"/>
    <w:rsid w:val="003936F0"/>
    <w:rsid w:val="00394090"/>
    <w:rsid w:val="003960CF"/>
    <w:rsid w:val="00397760"/>
    <w:rsid w:val="003A0AC3"/>
    <w:rsid w:val="003A0E24"/>
    <w:rsid w:val="003B11AE"/>
    <w:rsid w:val="003D2304"/>
    <w:rsid w:val="003D6FBC"/>
    <w:rsid w:val="003E7CB2"/>
    <w:rsid w:val="003F0089"/>
    <w:rsid w:val="003F02B0"/>
    <w:rsid w:val="003F10FF"/>
    <w:rsid w:val="003F3BAE"/>
    <w:rsid w:val="003F6709"/>
    <w:rsid w:val="0040027B"/>
    <w:rsid w:val="004037E4"/>
    <w:rsid w:val="00407585"/>
    <w:rsid w:val="00416B3A"/>
    <w:rsid w:val="00420D9D"/>
    <w:rsid w:val="00423191"/>
    <w:rsid w:val="0042358B"/>
    <w:rsid w:val="00431B8C"/>
    <w:rsid w:val="0043286D"/>
    <w:rsid w:val="0043501B"/>
    <w:rsid w:val="004371F5"/>
    <w:rsid w:val="00441552"/>
    <w:rsid w:val="00444E52"/>
    <w:rsid w:val="00451E5D"/>
    <w:rsid w:val="00463991"/>
    <w:rsid w:val="00474552"/>
    <w:rsid w:val="004861BB"/>
    <w:rsid w:val="00495A43"/>
    <w:rsid w:val="004962D2"/>
    <w:rsid w:val="004A01FA"/>
    <w:rsid w:val="004A385D"/>
    <w:rsid w:val="004B21A3"/>
    <w:rsid w:val="004C2B95"/>
    <w:rsid w:val="004C2C53"/>
    <w:rsid w:val="004C3F7D"/>
    <w:rsid w:val="004C43AA"/>
    <w:rsid w:val="004C6E06"/>
    <w:rsid w:val="004E1FD8"/>
    <w:rsid w:val="004E26FA"/>
    <w:rsid w:val="004E600A"/>
    <w:rsid w:val="004F0124"/>
    <w:rsid w:val="004F5630"/>
    <w:rsid w:val="004F77C4"/>
    <w:rsid w:val="0050243C"/>
    <w:rsid w:val="00502FF5"/>
    <w:rsid w:val="0050545B"/>
    <w:rsid w:val="005072CF"/>
    <w:rsid w:val="00512AF5"/>
    <w:rsid w:val="005173EB"/>
    <w:rsid w:val="005231D1"/>
    <w:rsid w:val="005254F9"/>
    <w:rsid w:val="00531A2C"/>
    <w:rsid w:val="00533A17"/>
    <w:rsid w:val="005448B5"/>
    <w:rsid w:val="00545921"/>
    <w:rsid w:val="00545D64"/>
    <w:rsid w:val="005558FC"/>
    <w:rsid w:val="00555D8A"/>
    <w:rsid w:val="00555DBB"/>
    <w:rsid w:val="00561B0D"/>
    <w:rsid w:val="00566090"/>
    <w:rsid w:val="005679AA"/>
    <w:rsid w:val="00572EAF"/>
    <w:rsid w:val="00573BA1"/>
    <w:rsid w:val="00576C3B"/>
    <w:rsid w:val="0058075D"/>
    <w:rsid w:val="00583B28"/>
    <w:rsid w:val="00584494"/>
    <w:rsid w:val="005861DA"/>
    <w:rsid w:val="0058665F"/>
    <w:rsid w:val="005902B3"/>
    <w:rsid w:val="00592AC2"/>
    <w:rsid w:val="00596F80"/>
    <w:rsid w:val="005A2D50"/>
    <w:rsid w:val="005A423F"/>
    <w:rsid w:val="005A4DB6"/>
    <w:rsid w:val="005A5322"/>
    <w:rsid w:val="005B1B92"/>
    <w:rsid w:val="005C0912"/>
    <w:rsid w:val="005C295B"/>
    <w:rsid w:val="005C4756"/>
    <w:rsid w:val="005D3C9A"/>
    <w:rsid w:val="005D3E14"/>
    <w:rsid w:val="005D59C5"/>
    <w:rsid w:val="005E11A1"/>
    <w:rsid w:val="005E7EAB"/>
    <w:rsid w:val="005F09DC"/>
    <w:rsid w:val="005F1EC1"/>
    <w:rsid w:val="005F2EEB"/>
    <w:rsid w:val="005F5E1A"/>
    <w:rsid w:val="005F680B"/>
    <w:rsid w:val="006037D4"/>
    <w:rsid w:val="006123B6"/>
    <w:rsid w:val="00612E4B"/>
    <w:rsid w:val="006209CC"/>
    <w:rsid w:val="0062175B"/>
    <w:rsid w:val="006237ED"/>
    <w:rsid w:val="00624D3B"/>
    <w:rsid w:val="00630592"/>
    <w:rsid w:val="0063141E"/>
    <w:rsid w:val="00631A84"/>
    <w:rsid w:val="00634B61"/>
    <w:rsid w:val="00645DAA"/>
    <w:rsid w:val="00646C50"/>
    <w:rsid w:val="006546BA"/>
    <w:rsid w:val="00660990"/>
    <w:rsid w:val="00672099"/>
    <w:rsid w:val="006732EE"/>
    <w:rsid w:val="006734AE"/>
    <w:rsid w:val="00673B89"/>
    <w:rsid w:val="006850D4"/>
    <w:rsid w:val="00686378"/>
    <w:rsid w:val="00694398"/>
    <w:rsid w:val="0069494C"/>
    <w:rsid w:val="00695525"/>
    <w:rsid w:val="006970E1"/>
    <w:rsid w:val="006973D5"/>
    <w:rsid w:val="006974FE"/>
    <w:rsid w:val="006A0BE4"/>
    <w:rsid w:val="006A78E5"/>
    <w:rsid w:val="006B0D6C"/>
    <w:rsid w:val="006B3F07"/>
    <w:rsid w:val="006B796D"/>
    <w:rsid w:val="006C58D1"/>
    <w:rsid w:val="006E07B7"/>
    <w:rsid w:val="006E225A"/>
    <w:rsid w:val="006E5055"/>
    <w:rsid w:val="006E753D"/>
    <w:rsid w:val="006F57E8"/>
    <w:rsid w:val="006F5B08"/>
    <w:rsid w:val="006F5BBE"/>
    <w:rsid w:val="006F788D"/>
    <w:rsid w:val="00702E84"/>
    <w:rsid w:val="00703CBA"/>
    <w:rsid w:val="00704A21"/>
    <w:rsid w:val="007153EC"/>
    <w:rsid w:val="0071700B"/>
    <w:rsid w:val="007175DB"/>
    <w:rsid w:val="007177F7"/>
    <w:rsid w:val="00722F70"/>
    <w:rsid w:val="00726E01"/>
    <w:rsid w:val="00730365"/>
    <w:rsid w:val="00731D9B"/>
    <w:rsid w:val="007353A3"/>
    <w:rsid w:val="00735BF6"/>
    <w:rsid w:val="00737D77"/>
    <w:rsid w:val="007415A6"/>
    <w:rsid w:val="00742666"/>
    <w:rsid w:val="00742AB4"/>
    <w:rsid w:val="0074336D"/>
    <w:rsid w:val="007436FB"/>
    <w:rsid w:val="00743DAC"/>
    <w:rsid w:val="00743E5F"/>
    <w:rsid w:val="0074530A"/>
    <w:rsid w:val="0074593C"/>
    <w:rsid w:val="007470EC"/>
    <w:rsid w:val="007475F5"/>
    <w:rsid w:val="00756769"/>
    <w:rsid w:val="00756F82"/>
    <w:rsid w:val="00760ECA"/>
    <w:rsid w:val="00763910"/>
    <w:rsid w:val="007673F7"/>
    <w:rsid w:val="00767DFA"/>
    <w:rsid w:val="00771493"/>
    <w:rsid w:val="00771F44"/>
    <w:rsid w:val="0077219C"/>
    <w:rsid w:val="0077602F"/>
    <w:rsid w:val="00776C51"/>
    <w:rsid w:val="00780408"/>
    <w:rsid w:val="00781016"/>
    <w:rsid w:val="00784C5D"/>
    <w:rsid w:val="00795DC5"/>
    <w:rsid w:val="007A1184"/>
    <w:rsid w:val="007B01E1"/>
    <w:rsid w:val="007B606B"/>
    <w:rsid w:val="007C0B28"/>
    <w:rsid w:val="007C4DA0"/>
    <w:rsid w:val="007C7F57"/>
    <w:rsid w:val="007D3A9F"/>
    <w:rsid w:val="007D7D8D"/>
    <w:rsid w:val="007E04ED"/>
    <w:rsid w:val="007E0E8B"/>
    <w:rsid w:val="007E1A0E"/>
    <w:rsid w:val="007E2D73"/>
    <w:rsid w:val="007E5323"/>
    <w:rsid w:val="007E761E"/>
    <w:rsid w:val="007F35F5"/>
    <w:rsid w:val="007F7E32"/>
    <w:rsid w:val="008015FE"/>
    <w:rsid w:val="008022CE"/>
    <w:rsid w:val="00802D78"/>
    <w:rsid w:val="00803000"/>
    <w:rsid w:val="00803F29"/>
    <w:rsid w:val="00804B44"/>
    <w:rsid w:val="008078B0"/>
    <w:rsid w:val="00807B45"/>
    <w:rsid w:val="008104E9"/>
    <w:rsid w:val="0081262E"/>
    <w:rsid w:val="00814FEF"/>
    <w:rsid w:val="0081707F"/>
    <w:rsid w:val="00820188"/>
    <w:rsid w:val="00821755"/>
    <w:rsid w:val="0082791E"/>
    <w:rsid w:val="0083124A"/>
    <w:rsid w:val="00836455"/>
    <w:rsid w:val="00836EEA"/>
    <w:rsid w:val="0084167A"/>
    <w:rsid w:val="008466AB"/>
    <w:rsid w:val="0084766C"/>
    <w:rsid w:val="0085011F"/>
    <w:rsid w:val="00851105"/>
    <w:rsid w:val="008543A7"/>
    <w:rsid w:val="00860B8D"/>
    <w:rsid w:val="008619CA"/>
    <w:rsid w:val="00864CF0"/>
    <w:rsid w:val="00866E79"/>
    <w:rsid w:val="00867703"/>
    <w:rsid w:val="008679AD"/>
    <w:rsid w:val="00880093"/>
    <w:rsid w:val="0088159D"/>
    <w:rsid w:val="00882298"/>
    <w:rsid w:val="00884F3A"/>
    <w:rsid w:val="0088631A"/>
    <w:rsid w:val="008874BD"/>
    <w:rsid w:val="0089308E"/>
    <w:rsid w:val="00893A0C"/>
    <w:rsid w:val="00893B39"/>
    <w:rsid w:val="00897B14"/>
    <w:rsid w:val="008A1882"/>
    <w:rsid w:val="008B188D"/>
    <w:rsid w:val="008C705A"/>
    <w:rsid w:val="008C74CE"/>
    <w:rsid w:val="008D22F1"/>
    <w:rsid w:val="008D7F87"/>
    <w:rsid w:val="008E1AD8"/>
    <w:rsid w:val="008F1A12"/>
    <w:rsid w:val="00902C2C"/>
    <w:rsid w:val="009122BC"/>
    <w:rsid w:val="009127FC"/>
    <w:rsid w:val="00912CDA"/>
    <w:rsid w:val="00915CA8"/>
    <w:rsid w:val="00920FDA"/>
    <w:rsid w:val="0092595B"/>
    <w:rsid w:val="00926187"/>
    <w:rsid w:val="00932390"/>
    <w:rsid w:val="0093619F"/>
    <w:rsid w:val="009379BD"/>
    <w:rsid w:val="009418CB"/>
    <w:rsid w:val="00941FAC"/>
    <w:rsid w:val="009501EE"/>
    <w:rsid w:val="00950620"/>
    <w:rsid w:val="00951CE4"/>
    <w:rsid w:val="00953FB8"/>
    <w:rsid w:val="009573FF"/>
    <w:rsid w:val="0095798B"/>
    <w:rsid w:val="00961BB8"/>
    <w:rsid w:val="009675B9"/>
    <w:rsid w:val="009712B8"/>
    <w:rsid w:val="00971FD9"/>
    <w:rsid w:val="009733C2"/>
    <w:rsid w:val="00973B7C"/>
    <w:rsid w:val="00975B58"/>
    <w:rsid w:val="009761FD"/>
    <w:rsid w:val="0098003A"/>
    <w:rsid w:val="00980F95"/>
    <w:rsid w:val="009836C3"/>
    <w:rsid w:val="00983A25"/>
    <w:rsid w:val="0098493C"/>
    <w:rsid w:val="0098585E"/>
    <w:rsid w:val="0099399B"/>
    <w:rsid w:val="00993BFD"/>
    <w:rsid w:val="00994CE2"/>
    <w:rsid w:val="00996639"/>
    <w:rsid w:val="009A5407"/>
    <w:rsid w:val="009B0411"/>
    <w:rsid w:val="009B0473"/>
    <w:rsid w:val="009B0D01"/>
    <w:rsid w:val="009B2CA9"/>
    <w:rsid w:val="009B46FD"/>
    <w:rsid w:val="009B5B0A"/>
    <w:rsid w:val="009B659C"/>
    <w:rsid w:val="009C05A7"/>
    <w:rsid w:val="009C213F"/>
    <w:rsid w:val="009C3FDC"/>
    <w:rsid w:val="009C6A90"/>
    <w:rsid w:val="009D122E"/>
    <w:rsid w:val="009D5D04"/>
    <w:rsid w:val="009D6925"/>
    <w:rsid w:val="009D7AF3"/>
    <w:rsid w:val="009E033F"/>
    <w:rsid w:val="009E05F4"/>
    <w:rsid w:val="009E10E6"/>
    <w:rsid w:val="009E5952"/>
    <w:rsid w:val="009F3BBE"/>
    <w:rsid w:val="009F57FB"/>
    <w:rsid w:val="009F5811"/>
    <w:rsid w:val="00A020E3"/>
    <w:rsid w:val="00A04F75"/>
    <w:rsid w:val="00A06BA8"/>
    <w:rsid w:val="00A13831"/>
    <w:rsid w:val="00A175BD"/>
    <w:rsid w:val="00A226CC"/>
    <w:rsid w:val="00A233DD"/>
    <w:rsid w:val="00A234F1"/>
    <w:rsid w:val="00A237E1"/>
    <w:rsid w:val="00A2392C"/>
    <w:rsid w:val="00A41A8C"/>
    <w:rsid w:val="00A4490F"/>
    <w:rsid w:val="00A4630C"/>
    <w:rsid w:val="00A47628"/>
    <w:rsid w:val="00A50BA7"/>
    <w:rsid w:val="00A547C1"/>
    <w:rsid w:val="00A707BC"/>
    <w:rsid w:val="00A73C84"/>
    <w:rsid w:val="00A85034"/>
    <w:rsid w:val="00A86A21"/>
    <w:rsid w:val="00A90343"/>
    <w:rsid w:val="00A904A9"/>
    <w:rsid w:val="00A92919"/>
    <w:rsid w:val="00A9466F"/>
    <w:rsid w:val="00AA0D58"/>
    <w:rsid w:val="00AA1A2F"/>
    <w:rsid w:val="00AA29F8"/>
    <w:rsid w:val="00AB656B"/>
    <w:rsid w:val="00AC0037"/>
    <w:rsid w:val="00AC1B69"/>
    <w:rsid w:val="00AC2C47"/>
    <w:rsid w:val="00AC2EC6"/>
    <w:rsid w:val="00AC375E"/>
    <w:rsid w:val="00AC416B"/>
    <w:rsid w:val="00AC5E63"/>
    <w:rsid w:val="00AD0365"/>
    <w:rsid w:val="00AD19FE"/>
    <w:rsid w:val="00AD4E5F"/>
    <w:rsid w:val="00AE0EE6"/>
    <w:rsid w:val="00AE73FF"/>
    <w:rsid w:val="00AE7FBF"/>
    <w:rsid w:val="00AF5F06"/>
    <w:rsid w:val="00B02BE9"/>
    <w:rsid w:val="00B02DF2"/>
    <w:rsid w:val="00B05EB3"/>
    <w:rsid w:val="00B127AF"/>
    <w:rsid w:val="00B21C15"/>
    <w:rsid w:val="00B26E05"/>
    <w:rsid w:val="00B27286"/>
    <w:rsid w:val="00B32966"/>
    <w:rsid w:val="00B41971"/>
    <w:rsid w:val="00B4362E"/>
    <w:rsid w:val="00B43F40"/>
    <w:rsid w:val="00B51723"/>
    <w:rsid w:val="00B5186F"/>
    <w:rsid w:val="00B523CE"/>
    <w:rsid w:val="00B61CA6"/>
    <w:rsid w:val="00B654CE"/>
    <w:rsid w:val="00B6700E"/>
    <w:rsid w:val="00B71880"/>
    <w:rsid w:val="00B768A6"/>
    <w:rsid w:val="00B777F1"/>
    <w:rsid w:val="00B82EE1"/>
    <w:rsid w:val="00B84D21"/>
    <w:rsid w:val="00B86B80"/>
    <w:rsid w:val="00B91274"/>
    <w:rsid w:val="00B94723"/>
    <w:rsid w:val="00BA00E1"/>
    <w:rsid w:val="00BA06D5"/>
    <w:rsid w:val="00BA2594"/>
    <w:rsid w:val="00BA3BB1"/>
    <w:rsid w:val="00BA5A41"/>
    <w:rsid w:val="00BB6B2E"/>
    <w:rsid w:val="00BB6D78"/>
    <w:rsid w:val="00BC2315"/>
    <w:rsid w:val="00BC687C"/>
    <w:rsid w:val="00BD028A"/>
    <w:rsid w:val="00BD0545"/>
    <w:rsid w:val="00BD2590"/>
    <w:rsid w:val="00BD3702"/>
    <w:rsid w:val="00BD5345"/>
    <w:rsid w:val="00BD6223"/>
    <w:rsid w:val="00BF283C"/>
    <w:rsid w:val="00BF329C"/>
    <w:rsid w:val="00BF336A"/>
    <w:rsid w:val="00BF400D"/>
    <w:rsid w:val="00C01F5F"/>
    <w:rsid w:val="00C03175"/>
    <w:rsid w:val="00C16EBE"/>
    <w:rsid w:val="00C20745"/>
    <w:rsid w:val="00C20E40"/>
    <w:rsid w:val="00C3322D"/>
    <w:rsid w:val="00C4440C"/>
    <w:rsid w:val="00C525DD"/>
    <w:rsid w:val="00C52F7C"/>
    <w:rsid w:val="00C54562"/>
    <w:rsid w:val="00C55F41"/>
    <w:rsid w:val="00C634DF"/>
    <w:rsid w:val="00C7551F"/>
    <w:rsid w:val="00C82AB9"/>
    <w:rsid w:val="00C82ACB"/>
    <w:rsid w:val="00C90E6C"/>
    <w:rsid w:val="00C92EAC"/>
    <w:rsid w:val="00C93041"/>
    <w:rsid w:val="00C94093"/>
    <w:rsid w:val="00C9486E"/>
    <w:rsid w:val="00C969CB"/>
    <w:rsid w:val="00C97899"/>
    <w:rsid w:val="00CA0CEE"/>
    <w:rsid w:val="00CA3E7A"/>
    <w:rsid w:val="00CA6B22"/>
    <w:rsid w:val="00CA6DF6"/>
    <w:rsid w:val="00CB0E07"/>
    <w:rsid w:val="00CB2760"/>
    <w:rsid w:val="00CC0ED6"/>
    <w:rsid w:val="00CC6E3F"/>
    <w:rsid w:val="00CC7632"/>
    <w:rsid w:val="00CD225D"/>
    <w:rsid w:val="00CD48F3"/>
    <w:rsid w:val="00CE00D4"/>
    <w:rsid w:val="00CE24E7"/>
    <w:rsid w:val="00CE631E"/>
    <w:rsid w:val="00CE68ED"/>
    <w:rsid w:val="00CF33EB"/>
    <w:rsid w:val="00CF69B4"/>
    <w:rsid w:val="00D0346D"/>
    <w:rsid w:val="00D1488C"/>
    <w:rsid w:val="00D215C1"/>
    <w:rsid w:val="00D227C8"/>
    <w:rsid w:val="00D2459D"/>
    <w:rsid w:val="00D254F5"/>
    <w:rsid w:val="00D313BE"/>
    <w:rsid w:val="00D51554"/>
    <w:rsid w:val="00D56D6F"/>
    <w:rsid w:val="00D60845"/>
    <w:rsid w:val="00D67A1A"/>
    <w:rsid w:val="00D70980"/>
    <w:rsid w:val="00D70DA6"/>
    <w:rsid w:val="00D72EF8"/>
    <w:rsid w:val="00D80858"/>
    <w:rsid w:val="00D85FE9"/>
    <w:rsid w:val="00D86CA7"/>
    <w:rsid w:val="00D87219"/>
    <w:rsid w:val="00D87C3B"/>
    <w:rsid w:val="00D911A8"/>
    <w:rsid w:val="00D96854"/>
    <w:rsid w:val="00D9698C"/>
    <w:rsid w:val="00DA0145"/>
    <w:rsid w:val="00DA60B1"/>
    <w:rsid w:val="00DB132C"/>
    <w:rsid w:val="00DB302C"/>
    <w:rsid w:val="00DC4BE6"/>
    <w:rsid w:val="00DC7CD9"/>
    <w:rsid w:val="00DD01AF"/>
    <w:rsid w:val="00DD1393"/>
    <w:rsid w:val="00DD1FDC"/>
    <w:rsid w:val="00DD2438"/>
    <w:rsid w:val="00DD3A38"/>
    <w:rsid w:val="00DD4AA2"/>
    <w:rsid w:val="00DD4AFA"/>
    <w:rsid w:val="00DD7C65"/>
    <w:rsid w:val="00DF594D"/>
    <w:rsid w:val="00E00122"/>
    <w:rsid w:val="00E114FF"/>
    <w:rsid w:val="00E13535"/>
    <w:rsid w:val="00E1621A"/>
    <w:rsid w:val="00E26745"/>
    <w:rsid w:val="00E3165E"/>
    <w:rsid w:val="00E31C0B"/>
    <w:rsid w:val="00E32FC7"/>
    <w:rsid w:val="00E375DA"/>
    <w:rsid w:val="00E42444"/>
    <w:rsid w:val="00E60A10"/>
    <w:rsid w:val="00E6488F"/>
    <w:rsid w:val="00E64B64"/>
    <w:rsid w:val="00E65916"/>
    <w:rsid w:val="00E67F31"/>
    <w:rsid w:val="00E74802"/>
    <w:rsid w:val="00E939DB"/>
    <w:rsid w:val="00E953FA"/>
    <w:rsid w:val="00E95DF8"/>
    <w:rsid w:val="00EA0D21"/>
    <w:rsid w:val="00EA2FBA"/>
    <w:rsid w:val="00EA30E2"/>
    <w:rsid w:val="00EA4EBD"/>
    <w:rsid w:val="00EB0525"/>
    <w:rsid w:val="00EB37CE"/>
    <w:rsid w:val="00EB7257"/>
    <w:rsid w:val="00EB74D0"/>
    <w:rsid w:val="00EC3710"/>
    <w:rsid w:val="00EC7F18"/>
    <w:rsid w:val="00ED03E4"/>
    <w:rsid w:val="00ED0DC3"/>
    <w:rsid w:val="00ED16D8"/>
    <w:rsid w:val="00ED3967"/>
    <w:rsid w:val="00ED5375"/>
    <w:rsid w:val="00ED5F8A"/>
    <w:rsid w:val="00ED69C2"/>
    <w:rsid w:val="00ED7098"/>
    <w:rsid w:val="00EE50ED"/>
    <w:rsid w:val="00EF0E81"/>
    <w:rsid w:val="00EF277E"/>
    <w:rsid w:val="00EF33BD"/>
    <w:rsid w:val="00EF42AF"/>
    <w:rsid w:val="00EF5F62"/>
    <w:rsid w:val="00EF6314"/>
    <w:rsid w:val="00F026B0"/>
    <w:rsid w:val="00F027B1"/>
    <w:rsid w:val="00F02CAA"/>
    <w:rsid w:val="00F10EE8"/>
    <w:rsid w:val="00F15FC3"/>
    <w:rsid w:val="00F201E9"/>
    <w:rsid w:val="00F343AD"/>
    <w:rsid w:val="00F37E9D"/>
    <w:rsid w:val="00F416B7"/>
    <w:rsid w:val="00F500A9"/>
    <w:rsid w:val="00F5121D"/>
    <w:rsid w:val="00F54153"/>
    <w:rsid w:val="00F566B4"/>
    <w:rsid w:val="00F57186"/>
    <w:rsid w:val="00F66DA4"/>
    <w:rsid w:val="00F7116D"/>
    <w:rsid w:val="00F73FFC"/>
    <w:rsid w:val="00F84D33"/>
    <w:rsid w:val="00F95313"/>
    <w:rsid w:val="00FA2827"/>
    <w:rsid w:val="00FA6C5A"/>
    <w:rsid w:val="00FA7F31"/>
    <w:rsid w:val="00FB3A5F"/>
    <w:rsid w:val="00FC1E8A"/>
    <w:rsid w:val="00FC1FCF"/>
    <w:rsid w:val="00FC33C5"/>
    <w:rsid w:val="00FC340B"/>
    <w:rsid w:val="00FC3457"/>
    <w:rsid w:val="00FC6933"/>
    <w:rsid w:val="00FD2982"/>
    <w:rsid w:val="00FD4D07"/>
    <w:rsid w:val="00FE57C9"/>
    <w:rsid w:val="00FE60B0"/>
    <w:rsid w:val="00FE6CF6"/>
    <w:rsid w:val="00FF2036"/>
    <w:rsid w:val="00FF30C3"/>
    <w:rsid w:val="00FF310A"/>
    <w:rsid w:val="00FF58D7"/>
    <w:rsid w:val="00FF675D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  <w:style w:type="table" w:styleId="ae">
    <w:name w:val="Table Grid"/>
    <w:basedOn w:val="a1"/>
    <w:rsid w:val="005A53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  <w:style w:type="table" w:styleId="ae">
    <w:name w:val="Table Grid"/>
    <w:basedOn w:val="a1"/>
    <w:rsid w:val="005A53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4484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2020-06-26T10:49:00Z</cp:lastPrinted>
  <dcterms:created xsi:type="dcterms:W3CDTF">2020-07-09T07:14:00Z</dcterms:created>
  <dcterms:modified xsi:type="dcterms:W3CDTF">2020-07-09T07:14:00Z</dcterms:modified>
</cp:coreProperties>
</file>