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AD" w:rsidRDefault="008650AD" w:rsidP="0005678C">
      <w:pPr>
        <w:spacing w:after="0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  <w:lang w:val="en-US"/>
        </w:rPr>
      </w:pPr>
      <w:bookmarkStart w:id="0" w:name="_GoBack"/>
      <w:bookmarkEnd w:id="0"/>
    </w:p>
    <w:p w:rsidR="0005678C" w:rsidRPr="00EA08E1" w:rsidRDefault="0005678C" w:rsidP="0005678C">
      <w:pPr>
        <w:spacing w:after="0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  <w:lang w:val="en-US"/>
        </w:rPr>
      </w:pPr>
      <w:r w:rsidRPr="00DF112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438630FB" wp14:editId="0E11F17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78C" w:rsidRPr="00DF112B" w:rsidRDefault="0005678C" w:rsidP="0005678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112B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:rsidR="0005678C" w:rsidRPr="00166604" w:rsidRDefault="0005678C" w:rsidP="002B04D4">
      <w:pPr>
        <w:tabs>
          <w:tab w:val="left" w:leader="hyphen" w:pos="1020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678C" w:rsidRPr="00DF112B" w:rsidRDefault="0005678C" w:rsidP="0005678C">
      <w:pPr>
        <w:tabs>
          <w:tab w:val="left" w:leader="hyphen" w:pos="10206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112B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:rsidR="0005678C" w:rsidRPr="00166604" w:rsidRDefault="0005678C" w:rsidP="002B04D4">
      <w:pPr>
        <w:tabs>
          <w:tab w:val="left" w:leader="hyphen" w:pos="10206"/>
        </w:tabs>
        <w:spacing w:after="0"/>
        <w:jc w:val="center"/>
        <w:rPr>
          <w:rFonts w:ascii="Times New Roman" w:eastAsia="Times New Roman" w:hAnsi="Times New Roman" w:cs="Times New Roman"/>
          <w:bCs/>
          <w:color w:val="76923C" w:themeColor="accent3" w:themeShade="BF"/>
          <w:sz w:val="28"/>
          <w:szCs w:val="28"/>
        </w:rPr>
      </w:pPr>
    </w:p>
    <w:p w:rsidR="00166604" w:rsidRPr="00166604" w:rsidRDefault="00166604" w:rsidP="002B04D4">
      <w:pPr>
        <w:tabs>
          <w:tab w:val="left" w:leader="hyphen" w:pos="10206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5678C" w:rsidRPr="00DF112B" w:rsidRDefault="004A1190" w:rsidP="0005678C">
      <w:pPr>
        <w:tabs>
          <w:tab w:val="left" w:leader="hyphen" w:pos="1020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5B50C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7</w:t>
      </w:r>
      <w:r w:rsidR="00EA08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736B7">
        <w:rPr>
          <w:rFonts w:ascii="Times New Roman" w:eastAsia="Times New Roman" w:hAnsi="Times New Roman" w:cs="Times New Roman"/>
          <w:bCs/>
          <w:sz w:val="24"/>
          <w:szCs w:val="24"/>
        </w:rPr>
        <w:t>лип</w:t>
      </w:r>
      <w:r w:rsidR="00C05C2B">
        <w:rPr>
          <w:rFonts w:ascii="Times New Roman" w:eastAsia="Times New Roman" w:hAnsi="Times New Roman" w:cs="Times New Roman"/>
          <w:bCs/>
          <w:sz w:val="24"/>
          <w:szCs w:val="24"/>
        </w:rPr>
        <w:t>ня</w:t>
      </w:r>
      <w:r w:rsidR="001E5138">
        <w:rPr>
          <w:rFonts w:ascii="Times New Roman" w:eastAsia="Times New Roman" w:hAnsi="Times New Roman" w:cs="Times New Roman"/>
          <w:bCs/>
          <w:sz w:val="24"/>
          <w:szCs w:val="24"/>
        </w:rPr>
        <w:t xml:space="preserve"> 2020</w:t>
      </w:r>
      <w:r w:rsidR="0005678C" w:rsidRPr="00DF112B">
        <w:rPr>
          <w:rFonts w:ascii="Times New Roman" w:eastAsia="Times New Roman" w:hAnsi="Times New Roman" w:cs="Times New Roman"/>
          <w:bCs/>
          <w:sz w:val="24"/>
          <w:szCs w:val="24"/>
        </w:rPr>
        <w:t xml:space="preserve"> р.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05C2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Київ                              </w:t>
      </w:r>
      <w:r w:rsidR="00EA08E1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1E513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9A13C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17F99">
        <w:rPr>
          <w:rFonts w:ascii="Times New Roman" w:eastAsia="Times New Roman" w:hAnsi="Times New Roman" w:cs="Times New Roman"/>
          <w:sz w:val="24"/>
          <w:szCs w:val="24"/>
        </w:rPr>
        <w:t>452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>-р</w:t>
      </w:r>
    </w:p>
    <w:p w:rsidR="0005678C" w:rsidRDefault="0005678C" w:rsidP="0005678C">
      <w:pPr>
        <w:tabs>
          <w:tab w:val="left" w:leader="hyphen" w:pos="1020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E5138" w:rsidRPr="00DF112B" w:rsidRDefault="001E5138" w:rsidP="0005678C">
      <w:pPr>
        <w:tabs>
          <w:tab w:val="left" w:leader="hyphen" w:pos="1020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E5138" w:rsidRPr="001E5138" w:rsidRDefault="0005678C" w:rsidP="001E51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F112B">
        <w:rPr>
          <w:rFonts w:ascii="Times New Roman" w:eastAsia="Times New Roman" w:hAnsi="Times New Roman" w:cs="Times New Roman"/>
          <w:sz w:val="24"/>
          <w:szCs w:val="24"/>
        </w:rPr>
        <w:t xml:space="preserve">Про перевірку рішення </w:t>
      </w:r>
      <w:r w:rsidR="001E5138" w:rsidRPr="001E5138">
        <w:rPr>
          <w:rFonts w:ascii="Times New Roman" w:eastAsia="Times New Roman" w:hAnsi="Times New Roman" w:cs="Times New Roman"/>
          <w:sz w:val="24"/>
          <w:szCs w:val="24"/>
          <w:lang w:eastAsia="uk-UA"/>
        </w:rPr>
        <w:t>адміністративної колегії</w:t>
      </w:r>
    </w:p>
    <w:p w:rsidR="001E5138" w:rsidRPr="001E5138" w:rsidRDefault="001E5138" w:rsidP="001E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5138">
        <w:rPr>
          <w:rFonts w:ascii="Times New Roman" w:hAnsi="Times New Roman" w:cs="Times New Roman"/>
          <w:sz w:val="24"/>
          <w:szCs w:val="24"/>
        </w:rPr>
        <w:t>Вінницького</w:t>
      </w:r>
      <w:r w:rsidRPr="001E5138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 xml:space="preserve"> </w:t>
      </w:r>
      <w:r w:rsidRPr="001E5138">
        <w:rPr>
          <w:rFonts w:ascii="Times New Roman" w:hAnsi="Times New Roman" w:cs="Times New Roman"/>
          <w:sz w:val="24"/>
          <w:szCs w:val="24"/>
        </w:rPr>
        <w:t xml:space="preserve">обласного територіального відділення </w:t>
      </w:r>
    </w:p>
    <w:p w:rsidR="001E5138" w:rsidRDefault="001E5138" w:rsidP="001E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5138">
        <w:rPr>
          <w:rFonts w:ascii="Times New Roman" w:hAnsi="Times New Roman" w:cs="Times New Roman"/>
          <w:sz w:val="24"/>
          <w:szCs w:val="24"/>
        </w:rPr>
        <w:t>Антимонопольного комітету України від 17.01.2018</w:t>
      </w:r>
    </w:p>
    <w:p w:rsidR="001E5138" w:rsidRPr="001E5138" w:rsidRDefault="001E5138" w:rsidP="001E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5138">
        <w:rPr>
          <w:rFonts w:ascii="Times New Roman" w:hAnsi="Times New Roman" w:cs="Times New Roman"/>
          <w:sz w:val="24"/>
          <w:szCs w:val="24"/>
        </w:rPr>
        <w:t>№ 01-РШ у справі № 06-26.20.2/124-12</w:t>
      </w:r>
    </w:p>
    <w:p w:rsidR="0005678C" w:rsidRPr="00917D3C" w:rsidRDefault="0005678C" w:rsidP="001E513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678C" w:rsidRPr="00DF112B" w:rsidRDefault="00166604" w:rsidP="000567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 xml:space="preserve">Антимонопольний комітет України, розглянувши подання </w:t>
      </w:r>
      <w:r w:rsidR="0005678C" w:rsidRPr="001C2C99">
        <w:rPr>
          <w:rFonts w:ascii="Times New Roman" w:hAnsi="Times New Roman" w:cs="Times New Roman"/>
          <w:sz w:val="24"/>
          <w:szCs w:val="24"/>
          <w:lang w:eastAsia="uk-UA"/>
        </w:rPr>
        <w:t xml:space="preserve">заступника </w:t>
      </w:r>
      <w:r w:rsidR="0005678C" w:rsidRPr="001C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="0005678C" w:rsidRPr="001C2C99">
        <w:rPr>
          <w:rFonts w:ascii="Times New Roman" w:hAnsi="Times New Roman" w:cs="Times New Roman"/>
          <w:sz w:val="24"/>
          <w:szCs w:val="24"/>
        </w:rPr>
        <w:t>–</w:t>
      </w:r>
      <w:r w:rsidR="0005678C" w:rsidRPr="001C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державного уповноваженого </w:t>
      </w:r>
      <w:r w:rsidR="006663FF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2442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663F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Сидоренко</w:t>
      </w:r>
      <w:r w:rsidR="00056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663FF">
        <w:rPr>
          <w:rFonts w:ascii="Times New Roman" w:eastAsia="Times New Roman" w:hAnsi="Times New Roman" w:cs="Times New Roman"/>
          <w:sz w:val="24"/>
          <w:szCs w:val="24"/>
          <w:lang w:eastAsia="ru-RU"/>
        </w:rPr>
        <w:t>19.02.2020</w:t>
      </w:r>
      <w:r w:rsidR="0005678C" w:rsidRPr="0033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78C" w:rsidRPr="0033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663FF">
        <w:rPr>
          <w:rFonts w:ascii="Times New Roman" w:hAnsi="Times New Roman" w:cs="Times New Roman"/>
          <w:sz w:val="24"/>
          <w:szCs w:val="24"/>
        </w:rPr>
        <w:t>8-01/5-</w:t>
      </w:r>
      <w:r w:rsidR="0005678C">
        <w:rPr>
          <w:rFonts w:ascii="Times New Roman" w:hAnsi="Times New Roman" w:cs="Times New Roman"/>
          <w:sz w:val="24"/>
          <w:szCs w:val="24"/>
        </w:rPr>
        <w:t>р/</w:t>
      </w:r>
      <w:r w:rsidR="006663FF">
        <w:rPr>
          <w:rFonts w:ascii="Times New Roman" w:hAnsi="Times New Roman" w:cs="Times New Roman"/>
          <w:sz w:val="24"/>
          <w:szCs w:val="24"/>
        </w:rPr>
        <w:t>89</w:t>
      </w:r>
      <w:r w:rsidR="0005678C" w:rsidRPr="00DF112B">
        <w:rPr>
          <w:rFonts w:ascii="Times New Roman" w:hAnsi="Times New Roman" w:cs="Times New Roman"/>
          <w:sz w:val="24"/>
          <w:szCs w:val="24"/>
        </w:rPr>
        <w:t>-зв</w:t>
      </w:r>
      <w:r w:rsidR="00056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678C" w:rsidRPr="00DF112B">
        <w:rPr>
          <w:rFonts w:ascii="Times New Roman" w:eastAsia="Times New Roman" w:hAnsi="Times New Roman" w:cs="Times New Roman"/>
          <w:sz w:val="24"/>
          <w:szCs w:val="24"/>
        </w:rPr>
        <w:t>та відповідні матеріали,</w:t>
      </w:r>
    </w:p>
    <w:p w:rsidR="0005678C" w:rsidRPr="00DF112B" w:rsidRDefault="0005678C" w:rsidP="000567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78C" w:rsidRPr="00BA144A" w:rsidRDefault="0005678C" w:rsidP="000567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144A">
        <w:rPr>
          <w:rFonts w:ascii="Times New Roman" w:eastAsia="Times New Roman" w:hAnsi="Times New Roman" w:cs="Times New Roman"/>
          <w:b/>
          <w:sz w:val="24"/>
          <w:szCs w:val="24"/>
        </w:rPr>
        <w:t>ВСТАНОВИВ:</w:t>
      </w:r>
    </w:p>
    <w:p w:rsidR="0005678C" w:rsidRPr="00DF112B" w:rsidRDefault="0005678C" w:rsidP="0005678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678C" w:rsidRPr="00260620" w:rsidRDefault="0005678C" w:rsidP="004A1190">
      <w:pPr>
        <w:pStyle w:val="a5"/>
        <w:numPr>
          <w:ilvl w:val="0"/>
          <w:numId w:val="5"/>
        </w:numPr>
        <w:spacing w:after="120"/>
        <w:ind w:left="709" w:hanging="709"/>
        <w:contextualSpacing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062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:rsidR="00E556FE" w:rsidRPr="006D71FE" w:rsidRDefault="00E556FE" w:rsidP="004A1190">
      <w:pPr>
        <w:pStyle w:val="a5"/>
        <w:numPr>
          <w:ilvl w:val="0"/>
          <w:numId w:val="12"/>
        </w:numPr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1FE">
        <w:rPr>
          <w:rFonts w:ascii="Times New Roman" w:eastAsia="Calibri" w:hAnsi="Times New Roman" w:cs="Times New Roman"/>
          <w:sz w:val="24"/>
          <w:szCs w:val="24"/>
        </w:rPr>
        <w:t>Рішення адміністративної колегії Вінницького обласного територіального відділення Антимонопольного комітету України (далі – Відділення) від 17.01.2018 № 01-РШ у справі</w:t>
      </w:r>
      <w:r w:rsidR="004A1190" w:rsidRPr="004A1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1FE">
        <w:rPr>
          <w:rFonts w:ascii="Times New Roman" w:eastAsia="Calibri" w:hAnsi="Times New Roman" w:cs="Times New Roman"/>
          <w:sz w:val="24"/>
          <w:szCs w:val="24"/>
        </w:rPr>
        <w:t>№ 06-26.20.2/124-12 (далі – Рішення).</w:t>
      </w:r>
    </w:p>
    <w:p w:rsidR="00E95077" w:rsidRPr="00917D3C" w:rsidRDefault="00E95077" w:rsidP="004A1190">
      <w:pPr>
        <w:spacing w:after="0"/>
        <w:ind w:left="709" w:hanging="709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uk-UA"/>
        </w:rPr>
      </w:pPr>
    </w:p>
    <w:p w:rsidR="00E95077" w:rsidRPr="00260620" w:rsidRDefault="00E95077" w:rsidP="004A1190">
      <w:pPr>
        <w:pStyle w:val="a5"/>
        <w:numPr>
          <w:ilvl w:val="0"/>
          <w:numId w:val="5"/>
        </w:numPr>
        <w:spacing w:before="120" w:after="120"/>
        <w:ind w:left="709" w:hanging="709"/>
        <w:contextualSpacing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2606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ПІДСТАВИ </w:t>
      </w:r>
      <w:r w:rsidR="00C75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</w:t>
      </w:r>
      <w:r w:rsidRPr="00260620">
        <w:rPr>
          <w:rFonts w:ascii="Times New Roman" w:eastAsia="Calibri" w:hAnsi="Times New Roman" w:cs="Times New Roman"/>
          <w:b/>
          <w:sz w:val="24"/>
          <w:szCs w:val="24"/>
        </w:rPr>
        <w:t>ПЕРЕВІРКИ РІШЕННЯ</w:t>
      </w:r>
      <w:r w:rsidRPr="00260620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B2427E" w:rsidRPr="00B2427E" w:rsidRDefault="008B7413" w:rsidP="004A1190">
      <w:pPr>
        <w:spacing w:after="12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A1190">
        <w:rPr>
          <w:rFonts w:ascii="Times New Roman" w:eastAsia="Calibri" w:hAnsi="Times New Roman" w:cs="Times New Roman"/>
          <w:i/>
          <w:sz w:val="24"/>
          <w:szCs w:val="24"/>
          <w:lang w:eastAsia="ja-JP"/>
        </w:rPr>
        <w:t>(2)</w:t>
      </w:r>
      <w:r w:rsidRPr="004A1190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Заява 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товариства з обмеженою відповідальністю «АГРОДАР-БАР» (далі 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Заявник, ТОВ «АГРОДАР-БАР», Товариство) (вул. Лісова, 2, Вінницька </w:t>
      </w:r>
      <w:r w:rsidR="004F12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обл.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Барський район, с. </w:t>
      </w:r>
      <w:proofErr w:type="spellStart"/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Міжлісся</w:t>
      </w:r>
      <w:proofErr w:type="spellEnd"/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2427E" w:rsidRPr="00B2427E">
        <w:rPr>
          <w:rFonts w:ascii="Times New Roman" w:hAnsi="Times New Roman" w:cs="Times New Roman"/>
          <w:sz w:val="24"/>
          <w:szCs w:val="24"/>
          <w:lang w:eastAsia="ru-RU"/>
        </w:rPr>
        <w:t xml:space="preserve"> ідентифікаційний код юридичної особи 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uk-UA"/>
        </w:rPr>
        <w:t>35599189</w:t>
      </w:r>
      <w:r w:rsidR="00B2427E" w:rsidRPr="00B2427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перевірку рішення</w:t>
      </w:r>
      <w:r w:rsidR="00B2427E" w:rsidRPr="00B2427E">
        <w:rPr>
          <w:rFonts w:ascii="Times New Roman" w:hAnsi="Times New Roman" w:cs="Times New Roman"/>
          <w:sz w:val="24"/>
          <w:szCs w:val="24"/>
        </w:rPr>
        <w:t xml:space="preserve"> адміністративної колегії Вінницького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2427E" w:rsidRPr="00B2427E">
        <w:rPr>
          <w:rFonts w:ascii="Times New Roman" w:hAnsi="Times New Roman" w:cs="Times New Roman"/>
          <w:sz w:val="24"/>
          <w:szCs w:val="24"/>
        </w:rPr>
        <w:t>обласного територіального відділення Антимонопольного комітету України від 17.01.2018 № 01-РШ у справі № 06-26.20.2/124-12</w:t>
      </w:r>
      <w:r w:rsidR="00B2427E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27E" w:rsidRPr="00917D3C" w:rsidRDefault="00B2427E" w:rsidP="004A1190">
      <w:pPr>
        <w:spacing w:after="0"/>
        <w:ind w:left="709" w:hanging="709"/>
        <w:jc w:val="both"/>
        <w:rPr>
          <w:rFonts w:ascii="Times New Roman" w:hAnsi="Times New Roman" w:cs="Times New Roman"/>
          <w:sz w:val="16"/>
          <w:szCs w:val="16"/>
        </w:rPr>
      </w:pPr>
    </w:p>
    <w:p w:rsidR="00380A8B" w:rsidRPr="00910D11" w:rsidRDefault="00380A8B" w:rsidP="004A1190">
      <w:pPr>
        <w:spacing w:before="120" w:after="120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910D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ПРОЦЕ</w:t>
      </w:r>
      <w:r w:rsidR="002451D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СУАЛЬ</w:t>
      </w:r>
      <w:r w:rsidRPr="00910D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НІ ДІЇ</w:t>
      </w:r>
    </w:p>
    <w:p w:rsidR="00457122" w:rsidRPr="00021910" w:rsidRDefault="00DC2DF8" w:rsidP="004A1190">
      <w:pPr>
        <w:spacing w:before="120" w:after="12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A1190">
        <w:rPr>
          <w:rFonts w:ascii="Times New Roman" w:hAnsi="Times New Roman" w:cs="Times New Roman"/>
          <w:i/>
          <w:sz w:val="24"/>
          <w:szCs w:val="24"/>
        </w:rPr>
        <w:t>(3)</w:t>
      </w:r>
      <w:r w:rsidRPr="004A1190">
        <w:rPr>
          <w:rFonts w:ascii="Times New Roman" w:hAnsi="Times New Roman" w:cs="Times New Roman"/>
          <w:sz w:val="24"/>
          <w:szCs w:val="24"/>
        </w:rPr>
        <w:tab/>
      </w:r>
      <w:r w:rsidR="00457122" w:rsidRPr="00457122">
        <w:rPr>
          <w:rFonts w:ascii="Times New Roman" w:hAnsi="Times New Roman" w:cs="Times New Roman"/>
          <w:sz w:val="24"/>
          <w:szCs w:val="24"/>
        </w:rPr>
        <w:t>Розпорядженням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Голови Антимонопольного комітету України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 уповноваженого</w:t>
      </w:r>
      <w:r w:rsidR="00457122" w:rsidRPr="00457122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uk-UA"/>
        </w:rPr>
        <w:t xml:space="preserve">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29.03.2018 № 07/57-р прийнято до розгляду заяву</w:t>
      </w:r>
      <w:r w:rsidR="00457122" w:rsidRPr="00457122">
        <w:rPr>
          <w:rFonts w:ascii="Times New Roman" w:hAnsi="Times New Roman" w:cs="Times New Roman"/>
          <w:sz w:val="24"/>
          <w:szCs w:val="24"/>
        </w:rPr>
        <w:t xml:space="preserve"> </w:t>
      </w:r>
      <w:r w:rsidR="008742D3" w:rsidRPr="008742D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«АГРОДАР-БАР»</w:t>
      </w:r>
      <w:r w:rsidR="00457122" w:rsidRPr="00457122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  <w:t xml:space="preserve">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16.03.2018 № 16/03/187-1 </w:t>
      </w:r>
      <w:r w:rsidR="00457122" w:rsidRPr="00457122">
        <w:rPr>
          <w:rFonts w:ascii="Times New Roman" w:hAnsi="Times New Roman" w:cs="Times New Roman"/>
          <w:sz w:val="24"/>
          <w:szCs w:val="24"/>
        </w:rPr>
        <w:t>(зареєстрована в Комітеті 19.03.2018 за № 8-01/5-р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>) (далі – Заява)</w:t>
      </w:r>
      <w:r w:rsidR="00457122" w:rsidRPr="00457122">
        <w:rPr>
          <w:rFonts w:ascii="Times New Roman" w:hAnsi="Times New Roman" w:cs="Times New Roman"/>
          <w:sz w:val="24"/>
          <w:szCs w:val="24"/>
        </w:rPr>
        <w:t xml:space="preserve">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</w:t>
      </w:r>
      <w:r w:rsidR="00457122" w:rsidRPr="00457122">
        <w:rPr>
          <w:rFonts w:ascii="Times New Roman" w:hAnsi="Times New Roman" w:cs="Times New Roman"/>
          <w:sz w:val="24"/>
          <w:szCs w:val="24"/>
        </w:rPr>
        <w:t xml:space="preserve">перевірку 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адміністративної колегії </w:t>
      </w:r>
      <w:r w:rsidR="00457122" w:rsidRPr="00457122">
        <w:rPr>
          <w:rFonts w:ascii="Times New Roman" w:hAnsi="Times New Roman" w:cs="Times New Roman"/>
          <w:sz w:val="24"/>
          <w:szCs w:val="24"/>
        </w:rPr>
        <w:t>Вінницького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57122" w:rsidRPr="00457122">
        <w:rPr>
          <w:rFonts w:ascii="Times New Roman" w:hAnsi="Times New Roman" w:cs="Times New Roman"/>
          <w:sz w:val="24"/>
          <w:szCs w:val="24"/>
        </w:rPr>
        <w:t>обласного територіального відділення Антимонопольного комітету України від 17.01.2018 № 01-РШ у справі № 06-26.20.2/124-12</w:t>
      </w:r>
      <w:r w:rsidR="00457122" w:rsidRPr="0045712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10D11" w:rsidRDefault="00DC2DF8" w:rsidP="004A1190">
      <w:pPr>
        <w:spacing w:before="120" w:after="0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4A1190">
        <w:rPr>
          <w:rFonts w:ascii="Times New Roman" w:hAnsi="Times New Roman" w:cs="Times New Roman"/>
          <w:i/>
          <w:sz w:val="24"/>
          <w:szCs w:val="24"/>
        </w:rPr>
        <w:t>(4)</w:t>
      </w:r>
      <w:r w:rsidRPr="004A1190">
        <w:rPr>
          <w:rFonts w:ascii="Times New Roman" w:hAnsi="Times New Roman" w:cs="Times New Roman"/>
          <w:sz w:val="24"/>
          <w:szCs w:val="24"/>
        </w:rPr>
        <w:tab/>
      </w:r>
      <w:r w:rsidR="00910D11" w:rsidRPr="00DC2DF8">
        <w:rPr>
          <w:rFonts w:ascii="Times New Roman" w:eastAsia="Times New Roman" w:hAnsi="Times New Roman" w:cs="Times New Roman"/>
          <w:sz w:val="24"/>
          <w:szCs w:val="24"/>
        </w:rPr>
        <w:t xml:space="preserve">На подання </w:t>
      </w:r>
      <w:r w:rsidR="00910D11" w:rsidRPr="00DC2DF8">
        <w:rPr>
          <w:rFonts w:ascii="Times New Roman" w:hAnsi="Times New Roman" w:cs="Times New Roman"/>
          <w:sz w:val="24"/>
          <w:szCs w:val="24"/>
          <w:lang w:eastAsia="uk-UA"/>
        </w:rPr>
        <w:t xml:space="preserve">заступника </w:t>
      </w:r>
      <w:r w:rsidR="00910D11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="00910D11" w:rsidRPr="00DC2DF8">
        <w:rPr>
          <w:rFonts w:ascii="Times New Roman" w:hAnsi="Times New Roman" w:cs="Times New Roman"/>
          <w:sz w:val="24"/>
          <w:szCs w:val="24"/>
        </w:rPr>
        <w:t>–</w:t>
      </w:r>
      <w:r w:rsidR="00910D11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уповноваженого від </w:t>
      </w:r>
      <w:r w:rsid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>19.02.2020</w:t>
      </w:r>
      <w:r w:rsidR="00910D11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57122">
        <w:rPr>
          <w:rFonts w:ascii="Times New Roman" w:hAnsi="Times New Roman" w:cs="Times New Roman"/>
          <w:sz w:val="24"/>
          <w:szCs w:val="24"/>
        </w:rPr>
        <w:t>8-01/5-р/89</w:t>
      </w:r>
      <w:r w:rsidR="00910D11" w:rsidRPr="00DC2DF8">
        <w:rPr>
          <w:rFonts w:ascii="Times New Roman" w:hAnsi="Times New Roman" w:cs="Times New Roman"/>
          <w:sz w:val="24"/>
          <w:szCs w:val="24"/>
        </w:rPr>
        <w:t>-зв</w:t>
      </w:r>
      <w:r w:rsidR="00910D11" w:rsidRPr="00DC2DF8">
        <w:rPr>
          <w:rFonts w:ascii="Times New Roman" w:eastAsia="Times New Roman" w:hAnsi="Times New Roman" w:cs="Times New Roman"/>
          <w:sz w:val="24"/>
          <w:szCs w:val="24"/>
        </w:rPr>
        <w:t xml:space="preserve"> про перевірку Рішення</w:t>
      </w:r>
      <w:r w:rsidR="00910D11" w:rsidRPr="00DC2DF8">
        <w:rPr>
          <w:rFonts w:ascii="Times New Roman" w:hAnsi="Times New Roman" w:cs="Times New Roman"/>
          <w:sz w:val="24"/>
          <w:szCs w:val="24"/>
        </w:rPr>
        <w:t>,</w:t>
      </w:r>
      <w:r w:rsidR="00910D11" w:rsidRPr="00DC2DF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яке було надіслано Товариству листом Комітету від </w:t>
      </w:r>
      <w:r w:rsidR="00457122">
        <w:rPr>
          <w:rFonts w:ascii="Times New Roman" w:eastAsia="Calibri" w:hAnsi="Times New Roman" w:cs="Times New Roman"/>
          <w:sz w:val="24"/>
          <w:szCs w:val="24"/>
          <w:lang w:eastAsia="uk-UA"/>
        </w:rPr>
        <w:t>19.02.2020</w:t>
      </w:r>
      <w:r w:rsidR="00910D11" w:rsidRPr="00DC2DF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457122">
        <w:rPr>
          <w:rFonts w:ascii="Times New Roman" w:eastAsia="Calibri" w:hAnsi="Times New Roman" w:cs="Times New Roman"/>
          <w:sz w:val="24"/>
          <w:szCs w:val="24"/>
          <w:lang w:eastAsia="uk-UA"/>
        </w:rPr>
        <w:t>№ 200-29/03-2646</w:t>
      </w:r>
      <w:r w:rsidR="00910D11" w:rsidRPr="00DC2DF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</w:t>
      </w:r>
      <w:r w:rsidR="00917D3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 </w:t>
      </w:r>
      <w:r w:rsidR="00457122" w:rsidRPr="00B24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«АГРОДАР-БАР»</w:t>
      </w:r>
      <w:r w:rsid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5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листом від 06.03.2020 № 56 надал</w:t>
      </w:r>
      <w:r w:rsidR="0045712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пояснення та заперечення до подання</w:t>
      </w:r>
      <w:r w:rsidR="00910D11" w:rsidRPr="00DC2DF8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:rsidR="00457122" w:rsidRDefault="00457122" w:rsidP="004A1190">
      <w:pPr>
        <w:spacing w:before="120" w:after="0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457122" w:rsidRDefault="00457122" w:rsidP="004A1190">
      <w:p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946">
        <w:rPr>
          <w:rFonts w:ascii="Times New Roman" w:eastAsia="Calibri" w:hAnsi="Times New Roman" w:cs="Times New Roman"/>
          <w:sz w:val="24"/>
          <w:szCs w:val="24"/>
          <w:lang w:eastAsia="uk-UA"/>
        </w:rPr>
        <w:t>(5)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8E7946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</w:t>
      </w:r>
      <w:r w:rsidR="008E12F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Відділення </w:t>
      </w:r>
      <w:r w:rsidR="008E2D8B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листом </w:t>
      </w:r>
      <w:proofErr w:type="spellStart"/>
      <w:r w:rsidR="008E2D8B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від</w:t>
      </w:r>
      <w:proofErr w:type="spellEnd"/>
      <w:r w:rsidR="008E2D8B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28.02.2020 №</w:t>
      </w:r>
      <w:r w:rsidR="006E257E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</w:t>
      </w:r>
      <w:r w:rsidR="008E2D8B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52-02/349 </w:t>
      </w:r>
      <w:r w:rsidR="008E2D8B">
        <w:rPr>
          <w:rFonts w:ascii="Times New Roman" w:eastAsia="Calibri" w:hAnsi="Times New Roman" w:cs="Times New Roman"/>
          <w:sz w:val="24"/>
          <w:szCs w:val="24"/>
          <w:lang w:eastAsia="uk-UA"/>
        </w:rPr>
        <w:t>повідомило про те, що зауваження до подання</w:t>
      </w:r>
      <w:r w:rsidR="008E2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12F2" w:rsidRPr="00DC2DF8">
        <w:rPr>
          <w:rFonts w:ascii="Times New Roman" w:hAnsi="Times New Roman" w:cs="Times New Roman"/>
          <w:sz w:val="24"/>
          <w:szCs w:val="24"/>
          <w:lang w:eastAsia="uk-UA"/>
        </w:rPr>
        <w:t xml:space="preserve">заступника </w:t>
      </w:r>
      <w:r w:rsidR="008E12F2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="008E12F2" w:rsidRPr="00DC2DF8">
        <w:rPr>
          <w:rFonts w:ascii="Times New Roman" w:hAnsi="Times New Roman" w:cs="Times New Roman"/>
          <w:sz w:val="24"/>
          <w:szCs w:val="24"/>
        </w:rPr>
        <w:t>–</w:t>
      </w:r>
      <w:r w:rsidR="008E12F2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уповноваженого від </w:t>
      </w:r>
      <w:r w:rsidR="008E12F2">
        <w:rPr>
          <w:rFonts w:ascii="Times New Roman" w:eastAsia="Times New Roman" w:hAnsi="Times New Roman" w:cs="Times New Roman"/>
          <w:sz w:val="24"/>
          <w:szCs w:val="24"/>
          <w:lang w:eastAsia="ru-RU"/>
        </w:rPr>
        <w:t>19.02.2020</w:t>
      </w:r>
      <w:r w:rsidR="008E12F2" w:rsidRPr="00DC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E12F2">
        <w:rPr>
          <w:rFonts w:ascii="Times New Roman" w:hAnsi="Times New Roman" w:cs="Times New Roman"/>
          <w:sz w:val="24"/>
          <w:szCs w:val="24"/>
        </w:rPr>
        <w:t>8-01/5-р/89</w:t>
      </w:r>
      <w:r w:rsidR="008E12F2" w:rsidRPr="00DC2DF8">
        <w:rPr>
          <w:rFonts w:ascii="Times New Roman" w:hAnsi="Times New Roman" w:cs="Times New Roman"/>
          <w:sz w:val="24"/>
          <w:szCs w:val="24"/>
        </w:rPr>
        <w:t>-зв</w:t>
      </w:r>
      <w:r w:rsidR="008E12F2" w:rsidRPr="00DC2DF8">
        <w:rPr>
          <w:rFonts w:ascii="Times New Roman" w:eastAsia="Times New Roman" w:hAnsi="Times New Roman" w:cs="Times New Roman"/>
          <w:sz w:val="24"/>
          <w:szCs w:val="24"/>
        </w:rPr>
        <w:t xml:space="preserve"> про перевірку Рішення</w:t>
      </w:r>
      <w:r w:rsidR="008E2D8B">
        <w:rPr>
          <w:rFonts w:ascii="Times New Roman" w:eastAsia="Times New Roman" w:hAnsi="Times New Roman" w:cs="Times New Roman"/>
          <w:sz w:val="24"/>
          <w:szCs w:val="24"/>
        </w:rPr>
        <w:t xml:space="preserve"> відсутні</w:t>
      </w:r>
      <w:r w:rsidR="008E12F2" w:rsidRPr="008E12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12F2" w:rsidRPr="00457122" w:rsidRDefault="008E12F2" w:rsidP="004A1190">
      <w:p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9E3" w:rsidRPr="00021910" w:rsidRDefault="009C49E3" w:rsidP="004A1190">
      <w:pPr>
        <w:pStyle w:val="a5"/>
        <w:spacing w:before="120" w:after="120"/>
        <w:ind w:left="709" w:hanging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D504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4. </w:t>
      </w:r>
      <w:r w:rsidR="00E23D9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1D504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РІШЕННЯ</w:t>
      </w:r>
      <w:r w:rsidR="00021910" w:rsidRPr="005B50C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02191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АДМІНІСТРАТИВНОЇ КОЛЕГІЇ ТЕРИТОРІАЛЬНОГО ВІДДІЛЕННЯ</w:t>
      </w:r>
    </w:p>
    <w:p w:rsidR="00D04C4B" w:rsidRPr="000A4162" w:rsidRDefault="000A4162" w:rsidP="004A1190">
      <w:pPr>
        <w:spacing w:before="120" w:after="120"/>
        <w:ind w:left="709" w:right="-187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5B50C7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(</w:t>
      </w:r>
      <w:r w:rsidR="006F3F7A" w:rsidRPr="005B50C7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6</w:t>
      </w:r>
      <w:r w:rsidR="006F3F7A" w:rsidRPr="008E7946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)</w:t>
      </w:r>
      <w:r w:rsidR="006F3F7A" w:rsidRPr="000A416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6F3F7A" w:rsidRPr="005B50C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B50C7" w:rsidRPr="005B50C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 </w:t>
      </w:r>
      <w:r w:rsidR="005B50C7" w:rsidRPr="00F17F9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 </w:t>
      </w:r>
      <w:r w:rsidR="00D04C4B" w:rsidRPr="000A416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 Рішенні</w:t>
      </w:r>
      <w:r w:rsidR="00D04C4B" w:rsidRPr="000A4162">
        <w:rPr>
          <w:rFonts w:ascii="Times New Roman" w:hAnsi="Times New Roman" w:cs="Times New Roman"/>
          <w:sz w:val="24"/>
          <w:szCs w:val="24"/>
        </w:rPr>
        <w:t xml:space="preserve"> </w:t>
      </w:r>
      <w:r w:rsidR="00D04C4B" w:rsidRPr="000A416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адміністративна колегія Відділення постановила: </w:t>
      </w:r>
    </w:p>
    <w:p w:rsidR="00D04C4B" w:rsidRPr="00D04C4B" w:rsidRDefault="00A65016" w:rsidP="004A1190">
      <w:pPr>
        <w:spacing w:after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          </w:t>
      </w:r>
      <w:r w:rsidR="00D04C4B" w:rsidRPr="00D04C4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«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E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Визнати, що товариство з обмеженою відповідальністю «АГРОДАР-БАР», (23032, Вінницька обл., Барський р-н, с.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Міжлісся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, вул. Лісова, 2 код ЕДРПОУ 35599189) займало  монопольне становище у період 2012-2013 маркетингового року на ринку послуг із зберігання зерна, які отримують вторинні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, в межах території с.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Міжлісся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Барського району Вінницької області, на якій розташований зерновий склад Товариства, з часткою 100 відсотків.</w:t>
      </w:r>
    </w:p>
    <w:p w:rsidR="00D04C4B" w:rsidRPr="00D04C4B" w:rsidRDefault="00D04C4B" w:rsidP="004A1190">
      <w:pPr>
        <w:spacing w:after="120"/>
        <w:ind w:left="709" w:hanging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C4B">
        <w:rPr>
          <w:rFonts w:ascii="Times New Roman" w:hAnsi="Times New Roman" w:cs="Times New Roman"/>
          <w:bCs/>
          <w:sz w:val="24"/>
          <w:szCs w:val="24"/>
        </w:rPr>
        <w:t xml:space="preserve">2. Визнати, що дії ТОВ «АГРОДАР-БАР» щодо встановлення економічно необґрунтованих тарифів на 2012-2013 маркетинговий рік на послуги із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Pr="00D04C4B">
        <w:rPr>
          <w:rFonts w:ascii="Times New Roman" w:hAnsi="Times New Roman" w:cs="Times New Roman"/>
          <w:bCs/>
          <w:sz w:val="24"/>
          <w:szCs w:val="24"/>
        </w:rPr>
        <w:t xml:space="preserve">, зокрема: зберігання зерна, зберігання зерна в осінньо-зимовий період (з 15 вересня 2012 року по 31 березня 2013 року), відвантаження зерна, зважування на залізничній вазі, користування під’їзними коліями, відвантаження продукції у нічний час, вихідні, святкові та неробочі дні в подвійному розмірі, є порушенням законодавства про захист економічної конкуренції, передбаченим пунктом 1 частини другої статті 13 та пунктом 2 статті 50 Закону України «Про захист економічної конкуренції» у вигляді зловживання монопольним становищем на ринку послуг із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Pr="00D04C4B">
        <w:rPr>
          <w:rFonts w:ascii="Times New Roman" w:hAnsi="Times New Roman" w:cs="Times New Roman"/>
          <w:bCs/>
          <w:sz w:val="24"/>
          <w:szCs w:val="24"/>
        </w:rPr>
        <w:t xml:space="preserve">, в межах території с. </w:t>
      </w:r>
      <w:proofErr w:type="spellStart"/>
      <w:r w:rsidRPr="00D04C4B">
        <w:rPr>
          <w:rFonts w:ascii="Times New Roman" w:hAnsi="Times New Roman" w:cs="Times New Roman"/>
          <w:bCs/>
          <w:sz w:val="24"/>
          <w:szCs w:val="24"/>
        </w:rPr>
        <w:t>Міжлісся</w:t>
      </w:r>
      <w:proofErr w:type="spellEnd"/>
      <w:r w:rsidRPr="00D04C4B">
        <w:rPr>
          <w:rFonts w:ascii="Times New Roman" w:hAnsi="Times New Roman" w:cs="Times New Roman"/>
          <w:bCs/>
          <w:sz w:val="24"/>
          <w:szCs w:val="24"/>
        </w:rPr>
        <w:t xml:space="preserve"> Барського району Вінницької області, на якій розташований зерновий склад Товариства, шляхом встановлення таких цін реалізації послуг, які неможливо було б встановити за умов існування значної конкуренції на ринку.</w:t>
      </w:r>
    </w:p>
    <w:p w:rsidR="00D04C4B" w:rsidRPr="00D04C4B" w:rsidRDefault="00D04C4B" w:rsidP="008E7946">
      <w:pPr>
        <w:spacing w:after="120"/>
        <w:ind w:left="709" w:hanging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C4B">
        <w:rPr>
          <w:rFonts w:ascii="Times New Roman" w:hAnsi="Times New Roman" w:cs="Times New Roman"/>
          <w:bCs/>
          <w:sz w:val="24"/>
          <w:szCs w:val="24"/>
        </w:rPr>
        <w:t>3 За порушення, вказане в пункті 2 цього рішення, накласти на ТОВ «АГРОДАР-БАР» штраф у розмірі 68000</w:t>
      </w:r>
      <w:r w:rsidR="00B752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4C4B">
        <w:rPr>
          <w:rFonts w:ascii="Times New Roman" w:hAnsi="Times New Roman" w:cs="Times New Roman"/>
          <w:bCs/>
          <w:sz w:val="24"/>
          <w:szCs w:val="24"/>
        </w:rPr>
        <w:t>грн</w:t>
      </w:r>
      <w:r w:rsidR="00AD6249">
        <w:rPr>
          <w:rFonts w:ascii="Times New Roman" w:hAnsi="Times New Roman" w:cs="Times New Roman"/>
          <w:bCs/>
          <w:sz w:val="24"/>
          <w:szCs w:val="24"/>
        </w:rPr>
        <w:t>»</w:t>
      </w:r>
      <w:r w:rsidRPr="00D04C4B">
        <w:rPr>
          <w:rFonts w:ascii="Times New Roman" w:hAnsi="Times New Roman" w:cs="Times New Roman"/>
          <w:bCs/>
          <w:sz w:val="24"/>
          <w:szCs w:val="24"/>
        </w:rPr>
        <w:t>.</w:t>
      </w:r>
    </w:p>
    <w:p w:rsidR="00D04C4B" w:rsidRPr="00D04C4B" w:rsidRDefault="00D04C4B" w:rsidP="008E7946">
      <w:pPr>
        <w:spacing w:after="120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Згідно з матеріалами справи </w:t>
      </w:r>
      <w:r w:rsidRPr="00D04C4B">
        <w:rPr>
          <w:rFonts w:ascii="Times New Roman" w:hAnsi="Times New Roman" w:cs="Times New Roman"/>
          <w:sz w:val="24"/>
          <w:szCs w:val="24"/>
        </w:rPr>
        <w:t xml:space="preserve">№ 06-26.20.2/124-12 </w:t>
      </w:r>
      <w:r w:rsidRPr="00D04C4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копію </w:t>
      </w:r>
      <w:r w:rsidRPr="00D04C4B">
        <w:rPr>
          <w:rFonts w:ascii="Times New Roman" w:hAnsi="Times New Roman" w:cs="Times New Roman"/>
          <w:sz w:val="24"/>
          <w:szCs w:val="24"/>
        </w:rPr>
        <w:t xml:space="preserve">Рішення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отримало 30.01.2018.</w:t>
      </w:r>
    </w:p>
    <w:p w:rsidR="00D04C4B" w:rsidRPr="00D04C4B" w:rsidRDefault="00D04C4B" w:rsidP="008E7946">
      <w:pPr>
        <w:spacing w:after="120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D04C4B" w:rsidRPr="00D04C4B" w:rsidRDefault="00D04C4B" w:rsidP="004A1190">
      <w:p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D04C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D04C4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ДОВОДИ ЗАЯВНИКА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Заяві ТОВ «АГРОДАР-БАР» зазначає, що</w:t>
      </w:r>
      <w:r w:rsidRPr="00D04C4B">
        <w:rPr>
          <w:rFonts w:ascii="Times New Roman" w:eastAsia="Times New Roman" w:hAnsi="Times New Roman" w:cs="Times New Roman"/>
          <w:sz w:val="24"/>
          <w:szCs w:val="24"/>
        </w:rPr>
        <w:t xml:space="preserve"> підставами для скасування </w:t>
      </w:r>
      <w:r w:rsidRPr="00D04C4B">
        <w:rPr>
          <w:rFonts w:ascii="Times New Roman" w:hAnsi="Times New Roman" w:cs="Times New Roman"/>
          <w:sz w:val="24"/>
          <w:szCs w:val="24"/>
        </w:rPr>
        <w:t>Рішення</w:t>
      </w:r>
      <w:r w:rsidRPr="00D04C4B">
        <w:rPr>
          <w:rFonts w:ascii="Times New Roman" w:eastAsia="Times New Roman" w:hAnsi="Times New Roman" w:cs="Times New Roman"/>
          <w:sz w:val="24"/>
          <w:szCs w:val="24"/>
        </w:rPr>
        <w:t xml:space="preserve"> є: неповне з’ясування обставин, як</w:t>
      </w:r>
      <w:r w:rsidR="00B577A7">
        <w:rPr>
          <w:rFonts w:ascii="Times New Roman" w:eastAsia="Times New Roman" w:hAnsi="Times New Roman" w:cs="Times New Roman"/>
          <w:sz w:val="24"/>
          <w:szCs w:val="24"/>
        </w:rPr>
        <w:t xml:space="preserve">і мають значення для справи, </w:t>
      </w:r>
      <w:proofErr w:type="spellStart"/>
      <w:r w:rsidR="00B577A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04C4B">
        <w:rPr>
          <w:rFonts w:ascii="Times New Roman" w:eastAsia="Times New Roman" w:hAnsi="Times New Roman" w:cs="Times New Roman"/>
          <w:sz w:val="24"/>
          <w:szCs w:val="24"/>
        </w:rPr>
        <w:t>доведення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«АГРОДАР-БАР» надає такі аргументи та докази: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Товариство стверджує, що Відділення  зробило хибний висновок щодо визначення товарних меж ринку та неповністю з’ясувало обставини справи з огляду на </w:t>
      </w:r>
      <w:r w:rsidR="00F73E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таке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04C4B" w:rsidRPr="00D04C4B" w:rsidRDefault="008E7946" w:rsidP="004A1190">
      <w:p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73E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ідповідно до пункту 10 статті 1 Закону України «Про зерно та ринок зерна в Україні» від 04.07.2002 (з останніми змінами від 23.03.2017) зберігання зерна – це комплекс заходів, які включають приймання, доробку, зберігання та відвантаження зерна).</w:t>
      </w:r>
    </w:p>
    <w:p w:rsidR="00D04C4B" w:rsidRPr="00D04C4B" w:rsidRDefault="00BC070E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Отже, діяльність, пов’язана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зберіганням зерна, включає ряд послуг, які у своєму комплексі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збереження та підтримку зерна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належній якості та на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задоволення потреб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поклажодавців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які можуть виникати в процесі зберігання зерна на елеваторі, </w:t>
      </w:r>
      <w:r w:rsidR="00F73E80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тому числі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включаючи послуги</w:t>
      </w:r>
      <w:r w:rsidR="00F73E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пов’язані з відвантаженням зерна.</w:t>
      </w:r>
    </w:p>
    <w:p w:rsidR="00D04C4B" w:rsidRPr="00D04C4B" w:rsidRDefault="00BC070E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положеннями Закону України «Про зерно та ринок зерна в Україні», а також Типового договору складського зберігання зерна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форму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якого затверджено постановою Кабінету Міністрів України від 11.04.2003 № 510, договір складського зберігання зерна укладається між зерновим складом та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поклажодавцем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Розмір плати (тариф) за надання послуг встановлюється за домовленістю сторін (включаючи послуги з приймання, зберігання, відвантаження зерна та додаткові послуги).</w:t>
      </w:r>
    </w:p>
    <w:p w:rsidR="00D04C4B" w:rsidRPr="00D04C4B" w:rsidRDefault="00D45080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цьому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слід зазначити, що оскільки послуги зі зберігання зерна за своєю природою є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мплексними послугами (включаючи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приймання, так і відвантаження зерна), ні законодавство України, ні ринкова практика не передбачають поділ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зберігання зерна,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отримують первинні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послуги зберігання зерна, які отримують вторинні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45080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на практиці та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відповідно до положен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чинного законодавства України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перехід права власності на зерно від так званого первинного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вторинного здійснюється за </w:t>
      </w:r>
      <w:r w:rsidR="00E82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такими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можливими сценаріями:</w:t>
      </w:r>
    </w:p>
    <w:p w:rsidR="00D04C4B" w:rsidRPr="00D04C4B" w:rsidRDefault="00781DEE" w:rsidP="004A1190">
      <w:p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Сценарій № 1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Продавець зерна (первинний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) укладає договір купівлі-продажу з покупцем зерна (втор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инний </w:t>
      </w:r>
      <w:proofErr w:type="spellStart"/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 цьому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умовами договору купівлі-продажу передбачається, що на умовах ІНКОТЕРМС первинний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зобов’язаний за власний рахунок відвантажити та доставити зерно в місце, визначене 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вторинним </w:t>
      </w:r>
      <w:proofErr w:type="spellStart"/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поклажодавцем</w:t>
      </w:r>
      <w:proofErr w:type="spellEnd"/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зерна. Із цією метою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надає відповідні інструкції Товариству щодо надання послуг, пов’язаних із відвантаженням зерна.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Тобто, послуги ТОВ «АГРОДАР-БАР», пов’язані зі зберіганням зерна (після продажу) та його відвантаженням, сплачує первинний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умовах та за тарифами, передбаченими договорам ск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ладського зберігання. При цьому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моменту укладання 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складського зберігання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мав можливість обрати інший зерновий елеватор для зберігання зерна.</w:t>
      </w:r>
    </w:p>
    <w:p w:rsidR="00D04C4B" w:rsidRPr="00D04C4B" w:rsidRDefault="00A93EA3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той же час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вторинний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є стороною будь-яких правовідносин (угод) із ТОВ «АГРОДАР-БАР», не користується послугами зернового складу та, відповідно, не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слачує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послуги зернового складу.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вторинний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отримує жодних послуг від зернового складу.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лід зазначити, що протягом 2012 – 2013 років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Сценарієм № 1 було реалізовано майже 91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% зерна. Отже, в 91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% випадках реалізації зерна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був стороною правовідносин із Товариством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не отримував жодних послуг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обто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Відділення зробило необґрунтований висновок при визначенні товарних меж ринку та хибно встановило, що іс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нує окремий ринок послуг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EA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зерна, які надаються вторинним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поклажодавцям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781DEE" w:rsidP="004A1190">
      <w:p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Сценарій № 2</w:t>
      </w:r>
    </w:p>
    <w:p w:rsidR="00D04C4B" w:rsidRPr="00E86632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Продавець зерна (первинний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укладає договір купівлі-продажу з покупцем зерна (вторинний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Переоформлення права власності на зерно проводиться  за заявою первинного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цією метою складається акт приймання-передачі зерна, який підписується у тристоронньому порядку (власник зерна, покупець зерна та зерновий склад) та оформлюється договір складського зберігання з новим власн</w:t>
      </w:r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иком. При цьому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новий власник зерна (вторинний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</w:t>
      </w:r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>ець</w:t>
      </w:r>
      <w:proofErr w:type="spellEnd"/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>) має можливість ознайомитися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умовами та тарифами договору 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складського зберігання до його укладання. Тарифи та умови договору  для вторинного</w:t>
      </w:r>
      <w:r w:rsidR="00F3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3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</w:t>
      </w:r>
      <w:proofErr w:type="spellEnd"/>
      <w:r w:rsidR="00F3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нічим не відрізняю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 від умов та тар</w:t>
      </w:r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ифів, встановлених у договорі 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первинним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поклажодавцем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Крім того, покупець зерна (потенційний вторинний </w:t>
      </w:r>
      <w:proofErr w:type="spellStart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завжди має змогу обрати сценарій 1 (описаний вище), визначивши місце поставки зерна, наприклад, порт або інший елеватор. Сценарієм № 2 користуються лише приблизно 9</w:t>
      </w:r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% </w:t>
      </w:r>
      <w:proofErr w:type="spellStart"/>
      <w:r w:rsidR="00AC2F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</w:t>
      </w:r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авців</w:t>
      </w:r>
      <w:proofErr w:type="spellEnd"/>
      <w:r w:rsidRPr="00E866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 слід підкреслити, що новий вл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асник (вторинний </w:t>
      </w:r>
      <w:proofErr w:type="spellStart"/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після придбання зерна 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первинного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 й не відвантажити зерно, а залишити його на зберіганні в елеваторі та згодом перепродати його іншому потенційному в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ласнику. Тобто, у цьому випадку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вторинний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поклажодавець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користується комплексом послуг, по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в’язаних із зберіганням зерна, у тому числі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тими послугами, які необхідні до моменту продажу зерна (на думку Відділення, надаються лише первинним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поклажодавцям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Рішення). 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відсутній ринок послуг зберігання зерна, які отримують виключно вторинні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 Відділення щодо визначення товарних меж ринку є необґрунтованим  та не відповідає фактичним обставинам справи, а також не враховує положення пункту 5.1 Методики, адже саме комплекс послуг, який надається сертифікованими складами</w:t>
      </w:r>
      <w:r w:rsid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своїй сукупності забезпечує надання єдиної послуги зі зберігання зерна.</w:t>
      </w:r>
    </w:p>
    <w:p w:rsidR="00D04C4B" w:rsidRPr="00E4286B" w:rsidRDefault="00D04C4B" w:rsidP="00E4286B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Відділення зробило висновок, що територіальними (географічними) межами ринку послуг із зберігання зерна, які отримують вторинні </w:t>
      </w:r>
      <w:proofErr w:type="spellStart"/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територія с. </w:t>
      </w:r>
      <w:proofErr w:type="spellStart"/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Міжлісся</w:t>
      </w:r>
      <w:proofErr w:type="spellEnd"/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Барського району Вінницької області, на якій розташований зерновий склад Товариства та воно займало монопольне становище на зазначеному ринку </w:t>
      </w:r>
      <w:r w:rsidR="00E4286B"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E4286B"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428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часткою 100 %.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Оскільки, на думку Товариства</w:t>
      </w:r>
      <w:r w:rsidR="004626B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товарні межі ринку визначено неправильно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висновок Відділення до визначення територіальних меж ринку та, відповідно, частки Відповідача, також є необґрунтованим. 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 того, Товариство звертає увагу Комітету, що висновок Відділення протирічить обставинам справи, викладеним самим Відділенням. Так</w:t>
      </w:r>
      <w:r w:rsidR="00D114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сторінці 3 Рішення Відділення зазначає:</w:t>
      </w:r>
    </w:p>
    <w:p w:rsidR="00D04C4B" w:rsidRPr="00D04C4B" w:rsidRDefault="00781DEE" w:rsidP="004A1190">
      <w:p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«Товариство конкурує з іншими суб’єктами </w:t>
      </w:r>
      <w:r w:rsidR="00DB1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господарювання на ринку послуг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B162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зерна, які отримують первинні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зокрема з тими, які найближче розташовані від Товариства: ТОВ «Ера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Грейн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(приблизна відстань до зернового складу Товариства – до 1 км), ТОВ «Хліб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Жмеринщини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(приблизна відстань до зернового складу Товариства – 30 км), ТОВ «Елеваторна компанія «Кряж» (приблизна відстань до зернового складу Товариства – 30 км)».</w:t>
      </w:r>
    </w:p>
    <w:p w:rsidR="00D04C4B" w:rsidRPr="00D04C4B" w:rsidRDefault="000F4042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Відділення підтверджує наявність у Товарист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конкурентів на ринку послуг 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 та визначає територіальні межі ринку щонайменше в радіусі 30 км.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 того, як свідчить практика Комітету, територіальними (географічними</w:t>
      </w:r>
      <w:r w:rsidR="00DB1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межами ринків надання послуг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B162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 є територія певної області.</w:t>
      </w:r>
    </w:p>
    <w:p w:rsidR="00D04C4B" w:rsidRDefault="00D04C4B" w:rsidP="00AF44ED">
      <w:pPr>
        <w:numPr>
          <w:ilvl w:val="0"/>
          <w:numId w:val="13"/>
        </w:numPr>
        <w:spacing w:after="0"/>
        <w:ind w:leftChars="-1" w:left="707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 слід звернути увагу на інформацію Товариства, що на елеваторний комплекс ТОВ «АГРОДАР-БАР» для зберігання привозиться зерно з підприємств, які знаходяться в радіусі 60-80 км від елеваторного комплексу. Значна частина зерна привозиться з підприємств Хмельницької області. Цей факт також свідчить про те, що мінімальна територія</w:t>
      </w:r>
      <w:r w:rsidR="00474F13"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межами якої, з точки зо</w:t>
      </w:r>
      <w:r w:rsidR="00982CFD"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 споживача, придбання послуг </w:t>
      </w:r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82CFD"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 є неможливим або недоцільним, не обмежується лише територією</w:t>
      </w:r>
      <w:r w:rsidR="00AF44ED"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Міжлісся</w:t>
      </w:r>
      <w:proofErr w:type="spellEnd"/>
      <w:r w:rsidRPr="00AF44E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охоплює принаймні територію в радіусі 60-80 км від елеваторного комплексу.</w:t>
      </w:r>
    </w:p>
    <w:p w:rsidR="00610E7B" w:rsidRPr="00610E7B" w:rsidRDefault="00610E7B" w:rsidP="00610E7B">
      <w:pPr>
        <w:spacing w:after="0"/>
        <w:ind w:left="70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4C4B" w:rsidRPr="00D04C4B" w:rsidRDefault="00D04C4B" w:rsidP="004A1190">
      <w:pPr>
        <w:numPr>
          <w:ilvl w:val="0"/>
          <w:numId w:val="13"/>
        </w:numPr>
        <w:spacing w:after="0"/>
        <w:ind w:leftChars="-1" w:left="707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Відділенням не було </w:t>
      </w:r>
      <w:r w:rsidR="004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вз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ято до уваги зазначені факти.</w:t>
      </w:r>
    </w:p>
    <w:p w:rsidR="00D04C4B" w:rsidRPr="00D04C4B" w:rsidRDefault="00434F96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Отже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визначення територіальни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(географічними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</w:t>
      </w:r>
      <w:r w:rsidR="005B50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с. </w:t>
      </w:r>
      <w:proofErr w:type="spellStart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Міжлісся</w:t>
      </w:r>
      <w:proofErr w:type="spellEnd"/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помилковим та не відповідає фактичним обставинам справи.</w:t>
      </w:r>
    </w:p>
    <w:p w:rsidR="00D04C4B" w:rsidRPr="00D04C4B" w:rsidRDefault="00197FD9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наслідок такого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неправильного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застосуванн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Відділенням положень Методики</w:t>
      </w:r>
      <w:r w:rsidR="00D04C4B"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відсутні будь-які розумні та обґрунтовані підстави вважати належним чином встановленим та доведеним Відділенням підхід до визначення територіальних меж ринку та частки Товариства на цьому ринку.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</w:t>
      </w:r>
      <w:r w:rsidR="0019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зі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="00197FD9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 11, 12 Закону України «Про ціни і ціноутворення» № 5007 від 21 червня 2012 року </w:t>
      </w:r>
      <w:r w:rsidRPr="00D04C4B">
        <w:rPr>
          <w:rFonts w:ascii="Times New Roman" w:hAnsi="Times New Roman" w:cs="Times New Roman"/>
          <w:color w:val="000000"/>
          <w:sz w:val="24"/>
          <w:szCs w:val="24"/>
        </w:rPr>
        <w:t>суб’єкти господарювання під час провадження господарської діяльності використовують:</w:t>
      </w:r>
      <w:bookmarkStart w:id="1" w:name="n56"/>
      <w:bookmarkEnd w:id="1"/>
      <w:r w:rsidRPr="00D04C4B">
        <w:rPr>
          <w:rFonts w:ascii="Times New Roman" w:hAnsi="Times New Roman" w:cs="Times New Roman"/>
          <w:color w:val="000000"/>
          <w:sz w:val="24"/>
          <w:szCs w:val="24"/>
        </w:rPr>
        <w:t xml:space="preserve"> вільні ціни</w:t>
      </w:r>
      <w:bookmarkStart w:id="2" w:name="n57"/>
      <w:bookmarkEnd w:id="2"/>
      <w:r w:rsidRPr="00D04C4B">
        <w:rPr>
          <w:rFonts w:ascii="Times New Roman" w:hAnsi="Times New Roman" w:cs="Times New Roman"/>
          <w:color w:val="000000"/>
          <w:sz w:val="24"/>
          <w:szCs w:val="24"/>
        </w:rPr>
        <w:t xml:space="preserve"> та державні регульовані ціни.</w:t>
      </w:r>
      <w:r w:rsidRPr="00D04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Вільні ціни встановлюються суб’єктами господарювання самостійно за згодою сторін. Державні регульовані ціни запроваджуються на товари, які справляють визначальний вплив на загальний рівень і динаміку цін, мають істотну соціальну значущість, а також на товари, що виробляються суб’єктами, які займають монопольне (домінуюче) становище на ринку.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 уже зазначалось, за оцінками ТОВ «АГРОДАР-БАР», підприємство не займає домінуючого становища на відповідному ринку. Крім того, 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період дії відповідних договорів із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поклажодавцями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законодавством не встановлено нормативних обмежень на формування цін із надання послуг 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відвантаженн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продукції підприємствами, які здій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снюють господарську діяльність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сільськогосподарських культур.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т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акож застосовує однакові тарифи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для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поклажодавців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пов’язані відносинами контролю з</w:t>
      </w:r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Товариством, так і для </w:t>
      </w:r>
      <w:proofErr w:type="spellStart"/>
      <w:r w:rsidR="00D472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давців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не пов’язані відносинами контролю з Товариством. Отже, застосування однакових тарифів свідчить про: (</w:t>
      </w:r>
      <w:r w:rsidR="00C124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) відсутність зловживання монопольним станови</w:t>
      </w:r>
      <w:r w:rsidR="00C124C3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 зі сторони Товариства та (б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неповне з’ясування Відділенням обставин, які мають значення для справи.</w:t>
      </w:r>
    </w:p>
    <w:p w:rsidR="00D04C4B" w:rsidRPr="00A832EC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опитування </w:t>
      </w:r>
      <w:proofErr w:type="spellStart"/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Поклажодавців</w:t>
      </w:r>
      <w:proofErr w:type="spellEnd"/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Відділенням (</w:t>
      </w:r>
      <w:proofErr w:type="spellStart"/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</w:t>
      </w:r>
      <w:proofErr w:type="spellEnd"/>
      <w:r w:rsidR="00021D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9-10 Рішення), Товариство зауважує</w:t>
      </w:r>
      <w:r w:rsidR="00021DA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за результатами опитування</w:t>
      </w: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Відділення зробило не</w:t>
      </w:r>
      <w:r w:rsidR="00021D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правильний</w:t>
      </w: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2EC"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021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висновок: «…</w:t>
      </w: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Вищевикладене свідчить про те, що саме завдяки своїй ринковій владі Товариство має можливість встановлювати ціни на свої послуги і підтримувати їх на рівні, що перевищує рівень обумовлений конкуренцією на ринку».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Відповідь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поклажодавців</w:t>
      </w:r>
      <w:proofErr w:type="spellEnd"/>
      <w:r w:rsidR="00021D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навпаки</w:t>
      </w:r>
      <w:r w:rsidR="00B02C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свідчить про те, що Товариство не займає монопольного становища. Оскільки </w:t>
      </w:r>
      <w:r w:rsidR="00F11A8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зростання цін на послуги                                      ТОВ «АГРОДАР-БАР» на 10</w:t>
      </w:r>
      <w:r w:rsidR="00A81B69">
        <w:rPr>
          <w:rFonts w:ascii="Times New Roman" w:eastAsia="Times New Roman" w:hAnsi="Times New Roman" w:cs="Times New Roman"/>
          <w:sz w:val="24"/>
          <w:szCs w:val="24"/>
          <w:lang w:eastAsia="ru-RU"/>
        </w:rPr>
        <w:t> % та більше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готові відмовитись від послуг Товариства та скористаються  послугами інших зернових складів.</w:t>
      </w:r>
    </w:p>
    <w:p w:rsidR="00D04C4B" w:rsidRPr="00D04C4B" w:rsidRDefault="00D04C4B" w:rsidP="004A1190">
      <w:pPr>
        <w:numPr>
          <w:ilvl w:val="0"/>
          <w:numId w:val="13"/>
        </w:numPr>
        <w:spacing w:before="4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підставі </w:t>
      </w:r>
      <w:r w:rsidR="00A81B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викладеного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«АГРОДАР-БАР» вважає висновки Відділення щодо визначення товарних та територіальних (географічних) меж ринку у справі необ’єктивними та необґрунтованими, що призвело до помилкового визначення ринку у справі та частки Відповідача на такому ринку.</w:t>
      </w:r>
    </w:p>
    <w:p w:rsidR="00D04C4B" w:rsidRPr="00A832EC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«АГРОДАР-БАР» вважає висновки Відділення в частині зловживання Товариством монопольним (домінуючим) становищем такими, що не відповідають дійсності та не доведені за результатами розгляду справи та просить повністю скасувати Рішення № 01-РШ від 17.01.2018 адміністративної колегії Вінницького територіального відділення Антимонопольного комітету України у справі № 06-26.20.2/124-12.</w:t>
      </w:r>
    </w:p>
    <w:p w:rsidR="00D04C4B" w:rsidRDefault="00D04C4B" w:rsidP="004A1190">
      <w:p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4DB" w:rsidRDefault="00A204DB" w:rsidP="004A1190">
      <w:p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4DB" w:rsidRPr="00D04C4B" w:rsidRDefault="00A204DB" w:rsidP="004A1190">
      <w:p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C4B" w:rsidRPr="00D04C4B" w:rsidRDefault="00D04C4B" w:rsidP="004A1190">
      <w:pPr>
        <w:tabs>
          <w:tab w:val="left" w:pos="2595"/>
        </w:tabs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hAnsi="Times New Roman" w:cs="Times New Roman"/>
          <w:b/>
          <w:sz w:val="24"/>
          <w:szCs w:val="24"/>
          <w:lang w:eastAsia="uk-UA"/>
        </w:rPr>
        <w:lastRenderedPageBreak/>
        <w:t>6</w:t>
      </w:r>
      <w:r w:rsidRPr="00D04C4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 ПЕРЕВІРКА РІШЕННЯ</w:t>
      </w:r>
    </w:p>
    <w:p w:rsidR="00D04C4B" w:rsidRPr="000A5CA4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CA4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результатом аналізу Рішення, матеріалів справи </w:t>
      </w:r>
      <w:r w:rsidRPr="000A5CA4">
        <w:rPr>
          <w:rFonts w:ascii="Times New Roman" w:hAnsi="Times New Roman" w:cs="Times New Roman"/>
          <w:sz w:val="24"/>
          <w:szCs w:val="24"/>
        </w:rPr>
        <w:t xml:space="preserve">№ 06-26.20.2/124-12 </w:t>
      </w:r>
      <w:r w:rsidR="00A204DB">
        <w:rPr>
          <w:rFonts w:ascii="Times New Roman" w:hAnsi="Times New Roman" w:cs="Times New Roman"/>
          <w:sz w:val="24"/>
          <w:szCs w:val="24"/>
          <w:lang w:eastAsia="ru-RU"/>
        </w:rPr>
        <w:t>та матеріалів, які були нада</w:t>
      </w:r>
      <w:r w:rsidRPr="000A5CA4">
        <w:rPr>
          <w:rFonts w:ascii="Times New Roman" w:hAnsi="Times New Roman" w:cs="Times New Roman"/>
          <w:sz w:val="24"/>
          <w:szCs w:val="24"/>
          <w:lang w:eastAsia="ru-RU"/>
        </w:rPr>
        <w:t xml:space="preserve">ні Відділенням на виконання доручення Голови Комітету від 16.03.2018 </w:t>
      </w:r>
      <w:r w:rsidR="000A5CA4" w:rsidRPr="000A5CA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0A5CA4">
        <w:rPr>
          <w:rFonts w:ascii="Times New Roman" w:hAnsi="Times New Roman" w:cs="Times New Roman"/>
          <w:sz w:val="24"/>
          <w:szCs w:val="24"/>
          <w:lang w:eastAsia="ru-RU"/>
        </w:rPr>
        <w:t>№ 8-01/5-пр, з’ясован</w:t>
      </w:r>
      <w:r w:rsidR="00A204D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0A5CA4">
        <w:rPr>
          <w:rFonts w:ascii="Times New Roman" w:hAnsi="Times New Roman" w:cs="Times New Roman"/>
          <w:sz w:val="24"/>
          <w:szCs w:val="24"/>
          <w:lang w:eastAsia="ru-RU"/>
        </w:rPr>
        <w:t xml:space="preserve"> наступне.</w:t>
      </w:r>
    </w:p>
    <w:p w:rsidR="00D04C4B" w:rsidRPr="00D04C4B" w:rsidRDefault="00D04C4B" w:rsidP="004A1190">
      <w:pPr>
        <w:numPr>
          <w:ilvl w:val="0"/>
          <w:numId w:val="13"/>
        </w:numPr>
        <w:spacing w:after="0"/>
        <w:ind w:leftChars="-1" w:left="707" w:hanging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hAnsi="Times New Roman" w:cs="Times New Roman"/>
          <w:sz w:val="24"/>
          <w:szCs w:val="24"/>
          <w:lang w:eastAsia="ru-RU"/>
        </w:rPr>
        <w:t>Товариство здійс</w:t>
      </w:r>
      <w:r w:rsidR="00A75117">
        <w:rPr>
          <w:rFonts w:ascii="Times New Roman" w:hAnsi="Times New Roman" w:cs="Times New Roman"/>
          <w:sz w:val="24"/>
          <w:szCs w:val="24"/>
          <w:lang w:eastAsia="ru-RU"/>
        </w:rPr>
        <w:t xml:space="preserve">нює діяльність на ринку послуг </w:t>
      </w:r>
      <w:r w:rsidRPr="00D04C4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75117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ru-RU"/>
        </w:rPr>
        <w:t xml:space="preserve"> зберігання зерна.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tabs>
          <w:tab w:val="left" w:pos="709"/>
        </w:tabs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hAnsi="Times New Roman" w:cs="Times New Roman"/>
          <w:sz w:val="24"/>
          <w:szCs w:val="24"/>
          <w:lang w:eastAsia="ru-RU"/>
        </w:rPr>
        <w:t xml:space="preserve">У розумінні статті 1 Закону України «Про захист економічної конкуренції»                                     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«АГРОДАР-БАР»</w:t>
      </w:r>
      <w:r w:rsidRPr="00D04C4B">
        <w:rPr>
          <w:rFonts w:ascii="Times New Roman" w:hAnsi="Times New Roman" w:cs="Times New Roman"/>
          <w:sz w:val="24"/>
          <w:szCs w:val="24"/>
          <w:lang w:eastAsia="ru-RU"/>
        </w:rPr>
        <w:t xml:space="preserve"> є суб’єктом господарювання. 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tabs>
          <w:tab w:val="left" w:pos="709"/>
        </w:tabs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hAnsi="Times New Roman" w:cs="Times New Roman"/>
          <w:sz w:val="24"/>
          <w:szCs w:val="24"/>
        </w:rPr>
        <w:t>Відділенням відповідно до Методики визначення монопольного (домінуючого) становища суб’єктів господарювання на ринку, затвердженої розпорядженням Антимонопольного комітету України від 05.03.20102 № 49-р, зареєстрованої в Міністерстві юстиції України за № 317/6605 (далі – Мето</w:t>
      </w:r>
      <w:r w:rsidR="00F253A8">
        <w:rPr>
          <w:rFonts w:ascii="Times New Roman" w:hAnsi="Times New Roman" w:cs="Times New Roman"/>
          <w:sz w:val="24"/>
          <w:szCs w:val="24"/>
        </w:rPr>
        <w:t xml:space="preserve">дика), досліджено ринок послуг </w:t>
      </w:r>
      <w:r w:rsidRPr="00D04C4B">
        <w:rPr>
          <w:rFonts w:ascii="Times New Roman" w:hAnsi="Times New Roman" w:cs="Times New Roman"/>
          <w:sz w:val="24"/>
          <w:szCs w:val="24"/>
        </w:rPr>
        <w:t>з</w:t>
      </w:r>
      <w:r w:rsidR="00F253A8">
        <w:rPr>
          <w:rFonts w:ascii="Times New Roman" w:hAnsi="Times New Roman" w:cs="Times New Roman"/>
          <w:sz w:val="24"/>
          <w:szCs w:val="24"/>
        </w:rPr>
        <w:t>і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зберігання зерна</w:t>
      </w:r>
      <w:r w:rsidRPr="00D04C4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Об’єктом аналізу щодо визначення монопольного (домінуючого) становища встановлено ТОВ «АГРОДАР-БАР». 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Това</w:t>
      </w:r>
      <w:r w:rsidR="00F253A8">
        <w:rPr>
          <w:rFonts w:ascii="Times New Roman" w:hAnsi="Times New Roman" w:cs="Times New Roman"/>
          <w:sz w:val="24"/>
          <w:szCs w:val="24"/>
          <w:lang w:eastAsia="ja-JP"/>
        </w:rPr>
        <w:t xml:space="preserve">рними межами визначено послуги 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F253A8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Pr="00D04C4B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При визначен</w:t>
      </w:r>
      <w:r w:rsidR="00F253A8">
        <w:rPr>
          <w:rFonts w:ascii="Times New Roman" w:hAnsi="Times New Roman" w:cs="Times New Roman"/>
          <w:sz w:val="24"/>
          <w:szCs w:val="24"/>
          <w:lang w:eastAsia="ja-JP"/>
        </w:rPr>
        <w:t>н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і товарних меж ринку Відділення виходило з </w:t>
      </w:r>
      <w:r w:rsidR="00F253A8">
        <w:rPr>
          <w:rFonts w:ascii="Times New Roman" w:hAnsi="Times New Roman" w:cs="Times New Roman"/>
          <w:sz w:val="24"/>
          <w:szCs w:val="24"/>
          <w:lang w:eastAsia="ja-JP"/>
        </w:rPr>
        <w:t>так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ого: 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Відділенням визначено два ринки:</w:t>
      </w:r>
    </w:p>
    <w:p w:rsidR="00D04C4B" w:rsidRPr="00D04C4B" w:rsidRDefault="008F3A01" w:rsidP="008F3A01">
      <w:pPr>
        <w:widowControl w:val="0"/>
        <w:tabs>
          <w:tab w:val="left" w:pos="709"/>
        </w:tabs>
        <w:spacing w:after="120"/>
        <w:ind w:leftChars="322" w:left="708" w:firstLine="2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1. Послуги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первинні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зерна, зокрема: приймання та оформлення складських квитанцій, первинна доробка (очистка, сушіння), зберігання зерна, тобто послуги</w:t>
      </w:r>
      <w:r w:rsidR="008F7AB6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необхідні до моменту продажу зерна, яке знаходиться на зерновому складі.</w:t>
      </w:r>
    </w:p>
    <w:p w:rsidR="00D04C4B" w:rsidRPr="00D04C4B" w:rsidRDefault="008F7AB6" w:rsidP="008F3A01">
      <w:pPr>
        <w:widowControl w:val="0"/>
        <w:spacing w:before="120" w:after="120"/>
        <w:ind w:left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2. Послуги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вторинні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, зокрема: зберігання зерна, відвантаження зерна на автомобільний або залізничний транспорт (зважування на залізничних (автомобільних) вагах, користування під’їзними коліями, тобто послуги</w:t>
      </w:r>
      <w:r w:rsidR="00610E7B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необхідні до моменту його відвантаження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зернового складу).</w:t>
      </w:r>
    </w:p>
    <w:p w:rsidR="00D04C4B" w:rsidRPr="00D04C4B" w:rsidRDefault="00D04C4B" w:rsidP="008F3A01">
      <w:pPr>
        <w:widowControl w:val="0"/>
        <w:spacing w:before="120" w:after="120"/>
        <w:ind w:left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Та</w:t>
      </w:r>
      <w:r w:rsidR="00774A4E">
        <w:rPr>
          <w:rFonts w:ascii="Times New Roman" w:hAnsi="Times New Roman" w:cs="Times New Roman"/>
          <w:sz w:val="24"/>
          <w:szCs w:val="24"/>
          <w:lang w:eastAsia="ja-JP"/>
        </w:rPr>
        <w:t>кож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774A4E">
        <w:rPr>
          <w:rFonts w:ascii="Times New Roman" w:hAnsi="Times New Roman" w:cs="Times New Roman"/>
          <w:sz w:val="24"/>
          <w:szCs w:val="24"/>
          <w:lang w:eastAsia="ja-JP"/>
        </w:rPr>
        <w:t xml:space="preserve">зазначено, що споживачі послуг 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774A4E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первинні та 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Товариства</w:t>
      </w:r>
      <w:r w:rsidR="00606014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є різними (крім зберігання). </w:t>
      </w:r>
    </w:p>
    <w:p w:rsidR="00D04C4B" w:rsidRPr="00965DD7" w:rsidRDefault="00FE2D44" w:rsidP="00965DD7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65DD7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Рішенні територіальними межами (геог</w:t>
      </w:r>
      <w:r w:rsidR="00790A58">
        <w:rPr>
          <w:rFonts w:ascii="Times New Roman" w:hAnsi="Times New Roman" w:cs="Times New Roman"/>
          <w:sz w:val="24"/>
          <w:szCs w:val="24"/>
          <w:lang w:eastAsia="ja-JP"/>
        </w:rPr>
        <w:t xml:space="preserve">рафічними) межами ринку послуг </w:t>
      </w:r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790A58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вторинні </w:t>
      </w:r>
      <w:proofErr w:type="spellStart"/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965DD7" w:rsidRPr="00965DD7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 визначено територію </w:t>
      </w:r>
      <w:r w:rsidR="00965DD7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                        </w:t>
      </w:r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с. </w:t>
      </w:r>
      <w:proofErr w:type="spellStart"/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>Міжлісся</w:t>
      </w:r>
      <w:proofErr w:type="spellEnd"/>
      <w:r w:rsidR="00D04C4B" w:rsidRPr="00965DD7">
        <w:rPr>
          <w:rFonts w:ascii="Times New Roman" w:hAnsi="Times New Roman" w:cs="Times New Roman"/>
          <w:sz w:val="24"/>
          <w:szCs w:val="24"/>
          <w:lang w:eastAsia="ja-JP"/>
        </w:rPr>
        <w:t xml:space="preserve"> Барського району Вінницької області, на якій розташований зерновий склад ТОВ «АГРОДАР-БАР».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Часовими межами ринку визначено 2012-2013 маркетинговий рік.</w:t>
      </w:r>
    </w:p>
    <w:p w:rsidR="00D04C4B" w:rsidRPr="00D04C4B" w:rsidRDefault="00965DD7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результаті проведеного Відділенням дослідження визначено, що відповідно до  частини першої статті 12 Закону України «Про захист економічної конкуренції» протягом 2012-2013 маркетингового року ТОВ «АГРОДАР-БАР» займало монопо</w:t>
      </w:r>
      <w:r w:rsidR="002A66F9">
        <w:rPr>
          <w:rFonts w:ascii="Times New Roman" w:hAnsi="Times New Roman" w:cs="Times New Roman"/>
          <w:sz w:val="24"/>
          <w:szCs w:val="24"/>
          <w:lang w:eastAsia="ja-JP"/>
        </w:rPr>
        <w:t xml:space="preserve">льне становище на ринку послуг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2A66F9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вторинні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r w:rsidR="007E5A0A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межах території с.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Міжлісся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Барського району Вінницької області, на якій розташований зерновий склад ТОВ «АГРОДАР-БАР»</w:t>
      </w:r>
      <w:r w:rsidR="007E5A0A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652F2">
        <w:rPr>
          <w:rFonts w:ascii="Times New Roman" w:hAnsi="Times New Roman" w:cs="Times New Roman"/>
          <w:sz w:val="24"/>
          <w:szCs w:val="24"/>
          <w:lang w:eastAsia="ja-JP"/>
        </w:rPr>
        <w:t>із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часткою 100 відсотків.</w:t>
      </w:r>
    </w:p>
    <w:p w:rsidR="00D04C4B" w:rsidRPr="00D04C4B" w:rsidRDefault="00685D93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2012-2013 марке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тинговому році вартість послуг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первинні і вторинні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(зберігання зерна, відвантаження зерна автотранспортом, зважування на залізничній вазі, користування під’їзними коліями), які нада</w:t>
      </w:r>
      <w:r>
        <w:rPr>
          <w:rFonts w:ascii="Times New Roman" w:hAnsi="Times New Roman" w:cs="Times New Roman"/>
          <w:sz w:val="24"/>
          <w:szCs w:val="24"/>
          <w:lang w:eastAsia="ja-JP"/>
        </w:rPr>
        <w:t>є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ТОВ «АГРОДАР-БАР»</w:t>
      </w:r>
      <w:r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була найвищою </w:t>
      </w:r>
      <w:r>
        <w:rPr>
          <w:rFonts w:ascii="Times New Roman" w:hAnsi="Times New Roman" w:cs="Times New Roman"/>
          <w:sz w:val="24"/>
          <w:szCs w:val="24"/>
          <w:lang w:eastAsia="ja-JP"/>
        </w:rPr>
        <w:t>порівняно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 аналогічними послугами </w:t>
      </w:r>
      <w:r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найближче розташованих сертифікованих зернових склад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ах. Крім того, вартість послуг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зважування на залізничній вазі та користування під’їзними коліями була однією з найвищих серед сертифікованих зернових складів Вінницької області.</w:t>
      </w:r>
    </w:p>
    <w:p w:rsidR="00D04C4B" w:rsidRPr="00D04C4B" w:rsidRDefault="00685D93" w:rsidP="004A1190">
      <w:pPr>
        <w:numPr>
          <w:ilvl w:val="0"/>
          <w:numId w:val="13"/>
        </w:numPr>
        <w:spacing w:after="0"/>
        <w:ind w:leftChars="-1" w:left="707" w:hanging="709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lastRenderedPageBreak/>
        <w:t xml:space="preserve">Формування вартості послуг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первинні та вторинні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, ТОВ «АГРОДАР-БАР» здійснює самостійно. 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Відділенням було проведено аналіз калькуляції вартості послуг </w:t>
      </w:r>
      <w:r w:rsidR="00D15509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 відвантаження, зважування на залізничній вазі та користування під’їзними коліями на 2012-2013 маркетинговий рік, який показав, що вартість вказаних послуг сформовано на підставі запланованого бюджету доходів і витрат на 2012-2013 маркетинговий рік.</w:t>
      </w:r>
    </w:p>
    <w:p w:rsidR="00D04C4B" w:rsidRPr="00D04C4B" w:rsidRDefault="008767D3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результаті аналізу складових витрат планових калькуляцій вартості послуг із відвантаження, зважування на залізничній вазі та користування під’їзними коліями виявлено,  що витрати </w:t>
      </w:r>
      <w:r>
        <w:rPr>
          <w:rFonts w:ascii="Times New Roman" w:hAnsi="Times New Roman" w:cs="Times New Roman"/>
          <w:sz w:val="24"/>
          <w:szCs w:val="24"/>
          <w:lang w:eastAsia="ja-JP"/>
        </w:rPr>
        <w:t>за статтею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«Електроенергія» суттєво завищено (</w:t>
      </w: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2,4 раз</w:t>
      </w: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).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Завищення статті «Електроенергія» </w:t>
      </w:r>
      <w:r w:rsidR="00D43D4F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пл</w:t>
      </w:r>
      <w:r w:rsidR="00D43D4F">
        <w:rPr>
          <w:rFonts w:ascii="Times New Roman" w:hAnsi="Times New Roman" w:cs="Times New Roman"/>
          <w:sz w:val="24"/>
          <w:szCs w:val="24"/>
          <w:lang w:eastAsia="ja-JP"/>
        </w:rPr>
        <w:t xml:space="preserve">анових калькуляціях на послуги 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D43D4F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</w:t>
      </w:r>
      <w:proofErr w:type="spellEnd"/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, призвело до завищення вартості вказаних послуг. Відповідно, зроблено висновок про необґрунтованість встановлення та стягнення з </w:t>
      </w:r>
      <w:proofErr w:type="spellStart"/>
      <w:r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</w:t>
      </w:r>
      <w:r w:rsidR="00D43D4F">
        <w:rPr>
          <w:rFonts w:ascii="Times New Roman" w:hAnsi="Times New Roman" w:cs="Times New Roman"/>
          <w:sz w:val="24"/>
          <w:szCs w:val="24"/>
          <w:lang w:eastAsia="ja-JP"/>
        </w:rPr>
        <w:t>ів</w:t>
      </w:r>
      <w:proofErr w:type="spellEnd"/>
      <w:r w:rsidR="00D43D4F">
        <w:rPr>
          <w:rFonts w:ascii="Times New Roman" w:hAnsi="Times New Roman" w:cs="Times New Roman"/>
          <w:sz w:val="24"/>
          <w:szCs w:val="24"/>
          <w:lang w:eastAsia="ja-JP"/>
        </w:rPr>
        <w:t xml:space="preserve"> додаткової плати за послугу 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D43D4F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зберігання зерна в осінньо-зимовий період.</w:t>
      </w:r>
    </w:p>
    <w:p w:rsidR="00D04C4B" w:rsidRPr="000210F5" w:rsidRDefault="00D04C4B" w:rsidP="000210F5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0210F5">
        <w:rPr>
          <w:rFonts w:ascii="Times New Roman" w:hAnsi="Times New Roman" w:cs="Times New Roman"/>
          <w:sz w:val="24"/>
          <w:szCs w:val="24"/>
          <w:lang w:eastAsia="ja-JP"/>
        </w:rPr>
        <w:t>Крім того, Відділення</w:t>
      </w:r>
      <w:r w:rsidR="00D43D4F" w:rsidRPr="000210F5">
        <w:rPr>
          <w:rFonts w:ascii="Times New Roman" w:hAnsi="Times New Roman" w:cs="Times New Roman"/>
          <w:sz w:val="24"/>
          <w:szCs w:val="24"/>
          <w:lang w:eastAsia="ja-JP"/>
        </w:rPr>
        <w:t>м</w:t>
      </w:r>
      <w:r w:rsidRPr="000210F5">
        <w:rPr>
          <w:rFonts w:ascii="Times New Roman" w:hAnsi="Times New Roman" w:cs="Times New Roman"/>
          <w:sz w:val="24"/>
          <w:szCs w:val="24"/>
          <w:lang w:eastAsia="ja-JP"/>
        </w:rPr>
        <w:t xml:space="preserve"> встановлено, що послуги з відвантаження зерна, надані не в робочий час, або у вихідні (святкові) дні, оплачувалися за подвійним тарифом. Стаття «заробітна плата» у тарифі на послуги з відвантаження зерна </w:t>
      </w:r>
      <w:r w:rsidR="000210F5" w:rsidRPr="000210F5">
        <w:rPr>
          <w:rFonts w:ascii="Times New Roman" w:hAnsi="Times New Roman" w:cs="Times New Roman"/>
          <w:sz w:val="24"/>
          <w:szCs w:val="24"/>
          <w:lang w:eastAsia="ja-JP"/>
        </w:rPr>
        <w:t xml:space="preserve">                                                           </w:t>
      </w:r>
      <w:r w:rsidRPr="000210F5">
        <w:rPr>
          <w:rFonts w:ascii="Times New Roman" w:hAnsi="Times New Roman" w:cs="Times New Roman"/>
          <w:sz w:val="24"/>
          <w:szCs w:val="24"/>
          <w:lang w:eastAsia="ja-JP"/>
        </w:rPr>
        <w:t>становить 10,6</w:t>
      </w:r>
      <w:r w:rsidR="00D43755" w:rsidRPr="000210F5">
        <w:rPr>
          <w:rFonts w:ascii="Times New Roman" w:hAnsi="Times New Roman" w:cs="Times New Roman"/>
          <w:sz w:val="24"/>
          <w:szCs w:val="24"/>
          <w:lang w:eastAsia="ja-JP"/>
        </w:rPr>
        <w:t> </w:t>
      </w:r>
      <w:r w:rsidR="000210F5" w:rsidRPr="000210F5">
        <w:rPr>
          <w:rFonts w:ascii="Times New Roman" w:hAnsi="Times New Roman" w:cs="Times New Roman"/>
          <w:sz w:val="24"/>
          <w:szCs w:val="24"/>
          <w:lang w:eastAsia="ja-JP"/>
        </w:rPr>
        <w:t>%</w:t>
      </w:r>
      <w:r w:rsidR="00D02719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02719" w:rsidRPr="001C2C99">
        <w:rPr>
          <w:rFonts w:ascii="Times New Roman" w:hAnsi="Times New Roman" w:cs="Times New Roman"/>
          <w:sz w:val="24"/>
          <w:szCs w:val="24"/>
        </w:rPr>
        <w:t>–</w:t>
      </w:r>
      <w:r w:rsidR="00D02719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0210F5">
        <w:rPr>
          <w:rFonts w:ascii="Times New Roman" w:hAnsi="Times New Roman" w:cs="Times New Roman"/>
          <w:sz w:val="24"/>
          <w:szCs w:val="24"/>
          <w:lang w:eastAsia="ja-JP"/>
        </w:rPr>
        <w:t>11,9</w:t>
      </w:r>
      <w:r w:rsidR="00D43755" w:rsidRPr="000210F5">
        <w:rPr>
          <w:rFonts w:ascii="Times New Roman" w:hAnsi="Times New Roman" w:cs="Times New Roman"/>
          <w:sz w:val="24"/>
          <w:szCs w:val="24"/>
          <w:lang w:eastAsia="ja-JP"/>
        </w:rPr>
        <w:t> </w:t>
      </w:r>
      <w:r w:rsidRPr="000210F5">
        <w:rPr>
          <w:rFonts w:ascii="Times New Roman" w:hAnsi="Times New Roman" w:cs="Times New Roman"/>
          <w:sz w:val="24"/>
          <w:szCs w:val="24"/>
          <w:lang w:eastAsia="ja-JP"/>
        </w:rPr>
        <w:t>%. Навіть збільшення статті «заробітна</w:t>
      </w:r>
      <w:r w:rsidR="004E580F" w:rsidRPr="000210F5">
        <w:rPr>
          <w:rFonts w:ascii="Times New Roman" w:hAnsi="Times New Roman" w:cs="Times New Roman"/>
          <w:sz w:val="24"/>
          <w:szCs w:val="24"/>
          <w:lang w:eastAsia="ja-JP"/>
        </w:rPr>
        <w:t xml:space="preserve"> плата» вдвічі </w:t>
      </w:r>
      <w:r w:rsidRPr="000210F5">
        <w:rPr>
          <w:rFonts w:ascii="Times New Roman" w:hAnsi="Times New Roman" w:cs="Times New Roman"/>
          <w:sz w:val="24"/>
          <w:szCs w:val="24"/>
          <w:lang w:eastAsia="ja-JP"/>
        </w:rPr>
        <w:t>не призведе до збільшення тарифу в подвійному розмірі. При наданні послуг у вихідні та святкові дні, а також у позаурочний час, згідно з чинним законодавством, виплачується в підвищеному розмірі лише заробітна плата. Інші складові витрат послуг залишаються незмінними.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>ТОВ «АГОДАР-БАР» не нада</w:t>
      </w:r>
      <w:r w:rsidR="00B81779">
        <w:rPr>
          <w:rFonts w:ascii="Times New Roman" w:hAnsi="Times New Roman" w:cs="Times New Roman"/>
          <w:sz w:val="24"/>
          <w:szCs w:val="24"/>
          <w:lang w:eastAsia="ja-JP"/>
        </w:rPr>
        <w:t>л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о належного економічного обґрунтування встановлення подвійного розміру вартості послуг </w:t>
      </w:r>
      <w:r w:rsidR="00B81779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04C4B">
        <w:rPr>
          <w:rFonts w:ascii="Times New Roman" w:hAnsi="Times New Roman" w:cs="Times New Roman"/>
          <w:sz w:val="24"/>
          <w:szCs w:val="24"/>
          <w:lang w:eastAsia="ja-JP"/>
        </w:rPr>
        <w:t>з відвантаження продукції у нічний час, вихідні, святкові та неробочі дні.</w:t>
      </w:r>
    </w:p>
    <w:p w:rsidR="00D04C4B" w:rsidRPr="00D04C4B" w:rsidRDefault="00D04C4B" w:rsidP="004A1190">
      <w:pPr>
        <w:widowControl w:val="0"/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Відділенням встановлено, що скарг від </w:t>
      </w:r>
      <w:proofErr w:type="spellStart"/>
      <w:r w:rsidRPr="00D04C4B">
        <w:rPr>
          <w:rFonts w:ascii="Times New Roman" w:hAnsi="Times New Roman" w:cs="Times New Roman"/>
          <w:sz w:val="24"/>
          <w:szCs w:val="24"/>
          <w:lang w:eastAsia="ja-JP"/>
        </w:rPr>
        <w:t>поклажодавців</w:t>
      </w:r>
      <w:proofErr w:type="spellEnd"/>
      <w:r w:rsidRPr="00D04C4B">
        <w:rPr>
          <w:rFonts w:ascii="Times New Roman" w:hAnsi="Times New Roman" w:cs="Times New Roman"/>
          <w:sz w:val="24"/>
          <w:szCs w:val="24"/>
          <w:lang w:eastAsia="ja-JP"/>
        </w:rPr>
        <w:t xml:space="preserve"> не надходило.</w:t>
      </w:r>
    </w:p>
    <w:p w:rsidR="00D04C4B" w:rsidRPr="00D04C4B" w:rsidRDefault="00B81779" w:rsidP="004A1190">
      <w:pPr>
        <w:spacing w:after="120"/>
        <w:ind w:leftChars="-1" w:left="707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    </w:t>
      </w:r>
      <w:r w:rsidR="00D04C4B" w:rsidRPr="00D04C4B">
        <w:rPr>
          <w:rFonts w:ascii="Times New Roman" w:hAnsi="Times New Roman" w:cs="Times New Roman"/>
          <w:sz w:val="24"/>
          <w:szCs w:val="24"/>
          <w:lang w:eastAsia="ja-JP"/>
        </w:rPr>
        <w:t>Відділенням зроблено висновок, що дії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ТОВ «АГРОДАР-БАР» щодо встановлення економічно необґрунтованих тарифів на 2012-2013 маркетинговий рік на послуги </w:t>
      </w:r>
      <w:r>
        <w:rPr>
          <w:rFonts w:ascii="Times New Roman" w:hAnsi="Times New Roman" w:cs="Times New Roman"/>
          <w:bCs/>
          <w:sz w:val="24"/>
          <w:szCs w:val="24"/>
        </w:rPr>
        <w:t>зі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зберігання зерна, які отримують вторинні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>, зокрема: зберігання зерна, зберігання зерна в осінньо-зимовий період (з 15 вересня 2012 року по 31 березня 2013 року), відвантаження зерна, зважування на залізничній вазі, користування під’їзними коліями, відвантаження продукції у нічний час, вихідні, святкові та неробочі дні в подвійному розмірі, є порушенням законодавства про захист економічної конкуренції, передбаченим пунктом 1 частини другої статті 13 та пунктом 2 статті 50 Закону України «Про захист економічної конкуренції»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у вигляді зловживання монопольним становищем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ринку послуг 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>з</w:t>
      </w:r>
      <w:r>
        <w:rPr>
          <w:rFonts w:ascii="Times New Roman" w:hAnsi="Times New Roman" w:cs="Times New Roman"/>
          <w:bCs/>
          <w:sz w:val="24"/>
          <w:szCs w:val="24"/>
        </w:rPr>
        <w:t>і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зберігання зерна, які отримують вторинні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межах території с. </w:t>
      </w:r>
      <w:proofErr w:type="spellStart"/>
      <w:r w:rsidR="00D04C4B" w:rsidRPr="00D04C4B">
        <w:rPr>
          <w:rFonts w:ascii="Times New Roman" w:hAnsi="Times New Roman" w:cs="Times New Roman"/>
          <w:bCs/>
          <w:sz w:val="24"/>
          <w:szCs w:val="24"/>
        </w:rPr>
        <w:t>Міжлісся</w:t>
      </w:r>
      <w:proofErr w:type="spellEnd"/>
      <w:r w:rsidR="00D04C4B" w:rsidRPr="00D04C4B">
        <w:rPr>
          <w:rFonts w:ascii="Times New Roman" w:hAnsi="Times New Roman" w:cs="Times New Roman"/>
          <w:bCs/>
          <w:sz w:val="24"/>
          <w:szCs w:val="24"/>
        </w:rPr>
        <w:t xml:space="preserve"> Барського району Вінницької області, на якій розташований зерновий склад Товариства, шляхом встановлення таких цін реалізації послуг, які неможливо було б встановити за умов існування значної конкуренції на ринку.</w:t>
      </w:r>
    </w:p>
    <w:p w:rsidR="00D04C4B" w:rsidRPr="00D04C4B" w:rsidRDefault="00D04C4B" w:rsidP="004A1190">
      <w:pPr>
        <w:spacing w:after="120"/>
        <w:ind w:leftChars="-1" w:left="707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4C4B" w:rsidRPr="00D04C4B" w:rsidRDefault="00D04C4B" w:rsidP="004A1190">
      <w:pPr>
        <w:spacing w:before="120" w:after="120"/>
        <w:ind w:leftChars="-1" w:left="707" w:hanging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4C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7. ПІДСТАВИ ДЛЯ СКАСУВАННЯ РІШЕННЯ 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 Рішення та матеріалів справи № 06-26.20.2/124-12 свідчить про те, що адміністративною колегією територіального Відділення у ході розгляду справи                       № 06-26.20.2/124-12 не було обґрунтовано монопольне (домінуюче) становище Товарист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на ринку послуг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поклажодавці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території с. </w:t>
      </w:r>
      <w:proofErr w:type="spellStart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Міжлісся</w:t>
      </w:r>
      <w:proofErr w:type="spellEnd"/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Барського району Вінницької області, на якій розташований зерновий склад ТОВ «АГРОДАР-БАР»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часткою 100 </w:t>
      </w:r>
      <w:r w:rsidR="006E52F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Методика встановлює порядок визначення монопольного (домінуючого) становища суб’єктів господарювання на ринку, що може включати в себе, зокрема, такі дії: встановлення об’єктів аналізу щодо визначення монопольного (домінуючого) становища, визначення товарних, територіальних (географічних) та часових меж ринку, визначення обсягів товару, що обертається на ринку, розрахунок часток суб’єктів господарювання на ринку тощо.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пункту 1.3 Методики, ринок товару (товарний ринок) – сфера обороту товару (взаємозамінних товарів), на який протягом певного часу і в межах певної території є попит і пропозиція. Товарні межі ринку визначаються шляхом формування групи взаємозамінних товарів (товарних груп), у межах якої споживач за звичайних умов може легко перейти від споживання одного товару до споживання іншого. Формування групи взаємозамінних товарі</w:t>
      </w:r>
      <w:r w:rsidR="00C71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(товарних груп) здійснюється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переліку товарів, які мають для продавців (постачальників, виробників), покупців (споживачів, користувачів) ознаки одного (подібного, аналогічного) товару (товарної групи) за показниками взаємозамінності, окремими з яких є наявність спільної групи споживачів товару (товарної групи), відсутність суттєвої різниці в цінах, подібність якісних показників, взаємозамінність товарів з точки зору їх виробництва (пункт 5.1 Методики).</w:t>
      </w:r>
      <w:r w:rsidRPr="00D04C4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Відповідно до пункту 10 статті 1 Закону України «Про зерно та ринок зерна в Україні» зберігання зерна – комплекс заходів, які включають приймання, доробку, зберігання та відвантаження зерна.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Відділенням зазначено, що товаром, щодо якого визначається монопольне домінуюче становище Товариства</w:t>
      </w:r>
      <w:r w:rsidR="00C710D7">
        <w:rPr>
          <w:rFonts w:ascii="Times New Roman" w:hAnsi="Times New Roman" w:cs="Times New Roman"/>
          <w:sz w:val="24"/>
          <w:szCs w:val="24"/>
        </w:rPr>
        <w:t xml:space="preserve">, є послуги </w:t>
      </w:r>
      <w:r w:rsidRPr="00D04C4B">
        <w:rPr>
          <w:rFonts w:ascii="Times New Roman" w:hAnsi="Times New Roman" w:cs="Times New Roman"/>
          <w:sz w:val="24"/>
          <w:szCs w:val="24"/>
        </w:rPr>
        <w:t>з</w:t>
      </w:r>
      <w:r w:rsidR="00C710D7">
        <w:rPr>
          <w:rFonts w:ascii="Times New Roman" w:hAnsi="Times New Roman" w:cs="Times New Roman"/>
          <w:sz w:val="24"/>
          <w:szCs w:val="24"/>
        </w:rPr>
        <w:t>і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>, та зроблено висновок, що</w:t>
      </w:r>
      <w:r w:rsidRPr="00D04C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поклажодавець</w:t>
      </w:r>
      <w:proofErr w:type="spellEnd"/>
      <w:r w:rsidRPr="00D04C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04C4B">
        <w:rPr>
          <w:rFonts w:ascii="Times New Roman" w:hAnsi="Times New Roman" w:cs="Times New Roman"/>
          <w:sz w:val="24"/>
          <w:szCs w:val="24"/>
        </w:rPr>
        <w:t xml:space="preserve">не може перейти від споживання </w:t>
      </w:r>
      <w:r w:rsidR="00C710D7">
        <w:rPr>
          <w:rFonts w:ascii="Times New Roman" w:hAnsi="Times New Roman" w:cs="Times New Roman"/>
          <w:sz w:val="24"/>
          <w:szCs w:val="24"/>
        </w:rPr>
        <w:t xml:space="preserve">цієї </w:t>
      </w:r>
      <w:r w:rsidRPr="00D04C4B">
        <w:rPr>
          <w:rFonts w:ascii="Times New Roman" w:hAnsi="Times New Roman" w:cs="Times New Roman"/>
          <w:sz w:val="24"/>
          <w:szCs w:val="24"/>
        </w:rPr>
        <w:t>послуги до споживання іншої.</w:t>
      </w:r>
    </w:p>
    <w:p w:rsidR="00D04C4B" w:rsidRPr="00D04C4B" w:rsidRDefault="003B1744" w:rsidP="004A1190">
      <w:pPr>
        <w:numPr>
          <w:ilvl w:val="0"/>
          <w:numId w:val="13"/>
        </w:numPr>
        <w:spacing w:after="120"/>
        <w:ind w:leftChars="-1" w:left="707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 зазначене спростовується </w:t>
      </w:r>
      <w:r>
        <w:rPr>
          <w:rFonts w:ascii="Times New Roman" w:hAnsi="Times New Roman" w:cs="Times New Roman"/>
          <w:sz w:val="24"/>
          <w:szCs w:val="24"/>
        </w:rPr>
        <w:t>таким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: при придбанні зерна покупець (індосант) набуває товар – зерно, яке зберігається </w:t>
      </w:r>
      <w:r w:rsidR="008C461F">
        <w:rPr>
          <w:rFonts w:ascii="Times New Roman" w:hAnsi="Times New Roman" w:cs="Times New Roman"/>
          <w:sz w:val="24"/>
          <w:szCs w:val="24"/>
        </w:rPr>
        <w:t xml:space="preserve">на 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зерновому складі, а не послугу – зберігання зерна, яка існує в єдності </w:t>
      </w:r>
      <w:r>
        <w:rPr>
          <w:rFonts w:ascii="Times New Roman" w:hAnsi="Times New Roman" w:cs="Times New Roman"/>
          <w:sz w:val="24"/>
          <w:szCs w:val="24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</w:rPr>
        <w:t>з цим товаром. Тому ринок послуг зі зберігання зерна не з</w:t>
      </w:r>
      <w:r>
        <w:rPr>
          <w:rFonts w:ascii="Times New Roman" w:hAnsi="Times New Roman" w:cs="Times New Roman"/>
          <w:sz w:val="24"/>
          <w:szCs w:val="24"/>
        </w:rPr>
        <w:t xml:space="preserve">вужується за видом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поклажодавця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hAnsi="Times New Roman" w:cs="Times New Roman"/>
          <w:sz w:val="24"/>
          <w:szCs w:val="24"/>
        </w:rPr>
        <w:t>не поділяється на окремі ринки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 у зв’язку з переходом права власності на товар. </w:t>
      </w:r>
    </w:p>
    <w:p w:rsidR="00D04C4B" w:rsidRPr="00D04C4B" w:rsidRDefault="00D04C4B" w:rsidP="004A1190">
      <w:pPr>
        <w:spacing w:after="120"/>
        <w:ind w:leftChars="-1" w:left="707" w:hanging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4C4B" w:rsidRPr="00D04C4B" w:rsidRDefault="00304CFA" w:rsidP="004A1190">
      <w:pPr>
        <w:numPr>
          <w:ilvl w:val="0"/>
          <w:numId w:val="13"/>
        </w:numPr>
        <w:spacing w:after="120"/>
        <w:ind w:leftChars="-1" w:left="707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«В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торинні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</w:rPr>
        <w:t xml:space="preserve">», так само як і «первинні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</w:rPr>
        <w:t>поклажодавці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</w:rPr>
        <w:t>» можуть аналогічним чином реалізувати зерно, яке є їх власністю (придбане ними в той час, коли воно зберігається)</w:t>
      </w:r>
      <w:r w:rsidR="00157392">
        <w:rPr>
          <w:rFonts w:ascii="Times New Roman" w:hAnsi="Times New Roman" w:cs="Times New Roman"/>
          <w:sz w:val="24"/>
          <w:szCs w:val="24"/>
        </w:rPr>
        <w:t>,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 не здійснюючи його відвантаження (тобто здійснити перепродаж його іншому власнику). </w:t>
      </w:r>
      <w:r w:rsidR="00157392">
        <w:rPr>
          <w:rFonts w:ascii="Times New Roman" w:hAnsi="Times New Roman" w:cs="Times New Roman"/>
          <w:sz w:val="24"/>
          <w:szCs w:val="24"/>
        </w:rPr>
        <w:t>Отже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, відмінностей між «вторинними» і «первинними» </w:t>
      </w:r>
      <w:proofErr w:type="spellStart"/>
      <w:r w:rsidR="00D04C4B" w:rsidRPr="00D04C4B">
        <w:rPr>
          <w:rFonts w:ascii="Times New Roman" w:hAnsi="Times New Roman" w:cs="Times New Roman"/>
          <w:sz w:val="24"/>
          <w:szCs w:val="24"/>
        </w:rPr>
        <w:t>поклажодавцями</w:t>
      </w:r>
      <w:proofErr w:type="spellEnd"/>
      <w:r w:rsidR="00D04C4B" w:rsidRPr="00D04C4B">
        <w:rPr>
          <w:rFonts w:ascii="Times New Roman" w:hAnsi="Times New Roman" w:cs="Times New Roman"/>
          <w:sz w:val="24"/>
          <w:szCs w:val="24"/>
        </w:rPr>
        <w:t xml:space="preserve"> щодо реалізації зерна не існує.</w:t>
      </w:r>
    </w:p>
    <w:p w:rsidR="00D04C4B" w:rsidRPr="00D04C4B" w:rsidRDefault="00D04C4B" w:rsidP="004A1190">
      <w:pPr>
        <w:spacing w:after="120"/>
        <w:ind w:leftChars="-1" w:left="707" w:hanging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Тарифи та умови договору для «вторинного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» аналогічні з тарифами та умовами для первинних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поклажодавців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, про що свідчать матеріали справи. Договір складського зберігання, який укладає «вторинний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поклажодавець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>»</w:t>
      </w:r>
      <w:r w:rsidR="00157392">
        <w:rPr>
          <w:rFonts w:ascii="Times New Roman" w:hAnsi="Times New Roman" w:cs="Times New Roman"/>
          <w:sz w:val="24"/>
          <w:szCs w:val="24"/>
        </w:rPr>
        <w:t>,</w:t>
      </w:r>
      <w:r w:rsidRPr="00D04C4B">
        <w:rPr>
          <w:rFonts w:ascii="Times New Roman" w:hAnsi="Times New Roman" w:cs="Times New Roman"/>
          <w:sz w:val="24"/>
          <w:szCs w:val="24"/>
        </w:rPr>
        <w:t xml:space="preserve"> включає в себе повний комплекс послуг та ті самі тарифи на ці послуги.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Отже, у зв’язку з продажем зерна, що зберігається на території Товариства, зміст договору на зберігання зерна в частині його положень не змінюється, змінюється лише особа, що є стороною договору, яка набуває тих же прав і обов’язків, що </w:t>
      </w:r>
      <w:r w:rsidR="005A4A4F">
        <w:rPr>
          <w:rFonts w:ascii="Times New Roman" w:hAnsi="Times New Roman" w:cs="Times New Roman"/>
          <w:sz w:val="24"/>
          <w:szCs w:val="24"/>
        </w:rPr>
        <w:t>й</w:t>
      </w:r>
      <w:r w:rsidRPr="00D04C4B">
        <w:rPr>
          <w:rFonts w:ascii="Times New Roman" w:hAnsi="Times New Roman" w:cs="Times New Roman"/>
          <w:sz w:val="24"/>
          <w:szCs w:val="24"/>
        </w:rPr>
        <w:t xml:space="preserve"> особа, яка первинно уклала договір. У зв’язку </w:t>
      </w:r>
      <w:r w:rsidR="008C461F">
        <w:rPr>
          <w:rFonts w:ascii="Times New Roman" w:hAnsi="Times New Roman" w:cs="Times New Roman"/>
          <w:sz w:val="24"/>
          <w:szCs w:val="24"/>
        </w:rPr>
        <w:t>і</w:t>
      </w:r>
      <w:r w:rsidR="00371DB6">
        <w:rPr>
          <w:rFonts w:ascii="Times New Roman" w:hAnsi="Times New Roman" w:cs="Times New Roman"/>
          <w:sz w:val="24"/>
          <w:szCs w:val="24"/>
        </w:rPr>
        <w:t>з цим</w:t>
      </w:r>
      <w:r w:rsidRPr="00D04C4B">
        <w:rPr>
          <w:rFonts w:ascii="Times New Roman" w:hAnsi="Times New Roman" w:cs="Times New Roman"/>
          <w:sz w:val="24"/>
          <w:szCs w:val="24"/>
        </w:rPr>
        <w:t xml:space="preserve"> виокремлення «первинних» та «вторинних»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поклажодавців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 є необґрунтованим. Послуги </w:t>
      </w:r>
      <w:r w:rsidRPr="00D04C4B">
        <w:rPr>
          <w:rFonts w:ascii="Times New Roman" w:hAnsi="Times New Roman" w:cs="Times New Roman"/>
          <w:bCs/>
          <w:sz w:val="24"/>
          <w:szCs w:val="24"/>
        </w:rPr>
        <w:t>з</w:t>
      </w:r>
      <w:r w:rsidR="00371DB6">
        <w:rPr>
          <w:rFonts w:ascii="Times New Roman" w:hAnsi="Times New Roman" w:cs="Times New Roman"/>
          <w:bCs/>
          <w:sz w:val="24"/>
          <w:szCs w:val="24"/>
        </w:rPr>
        <w:t>і</w:t>
      </w:r>
      <w:r w:rsidRPr="00D04C4B">
        <w:rPr>
          <w:rFonts w:ascii="Times New Roman" w:hAnsi="Times New Roman" w:cs="Times New Roman"/>
          <w:bCs/>
          <w:sz w:val="24"/>
          <w:szCs w:val="24"/>
        </w:rPr>
        <w:t xml:space="preserve"> зберігання зерна, які отримують «вторинні </w:t>
      </w:r>
      <w:proofErr w:type="spellStart"/>
      <w:r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Pr="00D04C4B">
        <w:rPr>
          <w:rFonts w:ascii="Times New Roman" w:hAnsi="Times New Roman" w:cs="Times New Roman"/>
          <w:bCs/>
          <w:sz w:val="24"/>
          <w:szCs w:val="24"/>
        </w:rPr>
        <w:t>», не є окремою самостійною послугою і не утворюють окремого ринку в межах території, на якій розташований зерновий склад.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Крім того, необхідно взяти до уваги судову практику, зокрема постанову Вищого господарського суду України від 08.02.2011 № 6/44 у справі № 6/443/08-11/356/09-5/68/10, щодо недоведеності монопольного становища на ринку послуг з </w:t>
      </w:r>
      <w:r w:rsidRPr="00D04C4B">
        <w:rPr>
          <w:rFonts w:ascii="Times New Roman" w:hAnsi="Times New Roman" w:cs="Times New Roman"/>
          <w:sz w:val="24"/>
          <w:szCs w:val="24"/>
        </w:rPr>
        <w:lastRenderedPageBreak/>
        <w:t xml:space="preserve">переоформлення складських документів. Судом встановлено, що послуга з переоформлення входить до складу всього комплексу послуг, пов’язаних </w:t>
      </w:r>
      <w:r w:rsidR="005055FD">
        <w:rPr>
          <w:rFonts w:ascii="Times New Roman" w:hAnsi="Times New Roman" w:cs="Times New Roman"/>
          <w:sz w:val="24"/>
          <w:szCs w:val="24"/>
        </w:rPr>
        <w:t>і</w:t>
      </w:r>
      <w:r w:rsidRPr="00D04C4B">
        <w:rPr>
          <w:rFonts w:ascii="Times New Roman" w:hAnsi="Times New Roman" w:cs="Times New Roman"/>
          <w:sz w:val="24"/>
          <w:szCs w:val="24"/>
        </w:rPr>
        <w:t>з договором зберігання зерна; відтак окрем</w:t>
      </w:r>
      <w:r w:rsidR="005055FD">
        <w:rPr>
          <w:rFonts w:ascii="Times New Roman" w:hAnsi="Times New Roman" w:cs="Times New Roman"/>
          <w:sz w:val="24"/>
          <w:szCs w:val="24"/>
        </w:rPr>
        <w:t xml:space="preserve">ого договору з надання послуги </w:t>
      </w:r>
      <w:r w:rsidRPr="00D04C4B">
        <w:rPr>
          <w:rFonts w:ascii="Times New Roman" w:hAnsi="Times New Roman" w:cs="Times New Roman"/>
          <w:sz w:val="24"/>
          <w:szCs w:val="24"/>
        </w:rPr>
        <w:t xml:space="preserve">переоформлення права власності Товариство з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поклажодавцями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 не укладає, і названа послуга сама по собі не має сенсу без попередньої здачі зерна на зберігання, оскільки власник зерна поза межами зернового складу Товариства має можливість самостійно визначатис</w:t>
      </w:r>
      <w:r w:rsidR="005055FD">
        <w:rPr>
          <w:rFonts w:ascii="Times New Roman" w:hAnsi="Times New Roman" w:cs="Times New Roman"/>
          <w:sz w:val="24"/>
          <w:szCs w:val="24"/>
        </w:rPr>
        <w:t>я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 його наступним набувачем без здійснення такого пере</w:t>
      </w:r>
      <w:r w:rsidR="005055FD">
        <w:rPr>
          <w:rFonts w:ascii="Times New Roman" w:hAnsi="Times New Roman" w:cs="Times New Roman"/>
          <w:sz w:val="24"/>
          <w:szCs w:val="24"/>
        </w:rPr>
        <w:t>оформлення документів; відтак</w:t>
      </w:r>
      <w:r w:rsidRPr="00D04C4B">
        <w:rPr>
          <w:rFonts w:ascii="Times New Roman" w:hAnsi="Times New Roman" w:cs="Times New Roman"/>
          <w:sz w:val="24"/>
          <w:szCs w:val="24"/>
        </w:rPr>
        <w:t xml:space="preserve"> послуга з переоформлення складських документів не є окремою самостійною послугою і не має свого власного ринку в межах території, на якій розташований зерновий склад.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Зауваження Відділення щодо рішення від 08.02.2011 № 6/44 у справі № 6/443/08-11/356/09-5/68/10</w:t>
      </w:r>
      <w:r w:rsidR="005055FD">
        <w:rPr>
          <w:rFonts w:ascii="Times New Roman" w:hAnsi="Times New Roman" w:cs="Times New Roman"/>
          <w:sz w:val="24"/>
          <w:szCs w:val="24"/>
        </w:rPr>
        <w:t xml:space="preserve"> проте</w:t>
      </w:r>
      <w:r w:rsidRPr="00D04C4B">
        <w:rPr>
          <w:rFonts w:ascii="Times New Roman" w:hAnsi="Times New Roman" w:cs="Times New Roman"/>
          <w:sz w:val="24"/>
          <w:szCs w:val="24"/>
        </w:rPr>
        <w:t xml:space="preserve">, що </w:t>
      </w:r>
      <w:r w:rsidR="005055FD">
        <w:rPr>
          <w:rFonts w:ascii="Times New Roman" w:hAnsi="Times New Roman" w:cs="Times New Roman"/>
          <w:sz w:val="24"/>
          <w:szCs w:val="24"/>
        </w:rPr>
        <w:t>в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зазначеному рішенні суду «йдеться мова зовсім про іншу послугу» не можуть братися до уваги, оскільки в системі відносин між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поклажодавцями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 та зерновим складом послуга з переоформлення складських документів займає місце</w:t>
      </w:r>
      <w:r w:rsidR="005055FD">
        <w:rPr>
          <w:rFonts w:ascii="Times New Roman" w:hAnsi="Times New Roman" w:cs="Times New Roman"/>
          <w:sz w:val="24"/>
          <w:szCs w:val="24"/>
        </w:rPr>
        <w:t>,</w:t>
      </w:r>
      <w:r w:rsidRPr="00D04C4B">
        <w:rPr>
          <w:rFonts w:ascii="Times New Roman" w:hAnsi="Times New Roman" w:cs="Times New Roman"/>
          <w:sz w:val="24"/>
          <w:szCs w:val="24"/>
        </w:rPr>
        <w:t xml:space="preserve"> аналогічне послугам, що надаються «вторинним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поклажодавцям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», зокрема, має такі тотожні ознаки: 1) вона так само входить до складу всього комплексу послуг, пов’язаних із договором зберігання зерна; 2) на неї так само між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поклажодавцями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 не укладається окремого договору; 3) отримана послуга, що надається «вторинним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поклажодавцям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>», не має сенсу без попереднього придбання зерна, зданого на зберігання «перв</w:t>
      </w:r>
      <w:r w:rsidR="001F72D0">
        <w:rPr>
          <w:rFonts w:ascii="Times New Roman" w:hAnsi="Times New Roman" w:cs="Times New Roman"/>
          <w:sz w:val="24"/>
          <w:szCs w:val="24"/>
        </w:rPr>
        <w:t xml:space="preserve">инним </w:t>
      </w:r>
      <w:proofErr w:type="spellStart"/>
      <w:r w:rsidR="001F72D0">
        <w:rPr>
          <w:rFonts w:ascii="Times New Roman" w:hAnsi="Times New Roman" w:cs="Times New Roman"/>
          <w:sz w:val="24"/>
          <w:szCs w:val="24"/>
        </w:rPr>
        <w:t>поклажодавцем</w:t>
      </w:r>
      <w:proofErr w:type="spellEnd"/>
      <w:r w:rsidR="001F72D0">
        <w:rPr>
          <w:rFonts w:ascii="Times New Roman" w:hAnsi="Times New Roman" w:cs="Times New Roman"/>
          <w:sz w:val="24"/>
          <w:szCs w:val="24"/>
        </w:rPr>
        <w:t>», при цьому</w:t>
      </w:r>
      <w:r w:rsidRPr="00D04C4B">
        <w:rPr>
          <w:rFonts w:ascii="Times New Roman" w:hAnsi="Times New Roman" w:cs="Times New Roman"/>
          <w:sz w:val="24"/>
          <w:szCs w:val="24"/>
        </w:rPr>
        <w:t xml:space="preserve"> новий набувач зерна так само має можливість самостійно визначатися з його попереднім власником за межами зернового складу </w:t>
      </w:r>
      <w:r w:rsidR="001F72D0">
        <w:rPr>
          <w:rFonts w:ascii="Times New Roman" w:hAnsi="Times New Roman" w:cs="Times New Roman"/>
          <w:sz w:val="24"/>
          <w:szCs w:val="24"/>
        </w:rPr>
        <w:t>й</w:t>
      </w:r>
      <w:r w:rsidRPr="00D04C4B">
        <w:rPr>
          <w:rFonts w:ascii="Times New Roman" w:hAnsi="Times New Roman" w:cs="Times New Roman"/>
          <w:sz w:val="24"/>
          <w:szCs w:val="24"/>
        </w:rPr>
        <w:t xml:space="preserve"> без участі останнього. 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Отже, визначенн</w:t>
      </w:r>
      <w:r w:rsidR="001F72D0">
        <w:rPr>
          <w:rFonts w:ascii="Times New Roman" w:hAnsi="Times New Roman" w:cs="Times New Roman"/>
          <w:sz w:val="24"/>
          <w:szCs w:val="24"/>
        </w:rPr>
        <w:t xml:space="preserve">я товарних меж ринку як послуг </w:t>
      </w:r>
      <w:r w:rsidRPr="00D04C4B">
        <w:rPr>
          <w:rFonts w:ascii="Times New Roman" w:hAnsi="Times New Roman" w:cs="Times New Roman"/>
          <w:sz w:val="24"/>
          <w:szCs w:val="24"/>
        </w:rPr>
        <w:t>з</w:t>
      </w:r>
      <w:r w:rsidR="001F72D0">
        <w:rPr>
          <w:rFonts w:ascii="Times New Roman" w:hAnsi="Times New Roman" w:cs="Times New Roman"/>
          <w:sz w:val="24"/>
          <w:szCs w:val="24"/>
        </w:rPr>
        <w:t>і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</w:t>
      </w:r>
      <w:proofErr w:type="spellEnd"/>
      <w:r w:rsidR="001F72D0">
        <w:rPr>
          <w:rFonts w:ascii="Times New Roman" w:hAnsi="Times New Roman" w:cs="Times New Roman"/>
          <w:sz w:val="24"/>
          <w:szCs w:val="24"/>
        </w:rPr>
        <w:t>,</w:t>
      </w:r>
      <w:r w:rsidRPr="00D04C4B">
        <w:rPr>
          <w:rFonts w:ascii="Times New Roman" w:hAnsi="Times New Roman" w:cs="Times New Roman"/>
          <w:sz w:val="24"/>
          <w:szCs w:val="24"/>
        </w:rPr>
        <w:t xml:space="preserve"> є необґрунтованим та таким, що його штучно звужує.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Відповідно висновок Відділення щодо визначення територіальних меж ринку в територіальних межах власного зернового складу Товариства не доведений, оскільки:</w:t>
      </w:r>
    </w:p>
    <w:p w:rsidR="00D04C4B" w:rsidRPr="00D04C4B" w:rsidRDefault="00D04C4B" w:rsidP="00781DEE">
      <w:pPr>
        <w:spacing w:after="120"/>
        <w:ind w:leftChars="322" w:left="708" w:firstLine="2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1) не доведено існування ринку в товарних межах зберігання зерна, які отримують «вторинні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», і визначення територіальних меж такого ринку, яке випливає з особливостей послуг «для вторинних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поклажодавців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>»;</w:t>
      </w:r>
    </w:p>
    <w:p w:rsidR="00D04C4B" w:rsidRPr="00D04C4B" w:rsidRDefault="00D04C4B" w:rsidP="00781DEE">
      <w:pPr>
        <w:spacing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2) територіальні межі ринку зберігання зерна</w:t>
      </w:r>
      <w:r w:rsidR="001F72D0">
        <w:rPr>
          <w:rFonts w:ascii="Times New Roman" w:hAnsi="Times New Roman" w:cs="Times New Roman"/>
          <w:sz w:val="24"/>
          <w:szCs w:val="24"/>
        </w:rPr>
        <w:t xml:space="preserve"> в Рішенні не досліджено, проте</w:t>
      </w:r>
      <w:r w:rsidRPr="00D04C4B">
        <w:rPr>
          <w:rFonts w:ascii="Times New Roman" w:hAnsi="Times New Roman" w:cs="Times New Roman"/>
          <w:sz w:val="24"/>
          <w:szCs w:val="24"/>
        </w:rPr>
        <w:t xml:space="preserve"> зазначено, що Товариство має на цьому ринку конкурентів, розташованих на відстані 30 км. </w:t>
      </w:r>
      <w:r w:rsidR="001F72D0">
        <w:rPr>
          <w:rFonts w:ascii="Times New Roman" w:hAnsi="Times New Roman" w:cs="Times New Roman"/>
          <w:sz w:val="24"/>
          <w:szCs w:val="24"/>
        </w:rPr>
        <w:t>Отже</w:t>
      </w:r>
      <w:r w:rsidRPr="00D04C4B">
        <w:rPr>
          <w:rFonts w:ascii="Times New Roman" w:hAnsi="Times New Roman" w:cs="Times New Roman"/>
          <w:sz w:val="24"/>
          <w:szCs w:val="24"/>
        </w:rPr>
        <w:t>, передбачається, що територіальні межі ринку зберігання зерна охоплюють територію на відстані не менше 30 км від зернового складу Товариства.</w:t>
      </w:r>
    </w:p>
    <w:p w:rsidR="00D04C4B" w:rsidRPr="00D04C4B" w:rsidRDefault="00D04C4B" w:rsidP="004A1190">
      <w:pPr>
        <w:numPr>
          <w:ilvl w:val="0"/>
          <w:numId w:val="13"/>
        </w:numPr>
        <w:spacing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При цьому, згідно з поясненнями Товариства, до нього для зберігання привозиться зерно з підприємст</w:t>
      </w:r>
      <w:r w:rsidR="001F72D0">
        <w:rPr>
          <w:rFonts w:ascii="Times New Roman" w:hAnsi="Times New Roman" w:cs="Times New Roman"/>
          <w:sz w:val="24"/>
          <w:szCs w:val="24"/>
        </w:rPr>
        <w:t xml:space="preserve">в, які знаходяться в радіусі 60 – </w:t>
      </w:r>
      <w:r w:rsidRPr="00D04C4B">
        <w:rPr>
          <w:rFonts w:ascii="Times New Roman" w:hAnsi="Times New Roman" w:cs="Times New Roman"/>
          <w:sz w:val="24"/>
          <w:szCs w:val="24"/>
        </w:rPr>
        <w:t>80 км від елеваторного комплексу. Значна частина зерна привозиться з підприємств Хмельницької області.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Не досліджено можливості надання в межах визначеного ринку послуг зберігання зерна іншими суб’єктами господарювання, крім зазначених у Рішенні ТОВ «Ера-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Грейн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», ТОВ «Хліб </w:t>
      </w:r>
      <w:proofErr w:type="spellStart"/>
      <w:r w:rsidRPr="00D04C4B">
        <w:rPr>
          <w:rFonts w:ascii="Times New Roman" w:hAnsi="Times New Roman" w:cs="Times New Roman"/>
          <w:sz w:val="24"/>
          <w:szCs w:val="24"/>
        </w:rPr>
        <w:t>Жмеринщини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», ТОВ «Елеваторна компанія «Кряж». Зокрема, не проаналізовано доступні для споживачів послуг зберігання зерна потужності наявних і потенційних конкурентів Товариства. </w:t>
      </w:r>
    </w:p>
    <w:p w:rsidR="00D04C4B" w:rsidRPr="00D04C4B" w:rsidRDefault="00D04C4B" w:rsidP="004A1190">
      <w:pPr>
        <w:numPr>
          <w:ilvl w:val="0"/>
          <w:numId w:val="13"/>
        </w:numPr>
        <w:spacing w:after="0"/>
        <w:ind w:leftChars="-1" w:left="707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При </w:t>
      </w:r>
      <w:r w:rsidR="001F72D0">
        <w:rPr>
          <w:rFonts w:ascii="Times New Roman" w:hAnsi="Times New Roman" w:cs="Times New Roman"/>
          <w:sz w:val="24"/>
          <w:szCs w:val="24"/>
        </w:rPr>
        <w:t>цьому</w:t>
      </w:r>
      <w:r w:rsidRPr="00D04C4B">
        <w:rPr>
          <w:rFonts w:ascii="Times New Roman" w:hAnsi="Times New Roman" w:cs="Times New Roman"/>
          <w:sz w:val="24"/>
          <w:szCs w:val="24"/>
        </w:rPr>
        <w:t xml:space="preserve"> в Рішенні визначено, що на ринку послуг зберігання зерна </w:t>
      </w:r>
      <w:r w:rsidR="00AA622D">
        <w:rPr>
          <w:rFonts w:ascii="Times New Roman" w:hAnsi="Times New Roman" w:cs="Times New Roman"/>
          <w:sz w:val="24"/>
          <w:szCs w:val="24"/>
        </w:rPr>
        <w:t>в</w:t>
      </w:r>
      <w:r w:rsidRPr="00D04C4B">
        <w:rPr>
          <w:rFonts w:ascii="Times New Roman" w:hAnsi="Times New Roman" w:cs="Times New Roman"/>
          <w:sz w:val="24"/>
          <w:szCs w:val="24"/>
        </w:rPr>
        <w:t xml:space="preserve"> Товариства є конкуренти.</w:t>
      </w:r>
    </w:p>
    <w:p w:rsidR="00D04C4B" w:rsidRPr="00D04C4B" w:rsidRDefault="00AA622D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Тобто</w:t>
      </w:r>
      <w:r w:rsidR="00D04C4B" w:rsidRPr="00D04C4B">
        <w:rPr>
          <w:rFonts w:ascii="Times New Roman" w:hAnsi="Times New Roman" w:cs="Times New Roman"/>
          <w:sz w:val="24"/>
          <w:szCs w:val="24"/>
        </w:rPr>
        <w:t>, у Рішенні не доведено монопольн</w:t>
      </w:r>
      <w:r>
        <w:rPr>
          <w:rFonts w:ascii="Times New Roman" w:hAnsi="Times New Roman" w:cs="Times New Roman"/>
          <w:sz w:val="24"/>
          <w:szCs w:val="24"/>
        </w:rPr>
        <w:t>ого (домінуючого) становища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                                   ТОВ «АГРОДАР-БАР» відповідно до Методики.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Отже, Відділенням не було повністю з’ясовано обставини, які мають значення для справи щодо визначення становища ТОВ «АГРОДАР-БАР» на ринку.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lastRenderedPageBreak/>
        <w:t>Враховуючи, що монопольне (домінуюче) становище Товариства на ринку не доведено, Рішення в частині визнання вчинення порушення у вигляді з</w:t>
      </w:r>
      <w:r w:rsidRPr="00D04C4B">
        <w:rPr>
          <w:rFonts w:ascii="Times New Roman" w:hAnsi="Times New Roman" w:cs="Times New Roman"/>
          <w:bCs/>
          <w:sz w:val="24"/>
          <w:szCs w:val="24"/>
        </w:rPr>
        <w:t>ловживання монополь</w:t>
      </w:r>
      <w:r w:rsidR="00AA622D">
        <w:rPr>
          <w:rFonts w:ascii="Times New Roman" w:hAnsi="Times New Roman" w:cs="Times New Roman"/>
          <w:bCs/>
          <w:sz w:val="24"/>
          <w:szCs w:val="24"/>
        </w:rPr>
        <w:t xml:space="preserve">ним становищем на ринку послуг </w:t>
      </w:r>
      <w:r w:rsidRPr="00D04C4B">
        <w:rPr>
          <w:rFonts w:ascii="Times New Roman" w:hAnsi="Times New Roman" w:cs="Times New Roman"/>
          <w:bCs/>
          <w:sz w:val="24"/>
          <w:szCs w:val="24"/>
        </w:rPr>
        <w:t>з</w:t>
      </w:r>
      <w:r w:rsidR="00AA622D">
        <w:rPr>
          <w:rFonts w:ascii="Times New Roman" w:hAnsi="Times New Roman" w:cs="Times New Roman"/>
          <w:bCs/>
          <w:sz w:val="24"/>
          <w:szCs w:val="24"/>
        </w:rPr>
        <w:t>і</w:t>
      </w:r>
      <w:r w:rsidRPr="00D04C4B">
        <w:rPr>
          <w:rFonts w:ascii="Times New Roman" w:hAnsi="Times New Roman" w:cs="Times New Roman"/>
          <w:bCs/>
          <w:sz w:val="24"/>
          <w:szCs w:val="24"/>
        </w:rPr>
        <w:t xml:space="preserve"> зберігання зерна, які отримують вторинні </w:t>
      </w:r>
      <w:proofErr w:type="spellStart"/>
      <w:r w:rsidRPr="00D04C4B">
        <w:rPr>
          <w:rFonts w:ascii="Times New Roman" w:hAnsi="Times New Roman" w:cs="Times New Roman"/>
          <w:bCs/>
          <w:sz w:val="24"/>
          <w:szCs w:val="24"/>
        </w:rPr>
        <w:t>поклажодавці</w:t>
      </w:r>
      <w:proofErr w:type="spellEnd"/>
      <w:r w:rsidR="00AA622D">
        <w:rPr>
          <w:rFonts w:ascii="Times New Roman" w:hAnsi="Times New Roman" w:cs="Times New Roman"/>
          <w:bCs/>
          <w:sz w:val="24"/>
          <w:szCs w:val="24"/>
        </w:rPr>
        <w:t>,</w:t>
      </w:r>
      <w:r w:rsidRPr="00D04C4B">
        <w:rPr>
          <w:rFonts w:ascii="Times New Roman" w:hAnsi="Times New Roman" w:cs="Times New Roman"/>
          <w:bCs/>
          <w:sz w:val="24"/>
          <w:szCs w:val="24"/>
        </w:rPr>
        <w:t xml:space="preserve"> прийнято при неповному з’ясуванні обставин, які мають значення для справи.</w:t>
      </w:r>
    </w:p>
    <w:p w:rsidR="00D04C4B" w:rsidRPr="00D04C4B" w:rsidRDefault="00D04C4B" w:rsidP="004A1190">
      <w:pPr>
        <w:numPr>
          <w:ilvl w:val="0"/>
          <w:numId w:val="13"/>
        </w:numPr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З’ясування усіх обставин справи має бути здійснено Відділенням під час нового розгляду справи.</w:t>
      </w:r>
    </w:p>
    <w:p w:rsidR="00D04C4B" w:rsidRPr="00D04C4B" w:rsidRDefault="00AA622D" w:rsidP="004A1190">
      <w:pPr>
        <w:numPr>
          <w:ilvl w:val="0"/>
          <w:numId w:val="13"/>
        </w:numPr>
        <w:shd w:val="clear" w:color="auto" w:fill="FFFFFF"/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Згідно </w:t>
      </w:r>
      <w:r w:rsidR="00D04C4B" w:rsidRPr="00D04C4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і</w:t>
      </w:r>
      <w:r w:rsidR="00D04C4B" w:rsidRPr="00D04C4B">
        <w:rPr>
          <w:rFonts w:ascii="Times New Roman" w:hAnsi="Times New Roman" w:cs="Times New Roman"/>
          <w:sz w:val="24"/>
          <w:szCs w:val="24"/>
        </w:rPr>
        <w:t xml:space="preserve"> статтею 57 Закону України «Про захист економічної конкуренції» за результатами перевірки рішення органи Антимонопольного комітету України мають право, зокрема, скасувати рішення.</w:t>
      </w:r>
    </w:p>
    <w:p w:rsidR="002B0D6E" w:rsidRDefault="00D04C4B" w:rsidP="004A1190">
      <w:pPr>
        <w:numPr>
          <w:ilvl w:val="0"/>
          <w:numId w:val="13"/>
        </w:numPr>
        <w:shd w:val="clear" w:color="auto" w:fill="FFFFFF"/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 xml:space="preserve"> Відповідно до частини першої статті 59 Закону України «Про захист економічної конкуренції» неповне з'ясування обставин, як</w:t>
      </w:r>
      <w:r w:rsidR="00AA622D">
        <w:rPr>
          <w:rFonts w:ascii="Times New Roman" w:hAnsi="Times New Roman" w:cs="Times New Roman"/>
          <w:sz w:val="24"/>
          <w:szCs w:val="24"/>
        </w:rPr>
        <w:t xml:space="preserve">і мають значення для справи, </w:t>
      </w:r>
      <w:proofErr w:type="spellStart"/>
      <w:r w:rsidR="00AA622D">
        <w:rPr>
          <w:rFonts w:ascii="Times New Roman" w:hAnsi="Times New Roman" w:cs="Times New Roman"/>
          <w:sz w:val="24"/>
          <w:szCs w:val="24"/>
        </w:rPr>
        <w:t>не</w:t>
      </w:r>
      <w:r w:rsidRPr="00D04C4B">
        <w:rPr>
          <w:rFonts w:ascii="Times New Roman" w:hAnsi="Times New Roman" w:cs="Times New Roman"/>
          <w:sz w:val="24"/>
          <w:szCs w:val="24"/>
        </w:rPr>
        <w:t>доведення</w:t>
      </w:r>
      <w:proofErr w:type="spellEnd"/>
      <w:r w:rsidRPr="00D04C4B">
        <w:rPr>
          <w:rFonts w:ascii="Times New Roman" w:hAnsi="Times New Roman" w:cs="Times New Roman"/>
          <w:sz w:val="24"/>
          <w:szCs w:val="24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2B0D6E" w:rsidRPr="00CA0B3E" w:rsidRDefault="002B0D6E" w:rsidP="004A1190">
      <w:pPr>
        <w:numPr>
          <w:ilvl w:val="0"/>
          <w:numId w:val="13"/>
        </w:numPr>
        <w:shd w:val="clear" w:color="auto" w:fill="FFFFFF"/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«АГРОДАР-БАР» </w:t>
      </w:r>
      <w:r w:rsidRPr="00CA0B3E">
        <w:rPr>
          <w:rFonts w:ascii="Times New Roman" w:hAnsi="Times New Roman" w:cs="Times New Roman"/>
          <w:sz w:val="24"/>
          <w:szCs w:val="24"/>
        </w:rPr>
        <w:t xml:space="preserve">погодилось </w:t>
      </w:r>
      <w:r w:rsidR="00AA622D">
        <w:rPr>
          <w:rFonts w:ascii="Times New Roman" w:hAnsi="Times New Roman" w:cs="Times New Roman"/>
          <w:sz w:val="24"/>
          <w:szCs w:val="24"/>
        </w:rPr>
        <w:t>і</w:t>
      </w:r>
      <w:r w:rsidRPr="00CA0B3E">
        <w:rPr>
          <w:rFonts w:ascii="Times New Roman" w:hAnsi="Times New Roman" w:cs="Times New Roman"/>
          <w:sz w:val="24"/>
          <w:szCs w:val="24"/>
        </w:rPr>
        <w:t xml:space="preserve">з висновками, викладеними в поданні </w:t>
      </w:r>
      <w:r w:rsidR="00836CF6" w:rsidRPr="00CA0B3E">
        <w:rPr>
          <w:rFonts w:ascii="Times New Roman" w:hAnsi="Times New Roman" w:cs="Times New Roman"/>
          <w:sz w:val="24"/>
          <w:szCs w:val="24"/>
          <w:lang w:eastAsia="uk-UA"/>
        </w:rPr>
        <w:t xml:space="preserve">заступника </w:t>
      </w:r>
      <w:r w:rsidR="00836CF6" w:rsidRPr="00CA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="00836CF6" w:rsidRPr="00CA0B3E">
        <w:rPr>
          <w:rFonts w:ascii="Times New Roman" w:hAnsi="Times New Roman" w:cs="Times New Roman"/>
          <w:sz w:val="24"/>
          <w:szCs w:val="24"/>
        </w:rPr>
        <w:t>–</w:t>
      </w:r>
      <w:r w:rsidR="00836CF6" w:rsidRPr="00CA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уповноваженого від 19.02.2020 № </w:t>
      </w:r>
      <w:r w:rsidR="00836CF6" w:rsidRPr="00CA0B3E">
        <w:rPr>
          <w:rFonts w:ascii="Times New Roman" w:hAnsi="Times New Roman" w:cs="Times New Roman"/>
          <w:sz w:val="24"/>
          <w:szCs w:val="24"/>
        </w:rPr>
        <w:t>8-01/5-р/89-зв</w:t>
      </w:r>
      <w:r w:rsidRPr="00CA0B3E">
        <w:rPr>
          <w:rFonts w:ascii="Times New Roman" w:hAnsi="Times New Roman" w:cs="Times New Roman"/>
          <w:sz w:val="24"/>
          <w:szCs w:val="24"/>
        </w:rPr>
        <w:t>, та просить скасувати рішення й припинити провадження в справі.</w:t>
      </w:r>
    </w:p>
    <w:p w:rsidR="002B0D6E" w:rsidRPr="00D04C4B" w:rsidRDefault="002B0D6E" w:rsidP="004A1190">
      <w:pPr>
        <w:numPr>
          <w:ilvl w:val="0"/>
          <w:numId w:val="13"/>
        </w:numPr>
        <w:shd w:val="clear" w:color="auto" w:fill="FFFFFF"/>
        <w:spacing w:before="120" w:after="120"/>
        <w:ind w:leftChars="-1" w:left="707" w:hanging="709"/>
        <w:jc w:val="both"/>
        <w:rPr>
          <w:rFonts w:ascii="Times New Roman" w:hAnsi="Times New Roman" w:cs="Times New Roman"/>
          <w:sz w:val="24"/>
          <w:szCs w:val="24"/>
        </w:rPr>
      </w:pPr>
      <w:r w:rsidRPr="002B0D6E">
        <w:rPr>
          <w:rFonts w:ascii="Times New Roman" w:hAnsi="Times New Roman" w:cs="Times New Roman"/>
          <w:sz w:val="24"/>
          <w:szCs w:val="24"/>
        </w:rPr>
        <w:t xml:space="preserve">Однак, беручи до уваги неповноту з’ясування </w:t>
      </w:r>
      <w:r w:rsidR="006F3F7A" w:rsidRPr="006F3F7A">
        <w:rPr>
          <w:rFonts w:ascii="Times New Roman" w:hAnsi="Times New Roman" w:cs="Times New Roman"/>
          <w:sz w:val="24"/>
          <w:szCs w:val="24"/>
        </w:rPr>
        <w:t>В</w:t>
      </w:r>
      <w:r w:rsidRPr="002B0D6E">
        <w:rPr>
          <w:rFonts w:ascii="Times New Roman" w:hAnsi="Times New Roman" w:cs="Times New Roman"/>
          <w:sz w:val="24"/>
          <w:szCs w:val="24"/>
        </w:rPr>
        <w:t xml:space="preserve">ідділенням обставин справи і необхідність їх додаткового дослідження, відсутні підстави для припинення провадження у справі </w:t>
      </w:r>
      <w:r w:rsidRPr="00D04C4B">
        <w:rPr>
          <w:rFonts w:ascii="Times New Roman" w:hAnsi="Times New Roman" w:cs="Times New Roman"/>
          <w:sz w:val="24"/>
          <w:szCs w:val="24"/>
        </w:rPr>
        <w:t>№ 06-26.20.2/124-12</w:t>
      </w:r>
      <w:r w:rsidRPr="002B0D6E">
        <w:rPr>
          <w:rFonts w:ascii="Times New Roman" w:hAnsi="Times New Roman" w:cs="Times New Roman"/>
          <w:sz w:val="24"/>
          <w:szCs w:val="24"/>
        </w:rPr>
        <w:t>.</w:t>
      </w:r>
    </w:p>
    <w:p w:rsidR="00D04C4B" w:rsidRDefault="00D04C4B" w:rsidP="00BA6C79">
      <w:pPr>
        <w:spacing w:before="12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</w:t>
      </w:r>
      <w:r w:rsidR="00AA6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викладене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керуючись статтями 7 і 16 Закону України «Про Антимонопольний комітет України», статтями 57 і 59 Закону України «Про захист економічної конкуренції», пунктом </w:t>
      </w:r>
      <w:r w:rsidRPr="00D04C4B">
        <w:rPr>
          <w:rFonts w:ascii="Times New Roman" w:hAnsi="Times New Roman" w:cs="Times New Roman"/>
          <w:sz w:val="24"/>
          <w:szCs w:val="24"/>
        </w:rPr>
        <w:t xml:space="preserve">44 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42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44242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D04C4B" w:rsidRPr="0044242F" w:rsidRDefault="00D04C4B" w:rsidP="00BA6C79">
      <w:pPr>
        <w:spacing w:after="0"/>
        <w:ind w:leftChars="-322" w:left="-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C4B" w:rsidRPr="00C736B7" w:rsidRDefault="00D04C4B" w:rsidP="004A1190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A1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ПОСТАНОВИВ:</w:t>
      </w:r>
    </w:p>
    <w:p w:rsidR="00570B4D" w:rsidRPr="002B0D6E" w:rsidRDefault="00D04C4B" w:rsidP="00BA6C7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C4B">
        <w:rPr>
          <w:rFonts w:ascii="Times New Roman" w:hAnsi="Times New Roman" w:cs="Times New Roman"/>
          <w:sz w:val="24"/>
          <w:szCs w:val="24"/>
        </w:rPr>
        <w:t>Скасувати</w:t>
      </w:r>
      <w:r w:rsidRPr="00D04C4B">
        <w:rPr>
          <w:rFonts w:ascii="Times New Roman" w:hAnsi="Times New Roman" w:cs="Times New Roman"/>
          <w:sz w:val="24"/>
          <w:szCs w:val="24"/>
          <w:lang w:eastAsia="uk-UA"/>
        </w:rPr>
        <w:t xml:space="preserve"> рішення </w:t>
      </w:r>
      <w:r w:rsidRPr="00D04C4B">
        <w:rPr>
          <w:rFonts w:ascii="Times New Roman" w:hAnsi="Times New Roman" w:cs="Times New Roman"/>
          <w:sz w:val="24"/>
          <w:szCs w:val="24"/>
        </w:rPr>
        <w:t>адміністративної колегії Вінницького</w:t>
      </w:r>
      <w:r w:rsidRPr="00D04C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обласного </w:t>
      </w:r>
      <w:r w:rsidRPr="00D04C4B">
        <w:rPr>
          <w:rFonts w:ascii="Times New Roman" w:hAnsi="Times New Roman" w:cs="Times New Roman"/>
          <w:sz w:val="24"/>
          <w:szCs w:val="24"/>
        </w:rPr>
        <w:t xml:space="preserve">територіального відділення Антимонопольного комітету України від 17.01.2018 № 01-РШ у справі </w:t>
      </w:r>
      <w:r w:rsidR="008F4BA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04C4B">
        <w:rPr>
          <w:rFonts w:ascii="Times New Roman" w:hAnsi="Times New Roman" w:cs="Times New Roman"/>
          <w:sz w:val="24"/>
          <w:szCs w:val="24"/>
        </w:rPr>
        <w:t xml:space="preserve">№ 06-26.20.2/124-12 та передати справу на новий розгляд до </w:t>
      </w:r>
      <w:r w:rsidR="00241137">
        <w:rPr>
          <w:rFonts w:ascii="Times New Roman" w:hAnsi="Times New Roman" w:cs="Times New Roman"/>
          <w:sz w:val="24"/>
          <w:szCs w:val="24"/>
        </w:rPr>
        <w:t>Південно-західного між</w:t>
      </w:r>
      <w:r w:rsidRPr="00D04C4B">
        <w:rPr>
          <w:rFonts w:ascii="Times New Roman" w:hAnsi="Times New Roman" w:cs="Times New Roman"/>
          <w:sz w:val="24"/>
          <w:szCs w:val="24"/>
        </w:rPr>
        <w:t>обласного тери</w:t>
      </w:r>
      <w:r w:rsidR="00241137">
        <w:rPr>
          <w:rFonts w:ascii="Times New Roman" w:hAnsi="Times New Roman" w:cs="Times New Roman"/>
          <w:sz w:val="24"/>
          <w:szCs w:val="24"/>
        </w:rPr>
        <w:t xml:space="preserve">торіального відділення </w:t>
      </w:r>
      <w:r w:rsidRPr="00D04C4B">
        <w:rPr>
          <w:rFonts w:ascii="Times New Roman" w:hAnsi="Times New Roman" w:cs="Times New Roman"/>
          <w:sz w:val="24"/>
          <w:szCs w:val="24"/>
        </w:rPr>
        <w:t>Антимонопольного комітету України.</w:t>
      </w:r>
    </w:p>
    <w:p w:rsidR="009523F2" w:rsidRDefault="009523F2" w:rsidP="00BA6C79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3F2" w:rsidRPr="002B24BB" w:rsidRDefault="009523F2" w:rsidP="004A1190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9E3" w:rsidRPr="002B24BB" w:rsidRDefault="007A7224" w:rsidP="004A1190">
      <w:pPr>
        <w:spacing w:before="60" w:after="0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В. о. Голови </w:t>
      </w:r>
      <w:r w:rsidR="00BF0D09">
        <w:rPr>
          <w:rFonts w:ascii="Times New Roman" w:hAnsi="Times New Roman" w:cs="Times New Roman"/>
          <w:sz w:val="24"/>
          <w:szCs w:val="24"/>
        </w:rPr>
        <w:t>Комітету</w:t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ab/>
      </w:r>
      <w:r w:rsidR="00D913A7" w:rsidRPr="002B24BB">
        <w:rPr>
          <w:rFonts w:ascii="Times New Roman" w:hAnsi="Times New Roman" w:cs="Times New Roman"/>
          <w:sz w:val="24"/>
          <w:szCs w:val="24"/>
        </w:rPr>
        <w:tab/>
      </w:r>
      <w:r w:rsidR="00BF0D09">
        <w:rPr>
          <w:rFonts w:ascii="Times New Roman" w:hAnsi="Times New Roman" w:cs="Times New Roman"/>
          <w:sz w:val="24"/>
          <w:szCs w:val="24"/>
        </w:rPr>
        <w:t>О.</w:t>
      </w:r>
      <w:r w:rsidR="00114C2B">
        <w:rPr>
          <w:rFonts w:ascii="Times New Roman" w:hAnsi="Times New Roman" w:cs="Times New Roman"/>
          <w:sz w:val="24"/>
          <w:szCs w:val="24"/>
        </w:rPr>
        <w:t> </w:t>
      </w:r>
      <w:r w:rsidR="00BF0D09">
        <w:rPr>
          <w:rFonts w:ascii="Times New Roman" w:hAnsi="Times New Roman" w:cs="Times New Roman"/>
          <w:sz w:val="24"/>
          <w:szCs w:val="24"/>
        </w:rPr>
        <w:t>ПІЩАНСЬКА</w:t>
      </w:r>
    </w:p>
    <w:sectPr w:rsidR="009C49E3" w:rsidRPr="002B24BB" w:rsidSect="002B04D4">
      <w:headerReference w:type="default" r:id="rId10"/>
      <w:pgSz w:w="11906" w:h="16838"/>
      <w:pgMar w:top="1135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67B" w:rsidRDefault="007E567B" w:rsidP="0005678C">
      <w:pPr>
        <w:spacing w:after="0"/>
      </w:pPr>
      <w:r>
        <w:separator/>
      </w:r>
    </w:p>
  </w:endnote>
  <w:endnote w:type="continuationSeparator" w:id="0">
    <w:p w:rsidR="007E567B" w:rsidRDefault="007E567B" w:rsidP="000567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67B" w:rsidRDefault="007E567B" w:rsidP="0005678C">
      <w:pPr>
        <w:spacing w:after="0"/>
      </w:pPr>
      <w:r>
        <w:separator/>
      </w:r>
    </w:p>
  </w:footnote>
  <w:footnote w:type="continuationSeparator" w:id="0">
    <w:p w:rsidR="007E567B" w:rsidRDefault="007E567B" w:rsidP="000567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675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678C" w:rsidRPr="0005678C" w:rsidRDefault="0005678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67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67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67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133" w:rsidRPr="00B2013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10</w:t>
        </w:r>
        <w:r w:rsidRPr="000567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9F4"/>
    <w:multiLevelType w:val="hybridMultilevel"/>
    <w:tmpl w:val="4B6AAEDC"/>
    <w:lvl w:ilvl="0" w:tplc="67DA8B30">
      <w:start w:val="62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0DD3"/>
    <w:multiLevelType w:val="hybridMultilevel"/>
    <w:tmpl w:val="F7F2B952"/>
    <w:lvl w:ilvl="0" w:tplc="762AC5C8">
      <w:start w:val="7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872" w:hanging="360"/>
      </w:p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>
    <w:nsid w:val="149E37F5"/>
    <w:multiLevelType w:val="hybridMultilevel"/>
    <w:tmpl w:val="392CA88C"/>
    <w:lvl w:ilvl="0" w:tplc="9C200B02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22E4D3F2">
      <w:start w:val="3"/>
      <w:numFmt w:val="bullet"/>
      <w:lvlText w:val="-"/>
      <w:lvlJc w:val="left"/>
      <w:pPr>
        <w:ind w:left="872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>
    <w:nsid w:val="1D1C7FC7"/>
    <w:multiLevelType w:val="hybridMultilevel"/>
    <w:tmpl w:val="DF4AA344"/>
    <w:lvl w:ilvl="0" w:tplc="AB509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925067"/>
    <w:multiLevelType w:val="hybridMultilevel"/>
    <w:tmpl w:val="667CFDF8"/>
    <w:lvl w:ilvl="0" w:tplc="02FE309C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037D"/>
    <w:multiLevelType w:val="hybridMultilevel"/>
    <w:tmpl w:val="AE84A8AA"/>
    <w:lvl w:ilvl="0" w:tplc="0246A5B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3556B5"/>
    <w:multiLevelType w:val="hybridMultilevel"/>
    <w:tmpl w:val="B9B6015E"/>
    <w:lvl w:ilvl="0" w:tplc="07E41B9C">
      <w:start w:val="61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061D3"/>
    <w:multiLevelType w:val="hybridMultilevel"/>
    <w:tmpl w:val="13D071F2"/>
    <w:lvl w:ilvl="0" w:tplc="B1D24764">
      <w:start w:val="7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B14FF"/>
    <w:multiLevelType w:val="hybridMultilevel"/>
    <w:tmpl w:val="65561D1C"/>
    <w:lvl w:ilvl="0" w:tplc="B1D4B2D2">
      <w:start w:val="8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F0969"/>
    <w:multiLevelType w:val="hybridMultilevel"/>
    <w:tmpl w:val="5B9E36FC"/>
    <w:lvl w:ilvl="0" w:tplc="66901D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C23FB"/>
    <w:multiLevelType w:val="hybridMultilevel"/>
    <w:tmpl w:val="392CA88C"/>
    <w:lvl w:ilvl="0" w:tplc="9C200B02">
      <w:start w:val="1"/>
      <w:numFmt w:val="decimal"/>
      <w:lvlText w:val="(%1)"/>
      <w:lvlJc w:val="left"/>
      <w:pPr>
        <w:ind w:left="928" w:hanging="360"/>
      </w:pPr>
      <w:rPr>
        <w:rFonts w:hint="default"/>
        <w:b/>
        <w:bCs/>
        <w:color w:val="auto"/>
      </w:rPr>
    </w:lvl>
    <w:lvl w:ilvl="1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C5784"/>
    <w:multiLevelType w:val="hybridMultilevel"/>
    <w:tmpl w:val="61F8CA72"/>
    <w:lvl w:ilvl="0" w:tplc="6B783D88">
      <w:start w:val="61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50AED"/>
    <w:multiLevelType w:val="hybridMultilevel"/>
    <w:tmpl w:val="B79456BE"/>
    <w:lvl w:ilvl="0" w:tplc="8702DF60">
      <w:start w:val="54"/>
      <w:numFmt w:val="decimal"/>
      <w:lvlText w:val="(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872" w:hanging="360"/>
      </w:p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8"/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E3"/>
    <w:rsid w:val="00002AF2"/>
    <w:rsid w:val="00005903"/>
    <w:rsid w:val="000210F5"/>
    <w:rsid w:val="00021910"/>
    <w:rsid w:val="00021DAB"/>
    <w:rsid w:val="000305FF"/>
    <w:rsid w:val="00045B79"/>
    <w:rsid w:val="0005678C"/>
    <w:rsid w:val="00063F72"/>
    <w:rsid w:val="000664A1"/>
    <w:rsid w:val="000672D9"/>
    <w:rsid w:val="000853F2"/>
    <w:rsid w:val="00092B97"/>
    <w:rsid w:val="00095C25"/>
    <w:rsid w:val="000A1B8C"/>
    <w:rsid w:val="000A4162"/>
    <w:rsid w:val="000A5CA4"/>
    <w:rsid w:val="000C574E"/>
    <w:rsid w:val="000D1B71"/>
    <w:rsid w:val="000F1B51"/>
    <w:rsid w:val="000F4042"/>
    <w:rsid w:val="0011001E"/>
    <w:rsid w:val="00114C2B"/>
    <w:rsid w:val="0013142B"/>
    <w:rsid w:val="00157392"/>
    <w:rsid w:val="00164247"/>
    <w:rsid w:val="00166604"/>
    <w:rsid w:val="001870A6"/>
    <w:rsid w:val="00197FD9"/>
    <w:rsid w:val="001D5049"/>
    <w:rsid w:val="001E5138"/>
    <w:rsid w:val="001F4691"/>
    <w:rsid w:val="001F72D0"/>
    <w:rsid w:val="00241137"/>
    <w:rsid w:val="002442E4"/>
    <w:rsid w:val="002451D0"/>
    <w:rsid w:val="00251DB5"/>
    <w:rsid w:val="002A66F9"/>
    <w:rsid w:val="002B04D4"/>
    <w:rsid w:val="002B0D6E"/>
    <w:rsid w:val="002B24BB"/>
    <w:rsid w:val="00304A40"/>
    <w:rsid w:val="00304CFA"/>
    <w:rsid w:val="0031185E"/>
    <w:rsid w:val="00314BC3"/>
    <w:rsid w:val="00355D7C"/>
    <w:rsid w:val="00371DB6"/>
    <w:rsid w:val="00380A8B"/>
    <w:rsid w:val="003B1744"/>
    <w:rsid w:val="003D01D6"/>
    <w:rsid w:val="003D7EE9"/>
    <w:rsid w:val="003F496C"/>
    <w:rsid w:val="00434F96"/>
    <w:rsid w:val="0044242F"/>
    <w:rsid w:val="00457122"/>
    <w:rsid w:val="004626B2"/>
    <w:rsid w:val="004652F2"/>
    <w:rsid w:val="00474F13"/>
    <w:rsid w:val="004A1190"/>
    <w:rsid w:val="004A689E"/>
    <w:rsid w:val="004E000F"/>
    <w:rsid w:val="004E4CD7"/>
    <w:rsid w:val="004E580F"/>
    <w:rsid w:val="004F12F9"/>
    <w:rsid w:val="005055FD"/>
    <w:rsid w:val="0053390A"/>
    <w:rsid w:val="00545845"/>
    <w:rsid w:val="00555638"/>
    <w:rsid w:val="00570B4D"/>
    <w:rsid w:val="005767CD"/>
    <w:rsid w:val="005A4A4F"/>
    <w:rsid w:val="005B29B8"/>
    <w:rsid w:val="005B50C7"/>
    <w:rsid w:val="005C2F66"/>
    <w:rsid w:val="005D395E"/>
    <w:rsid w:val="005F3C23"/>
    <w:rsid w:val="00606014"/>
    <w:rsid w:val="00610E7B"/>
    <w:rsid w:val="006213AF"/>
    <w:rsid w:val="00625854"/>
    <w:rsid w:val="00634BE2"/>
    <w:rsid w:val="00642BDE"/>
    <w:rsid w:val="0064413F"/>
    <w:rsid w:val="00653665"/>
    <w:rsid w:val="006663FF"/>
    <w:rsid w:val="00671771"/>
    <w:rsid w:val="006758DB"/>
    <w:rsid w:val="00685D93"/>
    <w:rsid w:val="006B3731"/>
    <w:rsid w:val="006D71FE"/>
    <w:rsid w:val="006E257E"/>
    <w:rsid w:val="006E52F6"/>
    <w:rsid w:val="006F3F7A"/>
    <w:rsid w:val="00715276"/>
    <w:rsid w:val="00727D99"/>
    <w:rsid w:val="007308ED"/>
    <w:rsid w:val="00731272"/>
    <w:rsid w:val="00732C4F"/>
    <w:rsid w:val="007740EA"/>
    <w:rsid w:val="00774A4E"/>
    <w:rsid w:val="00781DEE"/>
    <w:rsid w:val="00784D42"/>
    <w:rsid w:val="007906E9"/>
    <w:rsid w:val="00790A58"/>
    <w:rsid w:val="007A7224"/>
    <w:rsid w:val="007D5800"/>
    <w:rsid w:val="007E567B"/>
    <w:rsid w:val="007E5A0A"/>
    <w:rsid w:val="00823DEB"/>
    <w:rsid w:val="0082761B"/>
    <w:rsid w:val="00836CF6"/>
    <w:rsid w:val="00836E93"/>
    <w:rsid w:val="00842287"/>
    <w:rsid w:val="008650AD"/>
    <w:rsid w:val="008742D3"/>
    <w:rsid w:val="008767D3"/>
    <w:rsid w:val="0087721A"/>
    <w:rsid w:val="008B7413"/>
    <w:rsid w:val="008C1107"/>
    <w:rsid w:val="008C461F"/>
    <w:rsid w:val="008C73F2"/>
    <w:rsid w:val="008D2825"/>
    <w:rsid w:val="008D4646"/>
    <w:rsid w:val="008D4B16"/>
    <w:rsid w:val="008E12F2"/>
    <w:rsid w:val="008E2D8B"/>
    <w:rsid w:val="008E7946"/>
    <w:rsid w:val="008E7D34"/>
    <w:rsid w:val="008F3A01"/>
    <w:rsid w:val="008F4BA6"/>
    <w:rsid w:val="008F7AB6"/>
    <w:rsid w:val="00910D11"/>
    <w:rsid w:val="00917D3C"/>
    <w:rsid w:val="0093059A"/>
    <w:rsid w:val="00931C8A"/>
    <w:rsid w:val="009523F2"/>
    <w:rsid w:val="00965DD7"/>
    <w:rsid w:val="00982CFD"/>
    <w:rsid w:val="00995D78"/>
    <w:rsid w:val="009A13C9"/>
    <w:rsid w:val="009B3344"/>
    <w:rsid w:val="009C3984"/>
    <w:rsid w:val="009C49E3"/>
    <w:rsid w:val="009C66AA"/>
    <w:rsid w:val="00A204DB"/>
    <w:rsid w:val="00A3621B"/>
    <w:rsid w:val="00A3702A"/>
    <w:rsid w:val="00A54837"/>
    <w:rsid w:val="00A65016"/>
    <w:rsid w:val="00A75117"/>
    <w:rsid w:val="00A81B69"/>
    <w:rsid w:val="00A832EC"/>
    <w:rsid w:val="00A93EA3"/>
    <w:rsid w:val="00AA0319"/>
    <w:rsid w:val="00AA622D"/>
    <w:rsid w:val="00AC2A79"/>
    <w:rsid w:val="00AC2FF7"/>
    <w:rsid w:val="00AD6249"/>
    <w:rsid w:val="00AE234B"/>
    <w:rsid w:val="00AF44ED"/>
    <w:rsid w:val="00AF47D9"/>
    <w:rsid w:val="00B02CB0"/>
    <w:rsid w:val="00B1374C"/>
    <w:rsid w:val="00B20133"/>
    <w:rsid w:val="00B20635"/>
    <w:rsid w:val="00B2427E"/>
    <w:rsid w:val="00B51555"/>
    <w:rsid w:val="00B577A7"/>
    <w:rsid w:val="00B60DD2"/>
    <w:rsid w:val="00B75285"/>
    <w:rsid w:val="00B76650"/>
    <w:rsid w:val="00B81779"/>
    <w:rsid w:val="00BA6C79"/>
    <w:rsid w:val="00BB2617"/>
    <w:rsid w:val="00BC070E"/>
    <w:rsid w:val="00BD250F"/>
    <w:rsid w:val="00BD37B5"/>
    <w:rsid w:val="00BE39DF"/>
    <w:rsid w:val="00BF0D09"/>
    <w:rsid w:val="00C05C2B"/>
    <w:rsid w:val="00C124C3"/>
    <w:rsid w:val="00C22D0B"/>
    <w:rsid w:val="00C602E0"/>
    <w:rsid w:val="00C642BA"/>
    <w:rsid w:val="00C70338"/>
    <w:rsid w:val="00C710D7"/>
    <w:rsid w:val="00C72770"/>
    <w:rsid w:val="00C729E6"/>
    <w:rsid w:val="00C736B7"/>
    <w:rsid w:val="00C75F0F"/>
    <w:rsid w:val="00CA0B3E"/>
    <w:rsid w:val="00CB34BC"/>
    <w:rsid w:val="00D02719"/>
    <w:rsid w:val="00D04C4B"/>
    <w:rsid w:val="00D114B0"/>
    <w:rsid w:val="00D12862"/>
    <w:rsid w:val="00D15509"/>
    <w:rsid w:val="00D24E33"/>
    <w:rsid w:val="00D43755"/>
    <w:rsid w:val="00D43D4F"/>
    <w:rsid w:val="00D45080"/>
    <w:rsid w:val="00D45284"/>
    <w:rsid w:val="00D472E7"/>
    <w:rsid w:val="00D913A7"/>
    <w:rsid w:val="00DB162E"/>
    <w:rsid w:val="00DC01CF"/>
    <w:rsid w:val="00DC2DF8"/>
    <w:rsid w:val="00E23D9C"/>
    <w:rsid w:val="00E4286B"/>
    <w:rsid w:val="00E447B7"/>
    <w:rsid w:val="00E44C3D"/>
    <w:rsid w:val="00E556FE"/>
    <w:rsid w:val="00E827D0"/>
    <w:rsid w:val="00E86632"/>
    <w:rsid w:val="00E95077"/>
    <w:rsid w:val="00E9593C"/>
    <w:rsid w:val="00EA08E1"/>
    <w:rsid w:val="00EF378B"/>
    <w:rsid w:val="00F11A85"/>
    <w:rsid w:val="00F17F99"/>
    <w:rsid w:val="00F253A8"/>
    <w:rsid w:val="00F3298D"/>
    <w:rsid w:val="00F47F05"/>
    <w:rsid w:val="00F5065E"/>
    <w:rsid w:val="00F66A4F"/>
    <w:rsid w:val="00F73E80"/>
    <w:rsid w:val="00F80A5A"/>
    <w:rsid w:val="00F81700"/>
    <w:rsid w:val="00F8725F"/>
    <w:rsid w:val="00FC3A7F"/>
    <w:rsid w:val="00FC4CD9"/>
    <w:rsid w:val="00FD5E9C"/>
    <w:rsid w:val="00FD631F"/>
    <w:rsid w:val="00FD6F6C"/>
    <w:rsid w:val="00FE2D44"/>
    <w:rsid w:val="00FE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9E3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C49E3"/>
  </w:style>
  <w:style w:type="paragraph" w:styleId="a5">
    <w:name w:val="List Paragraph"/>
    <w:basedOn w:val="a"/>
    <w:uiPriority w:val="34"/>
    <w:qFormat/>
    <w:rsid w:val="009C49E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5678C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05678C"/>
  </w:style>
  <w:style w:type="paragraph" w:styleId="a8">
    <w:name w:val="Balloon Text"/>
    <w:basedOn w:val="a"/>
    <w:link w:val="a9"/>
    <w:uiPriority w:val="99"/>
    <w:semiHidden/>
    <w:unhideWhenUsed/>
    <w:rsid w:val="0005678C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8C"/>
    <w:rPr>
      <w:rFonts w:ascii="Tahoma" w:hAnsi="Tahoma" w:cs="Tahoma"/>
      <w:sz w:val="16"/>
      <w:szCs w:val="16"/>
    </w:rPr>
  </w:style>
  <w:style w:type="paragraph" w:customStyle="1" w:styleId="ps1">
    <w:name w:val="ps1"/>
    <w:basedOn w:val="a"/>
    <w:rsid w:val="00570B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9E3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C49E3"/>
  </w:style>
  <w:style w:type="paragraph" w:styleId="a5">
    <w:name w:val="List Paragraph"/>
    <w:basedOn w:val="a"/>
    <w:uiPriority w:val="34"/>
    <w:qFormat/>
    <w:rsid w:val="009C49E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5678C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05678C"/>
  </w:style>
  <w:style w:type="paragraph" w:styleId="a8">
    <w:name w:val="Balloon Text"/>
    <w:basedOn w:val="a"/>
    <w:link w:val="a9"/>
    <w:uiPriority w:val="99"/>
    <w:semiHidden/>
    <w:unhideWhenUsed/>
    <w:rsid w:val="0005678C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8C"/>
    <w:rPr>
      <w:rFonts w:ascii="Tahoma" w:hAnsi="Tahoma" w:cs="Tahoma"/>
      <w:sz w:val="16"/>
      <w:szCs w:val="16"/>
    </w:rPr>
  </w:style>
  <w:style w:type="paragraph" w:customStyle="1" w:styleId="ps1">
    <w:name w:val="ps1"/>
    <w:basedOn w:val="a"/>
    <w:rsid w:val="00570B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8F2D-C1D5-495A-AA6F-D40002B7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4674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2020-07-20T07:38:00Z</cp:lastPrinted>
  <dcterms:created xsi:type="dcterms:W3CDTF">2020-07-23T08:52:00Z</dcterms:created>
  <dcterms:modified xsi:type="dcterms:W3CDTF">2020-07-23T08:52:00Z</dcterms:modified>
</cp:coreProperties>
</file>