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2EB50" w14:textId="0242AD32" w:rsidR="003B56F7" w:rsidRPr="00B10930" w:rsidRDefault="003B56F7" w:rsidP="003B56F7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B1093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795F08A" wp14:editId="4E39C53C">
            <wp:extent cx="429895" cy="607060"/>
            <wp:effectExtent l="0" t="0" r="8255" b="254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44" t="2641" r="13644" b="3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B0266" w14:textId="77777777" w:rsidR="00A53208" w:rsidRPr="00B10930" w:rsidRDefault="00A53208" w:rsidP="003B56F7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395A3B13" w14:textId="77777777" w:rsidR="003B56F7" w:rsidRPr="00B10930" w:rsidRDefault="003B56F7" w:rsidP="003B56F7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B1093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АНТИМОНОПОЛЬНИЙ   КОМІТЕТ   УКРАЇНИ</w:t>
      </w:r>
    </w:p>
    <w:p w14:paraId="559907AA" w14:textId="77777777" w:rsidR="003B56F7" w:rsidRPr="00B10930" w:rsidRDefault="003B56F7" w:rsidP="003B56F7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AC7F4B3" w14:textId="77777777" w:rsidR="003B56F7" w:rsidRPr="00B10930" w:rsidRDefault="003B56F7" w:rsidP="003B56F7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B1093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РІШЕННЯ</w:t>
      </w:r>
    </w:p>
    <w:p w14:paraId="14035F1B" w14:textId="77777777" w:rsidR="003B56F7" w:rsidRPr="00B10930" w:rsidRDefault="003B56F7" w:rsidP="003B56F7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60644DD2" w14:textId="6952CE39" w:rsidR="003B56F7" w:rsidRPr="00B10930" w:rsidRDefault="00985646" w:rsidP="003B56F7">
      <w:pPr>
        <w:widowControl w:val="0"/>
        <w:tabs>
          <w:tab w:val="left" w:leader="hyphen" w:pos="10206"/>
        </w:tabs>
        <w:spacing w:after="12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09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від 14 листопада</w:t>
      </w:r>
      <w:r w:rsidR="003B56F7" w:rsidRPr="00B109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2024 р.   </w:t>
      </w:r>
      <w:r w:rsidR="003B56F7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B56F7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Київ                                                       № 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454</w:t>
      </w:r>
      <w:r w:rsidR="003B56F7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-р</w:t>
      </w:r>
    </w:p>
    <w:p w14:paraId="414F305A" w14:textId="77777777" w:rsidR="003B56F7" w:rsidRPr="00B10930" w:rsidRDefault="003B56F7" w:rsidP="003B56F7">
      <w:pPr>
        <w:widowControl w:val="0"/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310F1A" w14:textId="77777777" w:rsidR="00533724" w:rsidRPr="00B10930" w:rsidRDefault="003B56F7" w:rsidP="00533724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</w:pPr>
      <w:r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>Про перевірку рішення</w:t>
      </w:r>
      <w:r w:rsidR="006878F6" w:rsidRPr="00B10930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  <w:lang w:eastAsia="uk-UA"/>
        </w:rPr>
        <w:t xml:space="preserve"> </w:t>
      </w:r>
      <w:r w:rsidR="006878F6"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 xml:space="preserve">Тимчасової адміністративної </w:t>
      </w:r>
    </w:p>
    <w:p w14:paraId="3CF9B962" w14:textId="77777777" w:rsidR="00533724" w:rsidRPr="00B10930" w:rsidRDefault="006878F6" w:rsidP="00533724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</w:pPr>
      <w:r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 xml:space="preserve">колегії Антимонопольного комітету України </w:t>
      </w:r>
    </w:p>
    <w:p w14:paraId="241338AD" w14:textId="1F1D2AA5" w:rsidR="003B56F7" w:rsidRPr="00B10930" w:rsidRDefault="006878F6" w:rsidP="00533724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>від 11.04.2023 № 1-р/</w:t>
      </w:r>
      <w:proofErr w:type="spellStart"/>
      <w:r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>тк</w:t>
      </w:r>
      <w:proofErr w:type="spellEnd"/>
      <w:r w:rsidRPr="00B10930">
        <w:rPr>
          <w:rFonts w:ascii="Times New Roman" w:hAnsi="Times New Roman" w:cs="Times New Roman"/>
          <w:color w:val="000000" w:themeColor="text1"/>
          <w:spacing w:val="-6"/>
          <w:szCs w:val="24"/>
          <w:lang w:eastAsia="uk-UA"/>
        </w:rPr>
        <w:t xml:space="preserve"> у справі № 145-26.13/202-21</w:t>
      </w:r>
    </w:p>
    <w:p w14:paraId="3DCCDA68" w14:textId="77777777" w:rsidR="003D2A15" w:rsidRPr="00B10930" w:rsidRDefault="003D2A15" w:rsidP="001B5244">
      <w:pPr>
        <w:widowControl w:val="0"/>
        <w:spacing w:after="12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71F987" w14:textId="0E91D012" w:rsidR="003B56F7" w:rsidRPr="00B10930" w:rsidRDefault="003B56F7" w:rsidP="001B5244">
      <w:pPr>
        <w:widowControl w:val="0"/>
        <w:spacing w:after="12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подання державного уповноваженого Комітету </w:t>
      </w:r>
      <w:r w:rsidR="00385151" w:rsidRPr="00B10930">
        <w:rPr>
          <w:rFonts w:ascii="Times New Roman" w:hAnsi="Times New Roman" w:cs="Times New Roman"/>
          <w:color w:val="000000" w:themeColor="text1"/>
          <w:sz w:val="24"/>
        </w:rPr>
        <w:t>від 06.08.2024</w:t>
      </w:r>
      <w:r w:rsidR="00462724" w:rsidRPr="00B10930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85151" w:rsidRPr="00B10930">
        <w:rPr>
          <w:rFonts w:ascii="Times New Roman" w:hAnsi="Times New Roman" w:cs="Times New Roman"/>
          <w:color w:val="000000" w:themeColor="text1"/>
          <w:sz w:val="24"/>
        </w:rPr>
        <w:t>№ 8-01/8-пр/261-зв</w:t>
      </w:r>
      <w:r w:rsidR="00385151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>та відповідні матеріали,</w:t>
      </w:r>
    </w:p>
    <w:p w14:paraId="0AE80634" w14:textId="77777777" w:rsidR="00A53208" w:rsidRPr="00B10930" w:rsidRDefault="00A53208" w:rsidP="001B5244">
      <w:pPr>
        <w:widowControl w:val="0"/>
        <w:spacing w:after="12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F96B4B" w14:textId="77777777" w:rsidR="003B56F7" w:rsidRPr="00B10930" w:rsidRDefault="003B56F7" w:rsidP="003B56F7">
      <w:pPr>
        <w:widowControl w:val="0"/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ВСТАНОВИВ</w:t>
      </w:r>
    </w:p>
    <w:p w14:paraId="7A257534" w14:textId="77777777" w:rsidR="004B6B08" w:rsidRPr="00B10930" w:rsidRDefault="004B6B08" w:rsidP="00A53208">
      <w:pPr>
        <w:widowControl w:val="0"/>
        <w:spacing w:before="120" w:after="0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</w:rPr>
        <w:t>1.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</w:rPr>
        <w:tab/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ПРЕДМЕТ ПЕРЕВІРКИ</w:t>
      </w:r>
    </w:p>
    <w:p w14:paraId="41EB250D" w14:textId="3C73B893" w:rsidR="00CD61A9" w:rsidRPr="00B10930" w:rsidRDefault="004B6B08" w:rsidP="00CF2ED6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19396020"/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Рішення </w:t>
      </w:r>
      <w:r w:rsidR="008D1D6A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Тимчасової </w:t>
      </w:r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адміністративної колегії Антимонопольного комітету України </w:t>
      </w:r>
      <w:r w:rsidR="00A53208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(далі –</w:t>
      </w:r>
      <w:r w:rsidR="00ED5BC5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CD61A9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Колегія</w:t>
      </w:r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  <w:r w:rsidR="004C4F3E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 11.04.202</w:t>
      </w:r>
      <w:r w:rsidR="00CD61A9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="004C4F3E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№ 1-р/</w:t>
      </w:r>
      <w:proofErr w:type="spellStart"/>
      <w:r w:rsidR="00CD61A9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="004C4F3E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</w:t>
      </w:r>
      <w:proofErr w:type="spellEnd"/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(далі – Рішення № </w:t>
      </w:r>
      <w:r w:rsidR="004C4F3E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1-р/</w:t>
      </w:r>
      <w:proofErr w:type="spellStart"/>
      <w:r w:rsidR="00CD61A9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="004C4F3E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</w:t>
      </w:r>
      <w:proofErr w:type="spellEnd"/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у справі </w:t>
      </w:r>
      <w:r w:rsidR="00A53208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№ </w:t>
      </w:r>
      <w:bookmarkEnd w:id="0"/>
      <w:r w:rsidR="00E30DBD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145-26.13/202-21</w:t>
      </w:r>
      <w:r w:rsidR="00A53208"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1F4619B" w14:textId="362198AE" w:rsidR="004B6B08" w:rsidRPr="00B10930" w:rsidRDefault="004B6B08" w:rsidP="00A53208">
      <w:pPr>
        <w:widowControl w:val="0"/>
        <w:spacing w:before="120"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2.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  <w:t>ПІДСТАВИ ДЛЯ ПЕРЕВІРКИ РІШЕННЯ</w:t>
      </w:r>
    </w:p>
    <w:p w14:paraId="4545B2C4" w14:textId="35C31191" w:rsidR="004C692D" w:rsidRPr="00B10930" w:rsidRDefault="004B6B08" w:rsidP="00E32920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Заява </w:t>
      </w:r>
      <w:r w:rsidR="00E30DBD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державного підприємства</w:t>
      </w:r>
      <w:r w:rsidR="00082B4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«МЕДИЧНІ ЗАКУПІВЛІ УКРАЇНИ»</w:t>
      </w:r>
      <w:r w:rsidR="00BE0F73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від 30.06.2023 </w:t>
      </w:r>
      <w:r w:rsidR="000D508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E0F73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07/3905-06/2023</w:t>
      </w:r>
      <w:r w:rsidR="00082B4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(зареєстрована в Комітеті </w:t>
      </w:r>
      <w:r w:rsidR="00AE159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30.06.2023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№ 8-01/</w:t>
      </w:r>
      <w:r w:rsidR="00082B4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653003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про перевірку Рішення № </w:t>
      </w:r>
      <w:r w:rsidR="00653003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1-р/</w:t>
      </w:r>
      <w:proofErr w:type="spellStart"/>
      <w:r w:rsidR="00082B42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653003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(далі – Заява). </w:t>
      </w:r>
    </w:p>
    <w:p w14:paraId="05B70F93" w14:textId="77777777" w:rsidR="004B6B08" w:rsidRPr="00B10930" w:rsidRDefault="004B6B08" w:rsidP="00A53208">
      <w:pPr>
        <w:widowControl w:val="0"/>
        <w:spacing w:before="120" w:after="0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  <w:t>ЗАЯВНИК</w:t>
      </w:r>
      <w:r w:rsidRPr="00B109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</w:p>
    <w:p w14:paraId="55167807" w14:textId="77777777" w:rsidR="00284C5E" w:rsidRPr="00B10930" w:rsidRDefault="00E32920" w:rsidP="0016253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</w:rPr>
        <w:t xml:space="preserve">Державне підприємство «МЕДИЧНІ ЗАКУПІВЛІ УКРАЇНИ» </w:t>
      </w:r>
      <w:r w:rsidR="00F61FDE" w:rsidRPr="00B10930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</w:rPr>
        <w:t xml:space="preserve">(далі – 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</w:rPr>
        <w:t>ДП «МЕДЗАКУПІВЛІ УКРАЇНИ»</w:t>
      </w:r>
      <w:r w:rsidR="00F61FDE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</w:t>
      </w:r>
      <w:r w:rsidR="0062587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Підприємство,</w:t>
      </w:r>
      <w:r w:rsidR="00F61FDE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Заявник) ідентифікаційний код юридичної особи </w:t>
      </w:r>
      <w:bookmarkStart w:id="1" w:name="_Hlk183604858"/>
      <w:r w:rsidR="00D714C4" w:rsidRPr="00B10930">
        <w:rPr>
          <w:rFonts w:ascii="Times New Roman" w:eastAsia="Calibri" w:hAnsi="Times New Roman" w:cs="Times New Roman"/>
          <w:bCs/>
          <w:color w:val="000000" w:themeColor="text1"/>
          <w:szCs w:val="24"/>
        </w:rPr>
        <w:t>«інформація, доступ до якої обмежено»</w:t>
      </w:r>
      <w:bookmarkEnd w:id="1"/>
      <w:r w:rsidR="00F61FDE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; місцезнаходження: </w:t>
      </w:r>
      <w:r w:rsidR="00AA063F" w:rsidRPr="00B10930">
        <w:rPr>
          <w:rFonts w:ascii="Times New Roman" w:eastAsia="Calibri" w:hAnsi="Times New Roman" w:cs="Times New Roman"/>
          <w:bCs/>
          <w:color w:val="000000" w:themeColor="text1"/>
          <w:szCs w:val="24"/>
        </w:rPr>
        <w:t>«інформація, доступ до якої обмежено»</w:t>
      </w:r>
      <w:r w:rsidR="00F61FDE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. Основний вид діяльності: </w:t>
      </w:r>
      <w:r w:rsidR="00284C5E" w:rsidRPr="00B10930">
        <w:rPr>
          <w:rFonts w:ascii="Times New Roman" w:eastAsia="Calibri" w:hAnsi="Times New Roman" w:cs="Times New Roman"/>
          <w:bCs/>
          <w:color w:val="000000" w:themeColor="text1"/>
          <w:szCs w:val="24"/>
        </w:rPr>
        <w:t>«інформація, доступ до якої обмежено»</w:t>
      </w:r>
      <w:r w:rsidR="00284C5E" w:rsidRPr="00B10930">
        <w:rPr>
          <w:rFonts w:ascii="Times New Roman" w:eastAsia="Calibri" w:hAnsi="Times New Roman" w:cs="Times New Roman"/>
          <w:bCs/>
          <w:color w:val="000000" w:themeColor="text1"/>
          <w:szCs w:val="24"/>
        </w:rPr>
        <w:t>.</w:t>
      </w:r>
    </w:p>
    <w:p w14:paraId="052DC232" w14:textId="124DFE03" w:rsidR="000B76A0" w:rsidRPr="00B10930" w:rsidRDefault="004B6B08" w:rsidP="00284C5E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4.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</w:r>
      <w:r w:rsidR="00881AC3"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ВІДПОВІДАЧ</w:t>
      </w:r>
      <w:r w:rsidR="000B76A0"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У СПРАВІ </w:t>
      </w:r>
      <w:r w:rsidR="00881AC3" w:rsidRPr="00B109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№ </w:t>
      </w:r>
      <w:r w:rsidR="007242BF" w:rsidRPr="00B109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145-26.13/202-21</w:t>
      </w:r>
    </w:p>
    <w:p w14:paraId="2299ECBE" w14:textId="4C9ED355" w:rsidR="001B1E65" w:rsidRPr="00B10930" w:rsidRDefault="00881AC3" w:rsidP="00CA1205">
      <w:pPr>
        <w:pStyle w:val="a3"/>
        <w:widowControl w:val="0"/>
        <w:numPr>
          <w:ilvl w:val="0"/>
          <w:numId w:val="1"/>
        </w:numPr>
        <w:spacing w:before="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Відповідач</w:t>
      </w:r>
      <w:r w:rsidR="007242B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ем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справі </w:t>
      </w:r>
      <w:r w:rsidR="00EB79AB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7242BF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>145-26.13/202-21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B79AB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>є</w:t>
      </w:r>
      <w:r w:rsidR="007242BF" w:rsidRPr="00B109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42BF" w:rsidRPr="00B1093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>ДП «МЕДЗАКУПІВЛІ УКРАЇНИ»</w:t>
      </w:r>
      <w:r w:rsidR="0008304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F02F0B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739492A1" w14:textId="44CE82DD" w:rsidR="004B6B08" w:rsidRPr="00B10930" w:rsidRDefault="000B76A0" w:rsidP="00A53208">
      <w:pPr>
        <w:widowControl w:val="0"/>
        <w:spacing w:before="120" w:after="120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5.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</w:r>
      <w:r w:rsidR="004B6B08"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ПРОЦЕСУАЛЬНІ ДІЇ З ПЕРЕВІРКИ РІШЕННЯ</w:t>
      </w:r>
    </w:p>
    <w:p w14:paraId="7F22CD39" w14:textId="73B8970B" w:rsidR="00CD7F92" w:rsidRPr="00B10930" w:rsidRDefault="00083042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bookmarkStart w:id="2" w:name="_Hlk117598310"/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Розпорядженням державного уповноваженого</w:t>
      </w:r>
      <w:r w:rsidR="00F704B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Комітету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від</w:t>
      </w:r>
      <w:r w:rsidR="000D54E9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76CC1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10.07.2023 № 04/133-</w:t>
      </w:r>
      <w:r w:rsidR="0089061F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1343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Заяву </w:t>
      </w:r>
      <w:r w:rsidR="0089061F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br/>
        <w:t>ДП «МЕДЗАКУПІВЛІ УКРАЇНИ»</w:t>
      </w:r>
      <w:r w:rsidR="004C692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про перевірку Рішення № 1-р/</w:t>
      </w:r>
      <w:proofErr w:type="spellStart"/>
      <w:r w:rsidR="0089061F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</w:t>
      </w:r>
      <w:r w:rsidR="004C692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к</w:t>
      </w:r>
      <w:proofErr w:type="spellEnd"/>
      <w:r w:rsidR="004C692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прийнято</w:t>
      </w:r>
      <w:r w:rsidR="00CD7F9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до розгляду</w:t>
      </w:r>
      <w:r w:rsidR="0012318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7EC016AA" w14:textId="592571D1" w:rsidR="00A425BE" w:rsidRPr="00B10930" w:rsidRDefault="00A425BE" w:rsidP="007A41F1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Ухвалою Господарського суду </w:t>
      </w:r>
      <w:r w:rsidR="00710259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міста Києва </w:t>
      </w: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від </w:t>
      </w:r>
      <w:r w:rsidR="00710259"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06.06.2023</w:t>
      </w: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відкрито провадження у справі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№ </w:t>
      </w:r>
      <w:r w:rsidR="00710259" w:rsidRPr="00B10930">
        <w:rPr>
          <w:rFonts w:ascii="Times New Roman" w:hAnsi="Times New Roman"/>
          <w:color w:val="000000" w:themeColor="text1"/>
          <w:sz w:val="24"/>
          <w:szCs w:val="24"/>
        </w:rPr>
        <w:t>910/7533/23</w:t>
      </w: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за позовом </w:t>
      </w:r>
      <w:r w:rsidR="00710259" w:rsidRPr="00B109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ДП «МЕДЗАКУПІВЛІ УКРАЇНИ»</w:t>
      </w:r>
      <w:r w:rsidR="007A41F1" w:rsidRPr="00B109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 К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омітету </w:t>
      </w: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про визнання недійсним</w:t>
      </w:r>
      <w:r w:rsidR="007A41F1"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та скасування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Рішення</w:t>
      </w:r>
      <w:r w:rsidR="007A41F1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№ 1-р/</w:t>
      </w:r>
      <w:proofErr w:type="spellStart"/>
      <w:r w:rsidR="007A41F1" w:rsidRPr="00B10930">
        <w:rPr>
          <w:rFonts w:ascii="Times New Roman" w:hAnsi="Times New Roman"/>
          <w:color w:val="000000" w:themeColor="text1"/>
          <w:sz w:val="24"/>
          <w:szCs w:val="24"/>
        </w:rPr>
        <w:t>тк</w:t>
      </w:r>
      <w:proofErr w:type="spellEnd"/>
      <w:r w:rsidR="007A41F1" w:rsidRPr="00B1093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327FFB" w14:textId="7E37F847" w:rsidR="00A425BE" w:rsidRPr="00B10930" w:rsidRDefault="00A425BE" w:rsidP="00E13AAA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Обставини,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які підлягали встановленню в судовій справі № </w:t>
      </w:r>
      <w:r w:rsidR="00E13AAA" w:rsidRPr="00B10930">
        <w:rPr>
          <w:rFonts w:ascii="Times New Roman" w:hAnsi="Times New Roman"/>
          <w:color w:val="000000" w:themeColor="text1"/>
          <w:sz w:val="24"/>
          <w:szCs w:val="24"/>
        </w:rPr>
        <w:t>910/7533/23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мали значення для розгляду Заяв</w:t>
      </w:r>
      <w:r w:rsidR="00E13AA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 ДП «МЕДЗАКУПІВЛІ УКРАЇНИ»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6E647C59" w14:textId="07547478" w:rsidR="00A425BE" w:rsidRPr="00B10930" w:rsidRDefault="00A425BE" w:rsidP="00F704BC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Розпорядженням державного уповноваженого Комітету від </w:t>
      </w:r>
      <w:r w:rsidR="00F704BC" w:rsidRPr="00B10930">
        <w:rPr>
          <w:rFonts w:ascii="Times New Roman" w:hAnsi="Times New Roman"/>
          <w:color w:val="000000" w:themeColor="text1"/>
          <w:sz w:val="24"/>
          <w:szCs w:val="24"/>
        </w:rPr>
        <w:t>10.07.2023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№ </w:t>
      </w:r>
      <w:r w:rsidR="00F704BC" w:rsidRPr="00B10930">
        <w:rPr>
          <w:rFonts w:ascii="Times New Roman" w:hAnsi="Times New Roman"/>
          <w:color w:val="000000" w:themeColor="text1"/>
          <w:sz w:val="24"/>
          <w:szCs w:val="24"/>
        </w:rPr>
        <w:t>04/134</w:t>
      </w:r>
      <w:r w:rsidR="002C0647" w:rsidRPr="00B10930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р розгляд Заяви</w:t>
      </w:r>
      <w:r w:rsidR="001656EB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ДП «МЕДЗАКУПІВЛІ УКРАЇНИ»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зупинено до завершення розгляду судами справи № </w:t>
      </w:r>
      <w:r w:rsidR="001656EB" w:rsidRPr="00B10930">
        <w:rPr>
          <w:rFonts w:ascii="Times New Roman" w:hAnsi="Times New Roman"/>
          <w:color w:val="000000" w:themeColor="text1"/>
          <w:sz w:val="24"/>
          <w:szCs w:val="24"/>
        </w:rPr>
        <w:t>910/7533/23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412ED5BD" w14:textId="1CA79F58" w:rsidR="001656EB" w:rsidRPr="00B10930" w:rsidRDefault="001656EB" w:rsidP="001656EB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t>Листом</w:t>
      </w:r>
      <w:r w:rsidR="00A57C17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від 14.07.2023 № 210/04-8362е ДП «МЕДЗАКУПІВЛІ УКРАЇНИ» повідомлено про прийняття </w:t>
      </w:r>
      <w:r w:rsidR="00AC2050" w:rsidRPr="00B10930">
        <w:rPr>
          <w:rFonts w:ascii="Times New Roman" w:hAnsi="Times New Roman"/>
          <w:color w:val="000000" w:themeColor="text1"/>
          <w:sz w:val="24"/>
          <w:szCs w:val="24"/>
        </w:rPr>
        <w:t>до розгляду та зупинення розгляду Заяви.</w:t>
      </w:r>
    </w:p>
    <w:p w14:paraId="3C161D08" w14:textId="38377A13" w:rsidR="00A425BE" w:rsidRPr="00B10930" w:rsidRDefault="00A425BE" w:rsidP="001656EB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Рішенням </w:t>
      </w:r>
      <w:bookmarkStart w:id="3" w:name="_Hlk173336303"/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Господарського суду </w:t>
      </w:r>
      <w:r w:rsidR="00F2258B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міста Києва від 19.12.2023 у справі № 910/7533/23 </w:t>
      </w:r>
      <w:r w:rsidR="00DC4ECB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в задоволенні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позову </w:t>
      </w:r>
      <w:r w:rsidR="00DC4ECB" w:rsidRPr="00B109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ДП «МЕДЗАКУПІВЛІ УКРАЇНИ» до Комітету </w:t>
      </w:r>
      <w:r w:rsidRPr="00B109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про визнання недійсним </w:t>
      </w:r>
      <w:r w:rsidR="00336B25"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та скасування </w:t>
      </w:r>
      <w:r w:rsidR="00336B25" w:rsidRPr="00B10930">
        <w:rPr>
          <w:rFonts w:ascii="Times New Roman" w:hAnsi="Times New Roman"/>
          <w:color w:val="000000" w:themeColor="text1"/>
          <w:sz w:val="24"/>
          <w:szCs w:val="24"/>
        </w:rPr>
        <w:t>Рішення № 1-р/</w:t>
      </w:r>
      <w:proofErr w:type="spellStart"/>
      <w:r w:rsidR="00336B25" w:rsidRPr="00B10930">
        <w:rPr>
          <w:rFonts w:ascii="Times New Roman" w:hAnsi="Times New Roman"/>
          <w:color w:val="000000" w:themeColor="text1"/>
          <w:sz w:val="24"/>
          <w:szCs w:val="24"/>
        </w:rPr>
        <w:t>тк</w:t>
      </w:r>
      <w:proofErr w:type="spellEnd"/>
      <w:r w:rsidR="00336B25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відмовлено повністю.</w:t>
      </w:r>
    </w:p>
    <w:p w14:paraId="4E12CC2D" w14:textId="6187143E" w:rsidR="00D66D04" w:rsidRPr="00B10930" w:rsidRDefault="00A425BE" w:rsidP="00B71566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Постановою </w:t>
      </w:r>
      <w:r w:rsidR="00B7156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Північного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апеляційного господарського суду від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03.04.202</w:t>
      </w:r>
      <w:r w:rsidR="00377F1B" w:rsidRPr="00B1093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049FE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у справі № </w:t>
      </w:r>
      <w:r w:rsidR="00D66D04" w:rsidRPr="00B10930">
        <w:rPr>
          <w:rFonts w:ascii="Times New Roman" w:hAnsi="Times New Roman"/>
          <w:color w:val="000000" w:themeColor="text1"/>
          <w:sz w:val="24"/>
          <w:szCs w:val="24"/>
        </w:rPr>
        <w:t>910/7533/23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апеляційну скаргу </w:t>
      </w:r>
      <w:r w:rsidR="00D66D04" w:rsidRPr="00B109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ДП «МЕДЗАКУПІВЛІ УКРАЇНИ»</w:t>
      </w:r>
      <w:r w:rsidRPr="00B109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на рішення 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Господарського суду </w:t>
      </w:r>
      <w:r w:rsidR="00D66D04" w:rsidRPr="00B10930">
        <w:rPr>
          <w:rFonts w:ascii="Times New Roman" w:hAnsi="Times New Roman"/>
          <w:color w:val="000000" w:themeColor="text1"/>
          <w:sz w:val="24"/>
          <w:szCs w:val="24"/>
        </w:rPr>
        <w:t>міста Києва від 19.12.2023 у справі № 910/7533/23</w:t>
      </w:r>
      <w:r w:rsidR="00E123EB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залишено</w:t>
      </w:r>
      <w:r w:rsidR="00467925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без задоволення, а рішення Господарського суду міста Києва від 19.12.2023 у цій справі залишено без змін.</w:t>
      </w:r>
    </w:p>
    <w:bookmarkEnd w:id="3"/>
    <w:p w14:paraId="00067460" w14:textId="2D3EDB20" w:rsidR="000225A0" w:rsidRPr="00B10930" w:rsidRDefault="000225A0" w:rsidP="00542D2A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Ухвалою Верховного Суду у складі колегії суддів Касаційного господарського суду </w:t>
      </w:r>
      <w:r w:rsidR="00542D2A" w:rsidRPr="00B10930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від 25.06.2024 у справі № 910/7533/23 закрито касаційне провадження за касаційною скаргою </w:t>
      </w:r>
      <w:r w:rsidR="00542D2A" w:rsidRPr="00B10930">
        <w:rPr>
          <w:rFonts w:ascii="Times New Roman" w:hAnsi="Times New Roman"/>
          <w:color w:val="000000" w:themeColor="text1"/>
          <w:sz w:val="24"/>
          <w:szCs w:val="24"/>
        </w:rPr>
        <w:t>ДП «МЕДЗАКУПІВЛІ УКРАЇНИ»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на рішення Господарського суду міста Києва від 19.12.2023 та постанову Північного апеляційного господарського суду </w:t>
      </w:r>
      <w:r w:rsidR="00542D2A" w:rsidRPr="00B10930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від 03.04.2024 у справі № 910/7533/23.</w:t>
      </w:r>
    </w:p>
    <w:p w14:paraId="711AF801" w14:textId="77777777" w:rsidR="00E762C5" w:rsidRPr="00B10930" w:rsidRDefault="000225A0" w:rsidP="00542D2A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  <w:tab w:val="left" w:pos="709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t>Вказана ухвала Верховного Суду набрала законної сили з моменту її оголошення та оскарженню не підлягає.</w:t>
      </w:r>
    </w:p>
    <w:p w14:paraId="30181604" w14:textId="495FD884" w:rsidR="00A425BE" w:rsidRPr="00B10930" w:rsidRDefault="00A425BE" w:rsidP="00542D2A">
      <w:pPr>
        <w:pStyle w:val="a3"/>
        <w:widowControl w:val="0"/>
        <w:numPr>
          <w:ilvl w:val="0"/>
          <w:numId w:val="1"/>
        </w:numPr>
        <w:tabs>
          <w:tab w:val="left" w:pos="0"/>
          <w:tab w:val="left" w:pos="567"/>
          <w:tab w:val="left" w:pos="709"/>
        </w:tabs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color w:val="000000" w:themeColor="text1"/>
          <w:sz w:val="24"/>
          <w:szCs w:val="24"/>
        </w:rPr>
        <w:t>Розпорядженням державного уповноваженого</w:t>
      </w:r>
      <w:r w:rsidR="00E762C5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Комітету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від </w:t>
      </w:r>
      <w:r w:rsidR="00E762C5" w:rsidRPr="00B10930">
        <w:rPr>
          <w:rFonts w:ascii="Times New Roman" w:hAnsi="Times New Roman"/>
          <w:color w:val="000000" w:themeColor="text1"/>
          <w:sz w:val="24"/>
          <w:szCs w:val="24"/>
        </w:rPr>
        <w:t>16.07.2024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E762C5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04/176-р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поновлено розгляд Заяви</w:t>
      </w:r>
      <w:r w:rsidR="00E762C5" w:rsidRPr="00B10930">
        <w:rPr>
          <w:rFonts w:ascii="Times New Roman" w:hAnsi="Times New Roman"/>
          <w:color w:val="000000" w:themeColor="text1"/>
          <w:sz w:val="24"/>
          <w:szCs w:val="24"/>
        </w:rPr>
        <w:t xml:space="preserve"> ДП «МЕДЗАКУПІВЛІ УКРАЇНИ»</w:t>
      </w:r>
      <w:r w:rsidRPr="00B1093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F623E61" w14:textId="57F3B45D" w:rsidR="004B6B08" w:rsidRPr="00B10930" w:rsidRDefault="005D4DEF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Листом від 16.07.2024 № 210-20.6/04-6930е ДП «МЕДЗАКУПІВЛІ УКРАЇНИ» повідомлено про поновлення розгляду Заяви.</w:t>
      </w:r>
      <w:r w:rsidR="0008304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3B5B2B87" w14:textId="68C3A552" w:rsidR="001B5244" w:rsidRPr="00B10930" w:rsidRDefault="001B5244" w:rsidP="00462724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Державним уповноваженим Комітету складено подання </w:t>
      </w:r>
      <w:r w:rsidRPr="00B10930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</w:rPr>
        <w:t>від 06.08.2024 № 8-01/8-пр/261-зв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про перевірку </w:t>
      </w:r>
      <w:r w:rsidR="00AB776A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Рішення № 1-р/</w:t>
      </w:r>
      <w:proofErr w:type="spellStart"/>
      <w:r w:rsidR="00AB776A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AB776A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(далі – Подання про перевірку).</w:t>
      </w:r>
    </w:p>
    <w:p w14:paraId="34AA2EB4" w14:textId="27C85B1B" w:rsidR="00AB776A" w:rsidRPr="00B10930" w:rsidRDefault="00AB776A" w:rsidP="00462724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Копію Подання про перевірку направлено </w:t>
      </w:r>
      <w:r w:rsidR="003061A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ДП «МЕДЗАКУПІВЛІ УКРАЇНИ» листом </w:t>
      </w:r>
      <w:r w:rsidR="003061A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br/>
        <w:t>від 09.08.2024 № 210-20.6/04/7681е.</w:t>
      </w:r>
    </w:p>
    <w:p w14:paraId="4C5BF1A6" w14:textId="0D3667F9" w:rsidR="00462724" w:rsidRPr="00B10930" w:rsidRDefault="00462724" w:rsidP="0046272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ДП «МЕДЗАКУПІВЛІ УКРАЇНИ» отримало 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09.08.2024 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Подання про перевірку, копію якого було направлено листом від 09.08.2024 № 210-20.6/04-7681 системою електронного документообігу «АСКОД».</w:t>
      </w:r>
    </w:p>
    <w:bookmarkEnd w:id="2"/>
    <w:p w14:paraId="12F48ABB" w14:textId="2AE3EFD3" w:rsidR="004B6B08" w:rsidRPr="00B10930" w:rsidRDefault="004B6B08" w:rsidP="00A53208">
      <w:pPr>
        <w:widowControl w:val="0"/>
        <w:spacing w:before="120" w:after="120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6.</w:t>
      </w:r>
      <w:r w:rsidRPr="00B109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ab/>
        <w:t>РІШЕННЯ КОЛЕГІЇ</w:t>
      </w:r>
      <w:r w:rsidR="00912354" w:rsidRPr="00B109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</w:p>
    <w:p w14:paraId="7D90DA6B" w14:textId="4C866BD5" w:rsidR="00A93F18" w:rsidRPr="00B10930" w:rsidRDefault="004B6B08" w:rsidP="00CA7582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 резолютивній частині 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Рішення № </w:t>
      </w:r>
      <w:r w:rsidR="00D431C6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1-р/</w:t>
      </w:r>
      <w:proofErr w:type="spellStart"/>
      <w:r w:rsidR="00DE2E08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D431C6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spellEnd"/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E2E08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B109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олегія </w:t>
      </w: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постановила: </w:t>
      </w:r>
    </w:p>
    <w:p w14:paraId="5F7ABA42" w14:textId="2C371B15" w:rsidR="000A4D57" w:rsidRPr="00B10930" w:rsidRDefault="004B6B08" w:rsidP="00375836">
      <w:pPr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«</w:t>
      </w:r>
      <w:bookmarkStart w:id="4" w:name="_Hlk125548797"/>
      <w:r w:rsidR="00A93F18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1.</w:t>
      </w:r>
      <w:r w:rsidR="00A93F18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ab/>
      </w:r>
      <w:r w:rsidR="00375836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Визнати, що державне підприємство «Медичні закупівлі України» (ідентифікаційний код юридичної особи</w:t>
      </w:r>
      <w:r w:rsidR="00860F49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 xml:space="preserve"> </w:t>
      </w:r>
      <w:r w:rsidR="00CC3C10" w:rsidRPr="00B10930">
        <w:rPr>
          <w:rFonts w:ascii="Times New Roman" w:eastAsia="Calibri" w:hAnsi="Times New Roman" w:cs="Times New Roman"/>
          <w:bCs/>
          <w:color w:val="000000" w:themeColor="text1"/>
          <w:szCs w:val="24"/>
        </w:rPr>
        <w:t>«інформація, доступ до якої обмежено»</w:t>
      </w:r>
      <w:r w:rsidR="00860F49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) вчинило порушення, передбачене пунктом 13 статті 50 Закону України «Про захист економічної конкуренції</w:t>
      </w:r>
      <w:r w:rsidR="000A4D57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 xml:space="preserve">», у вигляді неподання інформації Антимонопольному комітету України на вимогу державного уповноваженого Антимонопольного комітету України </w:t>
      </w:r>
      <w:r w:rsidR="00CC3C10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br/>
      </w:r>
      <w:r w:rsidR="000A4D57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від 02.09.2021 № 145-29/03-12934 у встановлений ним строк.</w:t>
      </w:r>
    </w:p>
    <w:p w14:paraId="1DE21D60" w14:textId="2928ECED" w:rsidR="0057146D" w:rsidRPr="00B10930" w:rsidRDefault="000A4D57" w:rsidP="00CA7582">
      <w:pPr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 xml:space="preserve">2. За порушення, зазначене в пункті 1 резолютивної частини рішення, накласти на державне підприємство </w:t>
      </w:r>
      <w:r w:rsidR="00DB76CC" w:rsidRPr="00B109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«Медичні закупівлі України» штраф у розмірі 1 000 000 (один мільйон) гривень</w:t>
      </w:r>
      <w:r w:rsidR="004B6B08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»</w:t>
      </w:r>
      <w:bookmarkEnd w:id="4"/>
      <w:r w:rsidR="004B6B08"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14:paraId="44BAF7A3" w14:textId="77777777" w:rsidR="004B6B08" w:rsidRPr="00B10930" w:rsidRDefault="004B6B08" w:rsidP="00A53208">
      <w:pPr>
        <w:widowControl w:val="0"/>
        <w:tabs>
          <w:tab w:val="left" w:pos="567"/>
        </w:tabs>
        <w:spacing w:before="120" w:after="120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uk-UA"/>
        </w:rPr>
        <w:t>7.</w:t>
      </w:r>
      <w:r w:rsidRPr="00B1093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  <w:t>ДОВОДИ ЗАЯВНИКА</w:t>
      </w:r>
    </w:p>
    <w:p w14:paraId="2B79B6AD" w14:textId="3F446374" w:rsidR="00B157AE" w:rsidRPr="00B10930" w:rsidRDefault="00DB76CC" w:rsidP="00B157AE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ДП «МЕДЗАКУПІВЛІ УКРАЇНИ» </w:t>
      </w:r>
      <w:r w:rsidR="00A33653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у </w:t>
      </w:r>
      <w:r w:rsidR="00555DC3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Заяві </w:t>
      </w:r>
      <w:r w:rsidR="00A92267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наводить, зокрема, такі аргументи.</w:t>
      </w:r>
    </w:p>
    <w:p w14:paraId="48EA2838" w14:textId="0B918001" w:rsidR="00B157AE" w:rsidRPr="00B10930" w:rsidRDefault="00E23D9E" w:rsidP="00B157AE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Заявник вважає, що </w:t>
      </w:r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Рішення № 1-р/</w:t>
      </w:r>
      <w:proofErr w:type="spellStart"/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F23F0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про накладення </w:t>
      </w:r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на ДП «МЕДЗАКУПІВЛІ </w:t>
      </w:r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 xml:space="preserve">УКРАЇНИ» штрафу </w:t>
      </w:r>
      <w:r w:rsidR="00A5320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</w:t>
      </w:r>
      <w:r w:rsidR="00CC12C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розмірі 1 000 000 грн (</w:t>
      </w:r>
      <w:r w:rsidR="008A3EA3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пункт 2 резолютивної частини </w:t>
      </w:r>
      <w:r w:rsidR="00BF23F0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Рішення </w:t>
      </w:r>
      <w:r w:rsidR="00475B2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br/>
      </w:r>
      <w:r w:rsidR="00BF23F0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№ 1-р/</w:t>
      </w:r>
      <w:proofErr w:type="spellStart"/>
      <w:r w:rsidR="00BF23F0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475B2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="00CD1BB6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прийнято з порушенням вимог статті 52 Закону України «Про захист економічної конкуренції</w:t>
      </w:r>
      <w:r w:rsidR="00BF0E0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</w:t>
      </w:r>
      <w:r w:rsidR="00A5320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</w:t>
      </w:r>
      <w:r w:rsidR="002C1F3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оскільки</w:t>
      </w:r>
      <w:r w:rsidR="00C94BB0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1634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розрахун</w:t>
      </w:r>
      <w:r w:rsidR="002D251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ок</w:t>
      </w:r>
      <w:r w:rsidR="0081634D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розміру штрафу</w:t>
      </w:r>
      <w:r w:rsidR="002D251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здійснено у співвідношенні до </w:t>
      </w:r>
      <w:r w:rsidR="0062587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доходу від будь-якої діяльності Підприємства за 2022 рік</w:t>
      </w:r>
      <w:r w:rsidR="00566657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який становить 8 064 940 170 грн</w:t>
      </w:r>
      <w:r w:rsidR="0062587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а не</w:t>
      </w:r>
      <w:r w:rsidR="001343B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A338F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у співвідношенні </w:t>
      </w:r>
      <w:r w:rsidR="001343B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до чистого доходу від реалізації продукції (товарів, робіт, послуг)</w:t>
      </w:r>
      <w:r w:rsidR="009A338F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розмір якого у 2022 році становив 3 069,7 тис. грн</w:t>
      </w:r>
      <w:r w:rsidR="001343BC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  <w:r w:rsidR="002D2512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721B1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F0E0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90D57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6FB0F7D4" w14:textId="43A04BDB" w:rsidR="00DF0825" w:rsidRPr="00B10930" w:rsidRDefault="00DF0825" w:rsidP="00EE662B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ДП «МЕДЗАКУПІВЛІ УКРАЇНИ» листом від 26.06.2024 № 07/2590-06/2024 (зареєстрований 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Комітет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27.06.2024 № 8-01/8692) нада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л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о</w:t>
      </w:r>
      <w:r w:rsidR="00EE662B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додаткові </w:t>
      </w:r>
      <w:r w:rsidR="00422F0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аргументи</w:t>
      </w:r>
      <w:r w:rsidR="00F94EE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14:paraId="23AE85E7" w14:textId="27889A24" w:rsidR="002F4124" w:rsidRPr="00B10930" w:rsidRDefault="0057602A" w:rsidP="00EE662B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Зокрема, </w:t>
      </w:r>
      <w:r w:rsidR="0043427E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Заявник зауважив, </w:t>
      </w:r>
      <w:r w:rsidR="008E686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 метою реалізації наданих повноважень та за рахунок коштів державного бюджету ДП «МЕДЗАКУПІВЛІ УКРАЇНИ» здійснює закупівлі лікарських засобів, </w:t>
      </w:r>
      <w:r w:rsidR="00BD30C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медичних виробів та допоміжних засобів до них 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="00BD30C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рамках виконання державної програми та здійснення централізованих заходів з охорони здоров’я</w:t>
      </w:r>
      <w:r w:rsidR="00C04CFD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, які безоплатно постачаються (передаються) кінцевим набувачам і при цьому не вважаються реалізацією товарів 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="00C04CFD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розумінні податкового законодавства та не впливають на формування дохідної частини підприємства. </w:t>
      </w:r>
    </w:p>
    <w:p w14:paraId="03A813F1" w14:textId="7DA6E6A6" w:rsidR="0043427E" w:rsidRPr="00B10930" w:rsidRDefault="00C04CFD" w:rsidP="00EE662B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="0043427E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звіті про фінансові результати Підприємства </w:t>
      </w:r>
      <w:r w:rsidR="0043427E" w:rsidRPr="00B10930">
        <w:rPr>
          <w:rFonts w:ascii="Times New Roman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за 2022 рік</w:t>
      </w:r>
      <w:r w:rsidR="0043427E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(форма 2-м), який є додатком </w:t>
      </w:r>
      <w:r w:rsidR="00FE24D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до податкової декларації з податку на прибуток за 2022 рік, визначено:</w:t>
      </w:r>
    </w:p>
    <w:p w14:paraId="1261C9B7" w14:textId="1BC2BE15" w:rsidR="00FE24D5" w:rsidRPr="00B10930" w:rsidRDefault="00FE24D5" w:rsidP="00DF6394">
      <w:pPr>
        <w:pStyle w:val="a3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 чистий дохід від реа</w:t>
      </w:r>
      <w:r w:rsidR="0053649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лізації (товарів, робіт, послуг), </w:t>
      </w:r>
      <w:r w:rsidR="0053649A" w:rsidRPr="00B1093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сума якого становить 3</w:t>
      </w:r>
      <w:r w:rsidR="0041067A" w:rsidRPr="00B1093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 </w:t>
      </w:r>
      <w:r w:rsidR="0053649A" w:rsidRPr="00B1093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069</w:t>
      </w:r>
      <w:r w:rsidR="0041067A" w:rsidRPr="00B1093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 700,00 грн </w:t>
      </w:r>
      <w:r w:rsidR="0041067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(код рядка 2000);</w:t>
      </w:r>
    </w:p>
    <w:p w14:paraId="1902EADF" w14:textId="6F118363" w:rsidR="0041067A" w:rsidRPr="00B10930" w:rsidRDefault="0041067A" w:rsidP="00DF6394">
      <w:pPr>
        <w:pStyle w:val="a3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 інші операційні доходи, сума як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их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становить 8 061 870 500,00 грн (код рядк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а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2120);</w:t>
      </w:r>
    </w:p>
    <w:p w14:paraId="624E0839" w14:textId="0AC6521F" w:rsidR="0041067A" w:rsidRPr="00B10930" w:rsidRDefault="0041067A" w:rsidP="00DF6394">
      <w:pPr>
        <w:pStyle w:val="a3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 інші доходи (код рядка 2240).</w:t>
      </w:r>
    </w:p>
    <w:p w14:paraId="09FE57F4" w14:textId="0DEA5D23" w:rsidR="00E607E0" w:rsidRPr="00B10930" w:rsidRDefault="0026785A" w:rsidP="002C3BB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Сума інших операційних доходів (8 061 870 500,00 грн)</w:t>
      </w:r>
      <w:r w:rsidR="00DA145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є сумою цільового фінансування ДП «МЕДЗАКУПІВЛІ УКРАЇНИ» Міністерством охорони здоров’я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DA145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України, </w:t>
      </w:r>
      <w:r w:rsidR="008C31D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якому Підприємство підпорядковане та підзвітне, для здійснення статутних функцій. </w:t>
      </w:r>
      <w:r w:rsidR="00E401A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На думку</w:t>
      </w:r>
      <w:r w:rsidR="00E26859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Підприємств</w:t>
      </w:r>
      <w:r w:rsidR="00E401A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а</w:t>
      </w:r>
      <w:r w:rsidR="00A5320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="00E26859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під час розрахунку розміру штрафу Колегія помилково </w:t>
      </w:r>
      <w:r w:rsidR="00E2765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взяла суму доходу, яка складається з</w:t>
      </w:r>
      <w:r w:rsidR="003D314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чистого доходу від реалізації (товарів, робіт, послуг) та інших операційних доходів</w:t>
      </w:r>
      <w:r w:rsidR="00E6277D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, отриманих Підприємством як одержувачем бюджетних коштів. </w:t>
      </w:r>
    </w:p>
    <w:p w14:paraId="05DBBD60" w14:textId="7303B80A" w:rsidR="00E607E0" w:rsidRPr="00B10930" w:rsidRDefault="007D1E3A" w:rsidP="00D7407B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Враховуючи наведене</w:t>
      </w:r>
      <w:r w:rsidR="00A53208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вище</w:t>
      </w:r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, ДП «МЕДЗАКУПІВЛІ УКРАЇНИ» просить скасувати Рішення № 1-р/</w:t>
      </w:r>
      <w:proofErr w:type="spellStart"/>
      <w:r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="006E73F4" w:rsidRPr="00B109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, а справу передати на новий розгляд.</w:t>
      </w:r>
    </w:p>
    <w:p w14:paraId="1CD2C005" w14:textId="7D4C216F" w:rsidR="00361B77" w:rsidRPr="00B10930" w:rsidRDefault="00361B77" w:rsidP="00D7407B">
      <w:pPr>
        <w:widowControl w:val="0"/>
        <w:spacing w:after="120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8.</w:t>
      </w:r>
      <w:r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  <w:t>ПЕРЕВІРКА РІШЕННЯ</w:t>
      </w:r>
    </w:p>
    <w:p w14:paraId="1469CA31" w14:textId="4506BF35" w:rsidR="00F56979" w:rsidRPr="00B10930" w:rsidRDefault="00F56979" w:rsidP="00D7407B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 результатами аналізу </w:t>
      </w:r>
      <w:r w:rsidR="006E73F4"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Рішення № 1-р/</w:t>
      </w:r>
      <w:proofErr w:type="spellStart"/>
      <w:r w:rsidR="006E73F4"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тк</w:t>
      </w:r>
      <w:proofErr w:type="spellEnd"/>
      <w:r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матеріалів 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справи 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№ </w:t>
      </w:r>
      <w:r w:rsidR="006E73F4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145-26.13/202-21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="006D2032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(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далі</w:t>
      </w:r>
      <w:r w:rsidR="00821C5D"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– Справа)</w:t>
      </w:r>
      <w:r w:rsidRPr="00B109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r w:rsidRPr="00B109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встановлено таке.</w:t>
      </w:r>
    </w:p>
    <w:p w14:paraId="4CF0DA92" w14:textId="780E416F" w:rsidR="001477EB" w:rsidRPr="00B10930" w:rsidRDefault="007B20FB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 метою</w:t>
      </w:r>
      <w:r w:rsidR="005A55A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здійснення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контролю за дотриманням вимог законодавства про захист економічної конкуренції під час проведення ДП «МЕДЗАКУПІВЛІ УКРАЇНИ»</w:t>
      </w:r>
      <w:r w:rsidR="00E917A4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визначених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проц</w:t>
      </w:r>
      <w:r w:rsidR="00E917A4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едур закупівель лікарських засобів</w:t>
      </w:r>
      <w:r w:rsidR="00980A9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державним уповноваженим Комітету </w:t>
      </w:r>
      <w:r w:rsidR="001F33B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на підставі статей 3, 7, 16, 22 та 22</w:t>
      </w:r>
      <w:r w:rsidR="001F33B1" w:rsidRPr="00B1093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1</w:t>
      </w:r>
      <w:r w:rsidR="001F33B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A0E2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Закону України «Про Антимонопольний комітет України»</w:t>
      </w:r>
      <w:r w:rsidR="001F33B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80A9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на адресу Підприємства (</w:t>
      </w:r>
      <w:r w:rsidR="00CC3C10" w:rsidRPr="00B10930">
        <w:rPr>
          <w:rFonts w:ascii="Times New Roman" w:hAnsi="Times New Roman" w:cs="Times New Roman"/>
          <w:bCs/>
          <w:color w:val="000000" w:themeColor="text1"/>
          <w:szCs w:val="24"/>
        </w:rPr>
        <w:t>«інформація, доступ до якої обмежено»</w:t>
      </w:r>
      <w:r w:rsidR="00980A9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r w:rsidR="004C0B0D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направлено вимогу від 02.09.2021 № 145-29/03-12934 про надання інформації </w:t>
      </w:r>
      <w:r w:rsidR="006D2032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3C168D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(далі – Вимога)</w:t>
      </w:r>
      <w:r w:rsidR="00ED143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зокрема</w:t>
      </w:r>
      <w:r w:rsidR="0018442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ED143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8442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щодо виконання умов договорів, укладених за визначеними процедурами закупівель</w:t>
      </w:r>
      <w:r w:rsidR="002110A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5E0CFAC9" w14:textId="7FA0FEA4" w:rsidR="007E528C" w:rsidRPr="00B10930" w:rsidRDefault="00A858DC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ДП «МЕДЗАКУПІВЛІ УКРАЇНИ» отримало Вимогу </w:t>
      </w:r>
      <w:r w:rsidR="007E528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06.09.2021, що підтверджується матеріалами </w:t>
      </w:r>
      <w:r w:rsidR="001A0E2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Справи</w:t>
      </w:r>
      <w:r w:rsidR="007E528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2408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Отже</w:t>
      </w:r>
      <w:r w:rsidR="0038778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інформацію на Вимогу Підприємству необхідно було надати до 16.09.2021 (включно).</w:t>
      </w:r>
    </w:p>
    <w:p w14:paraId="4DE4EA40" w14:textId="57FF52A3" w:rsidR="001C7AC2" w:rsidRPr="00B10930" w:rsidRDefault="00392046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</w:t>
      </w:r>
      <w:r w:rsidR="0074782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матеріалів Справи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вбачається, що </w:t>
      </w:r>
      <w:r w:rsidR="0074782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Підприємство звер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нулося</w:t>
      </w:r>
      <w:r w:rsidR="0074782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 Комітету</w:t>
      </w:r>
      <w:r w:rsidR="007B420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листом </w:t>
      </w:r>
      <w:r w:rsidR="007B4209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  <w:t>від 07.09.2021 № 07/318-09/2021 (вх. № 8-03/12630 від 10.09.2021) про надання інформації</w:t>
      </w:r>
      <w:r w:rsidR="00D82E7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зокрема</w:t>
      </w:r>
      <w:r w:rsidR="001C7AC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щодо</w:t>
      </w:r>
      <w:r w:rsidR="00D82E7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підстав направлення Вимоги</w:t>
      </w:r>
      <w:r w:rsidR="007B420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</w:t>
      </w:r>
      <w:r w:rsidR="00D82E7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повноважень працівника Комітету щодо направлення Вимоги</w:t>
      </w:r>
      <w:r w:rsidR="001C7AC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6F2C1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597766B0" w14:textId="70B85DE7" w:rsidR="00054921" w:rsidRPr="00B10930" w:rsidRDefault="00426878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Комітет л</w:t>
      </w:r>
      <w:r w:rsidR="0005492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ист</w:t>
      </w:r>
      <w:r w:rsidR="006F2C1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ом</w:t>
      </w:r>
      <w:r w:rsidR="0005492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від</w:t>
      </w:r>
      <w:r w:rsidR="006F2C1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11.10.2021 № 145-29/03-14714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нада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ДП «МЕДЗАКУПІВЛІ УКРАЇНИ» 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відповідні 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по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яснення</w:t>
      </w:r>
      <w:r w:rsidR="00C22C4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щодо підстав направлення Вимоги, повноважень державного уповноваженого Комітету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C22C4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визначених законодавством про захист економічної конкуренції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22C4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 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витребува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</w:t>
      </w:r>
      <w:r w:rsidR="00F16A9F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3456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інформаці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DC188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згідно з </w:t>
      </w:r>
      <w:r w:rsidR="0022061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Вимогою.</w:t>
      </w:r>
    </w:p>
    <w:p w14:paraId="0991CE81" w14:textId="1A9CA668" w:rsidR="00104A61" w:rsidRPr="00B10930" w:rsidRDefault="007C231F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pacing w:val="-8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Листом </w:t>
      </w:r>
      <w:r w:rsidR="0039204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 21.10.2021 № 1172-10/2021 </w:t>
      </w:r>
      <w:r w:rsidR="0042687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39204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вх. № 8-03/14758 від 22.10.2021)</w:t>
      </w:r>
      <w:r w:rsidR="0042687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F57BA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  <w:t xml:space="preserve">ДП «МЕДЗАКУПІВЛІ УКРАЇНИ» </w:t>
      </w:r>
      <w:r w:rsidR="0042687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надало відповідь</w:t>
      </w:r>
      <w:r w:rsidR="009F57B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лист Комітету від 11.10.2021</w:t>
      </w:r>
      <w:r w:rsidR="009F57BA" w:rsidRPr="00B10930">
        <w:rPr>
          <w:rFonts w:ascii="Times New Roman" w:hAnsi="Times New Roman"/>
          <w:bCs/>
          <w:color w:val="000000" w:themeColor="text1"/>
          <w:spacing w:val="-8"/>
          <w:sz w:val="24"/>
          <w:szCs w:val="24"/>
        </w:rPr>
        <w:t xml:space="preserve"> </w:t>
      </w:r>
      <w:r w:rsidR="009F57BA" w:rsidRPr="00B10930">
        <w:rPr>
          <w:rFonts w:ascii="Times New Roman" w:hAnsi="Times New Roman"/>
          <w:bCs/>
          <w:color w:val="000000" w:themeColor="text1"/>
          <w:spacing w:val="-8"/>
          <w:sz w:val="24"/>
          <w:szCs w:val="24"/>
        </w:rPr>
        <w:br/>
        <w:t>№ 145-29/03-14714, п</w:t>
      </w:r>
      <w:r w:rsidR="001C7AC2" w:rsidRPr="00B10930">
        <w:rPr>
          <w:rFonts w:ascii="Times New Roman" w:hAnsi="Times New Roman"/>
          <w:bCs/>
          <w:color w:val="000000" w:themeColor="text1"/>
          <w:spacing w:val="-8"/>
          <w:sz w:val="24"/>
          <w:szCs w:val="24"/>
        </w:rPr>
        <w:t xml:space="preserve">роте </w:t>
      </w:r>
      <w:r w:rsidR="009F57BA" w:rsidRPr="00B10930">
        <w:rPr>
          <w:rFonts w:ascii="Times New Roman" w:hAnsi="Times New Roman"/>
          <w:bCs/>
          <w:color w:val="000000" w:themeColor="text1"/>
          <w:spacing w:val="-8"/>
          <w:sz w:val="24"/>
          <w:szCs w:val="24"/>
        </w:rPr>
        <w:t>лист Підприємства не містив інформації, яка запитувалася у Вимозі.</w:t>
      </w:r>
    </w:p>
    <w:p w14:paraId="6459EE04" w14:textId="33431F65" w:rsidR="009643FC" w:rsidRPr="00B10930" w:rsidRDefault="009643FC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Відповідно до пункту 13 статті 50 Закону України «Про захист економічної конкуренції» неподання інформації Антимонопольному комітету України, його територіальному відділенню у встановлені органами Антимонопольного комітету України, головою його територіального відділення чи нормативно-правовими актами строки</w:t>
      </w:r>
      <w:r w:rsidR="00010D0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є порушенням законодавства про захист економічної конкуренції.</w:t>
      </w:r>
    </w:p>
    <w:p w14:paraId="283B9F9A" w14:textId="6BF753F0" w:rsidR="003C168D" w:rsidRPr="00B10930" w:rsidRDefault="00104A61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Враховуючи зазначене</w:t>
      </w:r>
      <w:r w:rsidR="00D679E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0B11C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Колегія </w:t>
      </w:r>
      <w:r w:rsidR="0073143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обґрунтовано</w:t>
      </w:r>
      <w:r w:rsidR="00315D2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3143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визнала, що </w:t>
      </w:r>
      <w:r w:rsidR="00D679E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ДП «МЕДЗАКУПІВЛІ УКРАЇНИ»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73143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не подавши інформаці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ї</w:t>
      </w:r>
      <w:r w:rsidR="0073143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Вимогу у встановлений у Вимозі строк, </w:t>
      </w:r>
      <w:r w:rsidR="00A62A47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73143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вчинило порушення</w:t>
      </w:r>
      <w:r w:rsidR="00D679E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BF37E5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законодавства про захист економічної конкуренції</w:t>
      </w:r>
      <w:r w:rsidR="000B11C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A83C07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яке </w:t>
      </w:r>
      <w:r w:rsidR="000B11C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передбачен</w:t>
      </w:r>
      <w:r w:rsidR="00A83C07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0B11C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пунктом 13 статті 50 Закону України «Про захист економічної конкуренції»</w:t>
      </w:r>
      <w:r w:rsidR="00A83C07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0B11C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9BABCF7" w14:textId="10084D87" w:rsidR="00E05BE3" w:rsidRPr="00B10930" w:rsidRDefault="00E501D2" w:rsidP="00E05BE3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Такий висновок </w:t>
      </w:r>
      <w:r w:rsidR="00D3342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Колегії підтверджується рішенням Господарського суду міста Києва </w:t>
      </w:r>
      <w:r w:rsidR="00196E4C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D3342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від 19.12.2023 у справі № 910/7533/23</w:t>
      </w:r>
      <w:r w:rsidR="00FF73E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яке залишене без змін постановою Північного апеляційного господарського суду від 03.04.2024</w:t>
      </w:r>
      <w:r w:rsidR="005B707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зокрема, Господарський суд міста Києва у своєму рішенні зазначив про те, що </w:t>
      </w:r>
      <w:r w:rsidR="0082457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Підприємство було зобов’язано надати запитувану у Вимозі інформацію у встановлені строки</w:t>
      </w:r>
      <w:r w:rsidR="00080980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а не подавши таку інформацію Підприємство вчинило порушення, передбачене пунктом 13 статті 50 Закону України «Про захист економічної конкуренції». </w:t>
      </w:r>
    </w:p>
    <w:p w14:paraId="2992EDD0" w14:textId="61AF412B" w:rsidR="00A81186" w:rsidRPr="00B10930" w:rsidRDefault="00A81186" w:rsidP="00A81186">
      <w:pPr>
        <w:pStyle w:val="a3"/>
        <w:widowControl w:val="0"/>
        <w:shd w:val="clear" w:color="auto" w:fill="FFFFFF"/>
        <w:spacing w:after="120"/>
        <w:ind w:left="567" w:right="23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>Перевірка</w:t>
      </w:r>
      <w:r w:rsidR="00BC6A3B"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обґрунтованості накладених штрафних санкцій</w:t>
      </w:r>
    </w:p>
    <w:p w14:paraId="08804B0D" w14:textId="0A5C031F" w:rsidR="00636634" w:rsidRPr="00B10930" w:rsidRDefault="00636634" w:rsidP="00E05BE3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Відповідно до частини другої </w:t>
      </w:r>
      <w:r w:rsidR="00B505C4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статті 52 Закону України «Про захист економічної конкуренції» за вчинене порушення, передбаченого пунктом 13 статті 50 Закону України «Про захист економічної конкуренції», накладається штраф у розмірі до одного відсотка доходу (виручки) </w:t>
      </w:r>
      <w:r w:rsidR="008B4AF4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суб’єкта господарювання від реалізації продукції (товарів, робіт, послуг) за останній звітн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</w:t>
      </w:r>
      <w:r w:rsidR="008B4AF4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й рік, що передував року, в якому накладається штраф.</w:t>
      </w:r>
    </w:p>
    <w:p w14:paraId="5EDD3270" w14:textId="0171C7F3" w:rsidR="008B4AF4" w:rsidRPr="00B10930" w:rsidRDefault="00C77C71" w:rsidP="00E05BE3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Відповідно до податкової декларації з податку на прибуток за 2022 рік</w:t>
      </w:r>
      <w:r w:rsidR="00A6531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копію якої було надано Центральним міжрегіональним управлінням Державної податкової с</w:t>
      </w:r>
      <w:r w:rsidR="00862D5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лужби (лист від 03.04.2023 № 641/5/31-00-04-03-04-05, міститься в матеріалах Справи)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дохід</w:t>
      </w:r>
      <w:r w:rsidR="00862D53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862D53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  <w:t>ДП «МЕДЗАКУПІВЛІ УКРАЇНИ»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від будь-якої діяльності (за вирахуванням непрямих податків)</w:t>
      </w:r>
      <w:r w:rsidR="00A6531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 визначений за правилами бухгалтерського обліку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A6531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33760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становить 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733760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8 064 940 170 грн.</w:t>
      </w:r>
    </w:p>
    <w:p w14:paraId="597642A2" w14:textId="77777777" w:rsidR="00733760" w:rsidRPr="00B10930" w:rsidRDefault="00733760" w:rsidP="00733760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 вчинене порушення законодавства про захист економічної конкуренції на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  <w:t>ДП «МЕДЗАКУПІВЛІ УКРАЇНИ» накладено штраф у розмірі 1 000 000,00 грн.</w:t>
      </w:r>
    </w:p>
    <w:p w14:paraId="0A7541BA" w14:textId="4F188D0F" w:rsidR="00733760" w:rsidRPr="00B10930" w:rsidRDefault="004C482A" w:rsidP="00E05BE3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Отже, Рішення</w:t>
      </w:r>
      <w:r w:rsidR="00E7188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м № 1-р/</w:t>
      </w:r>
      <w:proofErr w:type="spellStart"/>
      <w:r w:rsidR="00E7188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тк</w:t>
      </w:r>
      <w:proofErr w:type="spellEnd"/>
      <w:r w:rsidR="00E7188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ДП «МЕДЗАКУПІВЛІ УКРАЇНИ» накладено штраф </w:t>
      </w:r>
      <w:r w:rsidR="00A53208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="00E7188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межах</w:t>
      </w:r>
      <w:r w:rsidR="00F11141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E7188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встановлених статтею 52 Закону України «Про захист економічної конкуренції», що також підтверджено </w:t>
      </w:r>
      <w:r w:rsidR="00CF416D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рішеннями </w:t>
      </w:r>
      <w:r w:rsidR="00013B35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суд</w:t>
      </w:r>
      <w:r w:rsidR="00CF416D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ів за результатами розгляду справи </w:t>
      </w:r>
      <w:r w:rsidR="00CF416D" w:rsidRPr="00B10930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013B35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№ 910/7533/23.</w:t>
      </w:r>
    </w:p>
    <w:p w14:paraId="2C7F57AF" w14:textId="0323FE93" w:rsidR="00E05BE3" w:rsidRPr="00B10930" w:rsidRDefault="00E05BE3" w:rsidP="00E05BE3">
      <w:pPr>
        <w:pStyle w:val="a3"/>
        <w:widowControl w:val="0"/>
        <w:shd w:val="clear" w:color="auto" w:fill="FFFFFF"/>
        <w:tabs>
          <w:tab w:val="left" w:pos="567"/>
        </w:tabs>
        <w:spacing w:after="120"/>
        <w:ind w:left="0" w:right="23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>9.</w:t>
      </w:r>
      <w:r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>СПРОСТУВАННЯ ДОВОДІВ ЗАЯВНИКА</w:t>
      </w:r>
    </w:p>
    <w:p w14:paraId="2AD91671" w14:textId="7BE853A2" w:rsidR="00AC3EB3" w:rsidRPr="00B10930" w:rsidRDefault="004A1925" w:rsidP="004A1925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Щодо т</w:t>
      </w:r>
      <w:r w:rsidR="00AC3EB3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вердження З</w:t>
      </w:r>
      <w:r w:rsidR="00E401A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аявник</w:t>
      </w:r>
      <w:r w:rsidR="00AC3EB3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 про порушення Колегією вимог статті</w:t>
      </w:r>
      <w:r w:rsidR="00E401A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C3EB3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52 Закону України «Про захист економічної конкуренції» 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під час визначення розміру штрафу повідомляється таке.</w:t>
      </w:r>
    </w:p>
    <w:p w14:paraId="4DAD3DAA" w14:textId="6A1E68B9" w:rsidR="00B63EE6" w:rsidRPr="00B10930" w:rsidRDefault="004A1925" w:rsidP="004A1925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Питання </w:t>
      </w:r>
      <w:r w:rsidR="00137DD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дотримання Колегією вимог </w:t>
      </w:r>
      <w:r w:rsidR="00B63EE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статті 52 Закону України «Про захист економічної конкуренції» під час визначення розміру штрафу було предметом розгляду в судовій </w:t>
      </w:r>
      <w:r w:rsidR="00B63EE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справі </w:t>
      </w:r>
      <w:r w:rsidR="00B63EE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№ 910/7533/23</w:t>
      </w:r>
      <w:r w:rsidR="008015C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зокрема, </w:t>
      </w:r>
      <w:r w:rsidR="00FD34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Північн</w:t>
      </w:r>
      <w:r w:rsidR="008E7DD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ий</w:t>
      </w:r>
      <w:r w:rsidR="00FD34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апеляційн</w:t>
      </w:r>
      <w:r w:rsidR="008E7DD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ий</w:t>
      </w:r>
      <w:r w:rsidR="00FD34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господарськ</w:t>
      </w:r>
      <w:r w:rsidR="008E7DD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ий</w:t>
      </w:r>
      <w:r w:rsidR="00FD34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суд</w:t>
      </w:r>
      <w:r w:rsidR="008E7DD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 постанові</w:t>
      </w:r>
      <w:r w:rsidR="00FD347B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від 03.04.2024 </w:t>
      </w:r>
      <w:r w:rsidR="008015C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зазнач</w:t>
      </w:r>
      <w:r w:rsidR="008E7DD9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ив</w:t>
      </w:r>
      <w:r w:rsidR="008015C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8015CC" w:rsidRPr="00B10930">
        <w:rPr>
          <w:rFonts w:ascii="Times New Roman" w:hAnsi="Times New Roman"/>
          <w:bCs/>
          <w:color w:val="000000" w:themeColor="text1"/>
          <w:spacing w:val="-4"/>
          <w:sz w:val="24"/>
          <w:szCs w:val="24"/>
        </w:rPr>
        <w:t>«</w:t>
      </w:r>
      <w:r w:rsidR="00B14242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 xml:space="preserve">Застосований до </w:t>
      </w:r>
      <w:r w:rsidR="00FD347B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 xml:space="preserve">Підприємства </w:t>
      </w:r>
      <w:r w:rsidR="00B14242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 xml:space="preserve">штраф становить до 1 % доходу (виручки) від реалізації продукції (товарів, робіт, послуг) позивача за 2022 рік, а саме складає 0,01 % </w:t>
      </w:r>
      <w:r w:rsidR="00FA4A2D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 xml:space="preserve">від </w:t>
      </w:r>
      <w:r w:rsidR="00B14242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 xml:space="preserve">доходу (виручки) </w:t>
      </w:r>
      <w:r w:rsidR="00FA4A2D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>Підприємства, що відповідає приписам Закону</w:t>
      </w:r>
      <w:r w:rsidR="00B14242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>»</w:t>
      </w:r>
      <w:r w:rsidR="00BE631B" w:rsidRPr="00B10930">
        <w:rPr>
          <w:rFonts w:ascii="Times New Roman" w:hAnsi="Times New Roman"/>
          <w:bCs/>
          <w:i/>
          <w:color w:val="000000" w:themeColor="text1"/>
          <w:spacing w:val="-4"/>
          <w:sz w:val="24"/>
          <w:szCs w:val="24"/>
        </w:rPr>
        <w:t>.</w:t>
      </w:r>
      <w:r w:rsidR="00B14242" w:rsidRPr="00B10930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</w:t>
      </w:r>
      <w:r w:rsidR="008015CC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C6317CD" w14:textId="4D819E98" w:rsidR="0061163A" w:rsidRPr="00B10930" w:rsidRDefault="00DA71E8" w:rsidP="004A1925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Отже </w:t>
      </w:r>
      <w:r w:rsidR="00AE64B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суди підтвердили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правомірність </w:t>
      </w:r>
      <w:r w:rsidR="00AE64B2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д</w:t>
      </w:r>
      <w:r w:rsidR="00DA7A5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ій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Колегі</w:t>
      </w:r>
      <w:r w:rsidR="00DA7A5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ї під час визначення розміру штрафу та прийняття Рішення № 1-р/</w:t>
      </w:r>
      <w:proofErr w:type="spellStart"/>
      <w:r w:rsidR="00DA7A5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тк</w:t>
      </w:r>
      <w:proofErr w:type="spellEnd"/>
      <w:r w:rsidR="00DA7A5A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00ADFF1F" w14:textId="7FC2BECB" w:rsidR="006E1A4B" w:rsidRPr="00B10930" w:rsidRDefault="00802EE4" w:rsidP="00802EE4">
      <w:pPr>
        <w:widowControl w:val="0"/>
        <w:shd w:val="clear" w:color="auto" w:fill="FFFFFF"/>
        <w:spacing w:after="120"/>
        <w:ind w:right="23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>10.</w:t>
      </w:r>
      <w:r w:rsidRPr="00B10930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 xml:space="preserve">ПОДАННЯ ПРО ПЕРЕВІРКУ </w:t>
      </w:r>
      <w:bookmarkStart w:id="5" w:name="_GoBack"/>
      <w:bookmarkEnd w:id="5"/>
    </w:p>
    <w:p w14:paraId="41793B66" w14:textId="0046E1A6" w:rsidR="005A5ADD" w:rsidRPr="00B10930" w:rsidRDefault="00A81186" w:rsidP="00B37834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bookmarkStart w:id="6" w:name="_Hlk180509612"/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ДП «МЕДЗАКУПІВЛІ УКРАЇНИ» н</w:t>
      </w:r>
      <w:r w:rsidR="000513C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 Подання про перевірку, яке було </w:t>
      </w:r>
      <w:r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ним </w:t>
      </w:r>
      <w:r w:rsidR="000513C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отримано </w:t>
      </w:r>
      <w:r w:rsidR="005A5ADD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09.08.2024</w:t>
      </w:r>
      <w:r w:rsidR="000513C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bookmarkEnd w:id="6"/>
      <w:r w:rsidR="000513C6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з</w:t>
      </w:r>
      <w:r w:rsidR="00376C4E" w:rsidRPr="00B10930">
        <w:rPr>
          <w:rFonts w:ascii="Times New Roman" w:hAnsi="Times New Roman"/>
          <w:bCs/>
          <w:color w:val="000000" w:themeColor="text1"/>
          <w:sz w:val="24"/>
          <w:szCs w:val="24"/>
        </w:rPr>
        <w:t>аперечень та/або зауважень не надало.</w:t>
      </w:r>
    </w:p>
    <w:p w14:paraId="4E7CF00E" w14:textId="4945B9D4" w:rsidR="00195204" w:rsidRPr="00B10930" w:rsidRDefault="00E05BE3" w:rsidP="00A53208">
      <w:pPr>
        <w:pStyle w:val="a3"/>
        <w:widowControl w:val="0"/>
        <w:shd w:val="clear" w:color="auto" w:fill="FFFFFF"/>
        <w:tabs>
          <w:tab w:val="left" w:pos="567"/>
        </w:tabs>
        <w:spacing w:line="276" w:lineRule="auto"/>
        <w:ind w:left="0" w:right="23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1</w:t>
      </w:r>
      <w:r w:rsidR="00802EE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1</w:t>
      </w:r>
      <w:r w:rsidR="0019520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.</w:t>
      </w:r>
      <w:r w:rsidR="0019520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  <w:t>ПІДС</w:t>
      </w:r>
      <w:r w:rsidR="00ED168E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Т</w:t>
      </w:r>
      <w:r w:rsidR="0019520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АВИ ДЛЯ </w:t>
      </w:r>
      <w:r w:rsidR="00B94F7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ЗАЛИШЕННЯ</w:t>
      </w:r>
      <w:r w:rsidR="0019520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РІШЕННЯ</w:t>
      </w:r>
      <w:r w:rsidR="00B94F74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БЕЗ ЗМІН</w:t>
      </w:r>
    </w:p>
    <w:p w14:paraId="38AE1943" w14:textId="77777777" w:rsidR="00195204" w:rsidRPr="00B10930" w:rsidRDefault="00195204" w:rsidP="00A1641A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є:</w:t>
      </w:r>
    </w:p>
    <w:p w14:paraId="02EAFED5" w14:textId="2E351B65" w:rsidR="003574F4" w:rsidRPr="00B10930" w:rsidRDefault="003574F4" w:rsidP="003574F4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</w:rPr>
      </w:pPr>
      <w:r w:rsidRPr="00B10930">
        <w:rPr>
          <w:color w:val="000000" w:themeColor="text1"/>
        </w:rPr>
        <w:t>- неповне з’ясування обставин, які мають значення для справи;</w:t>
      </w:r>
    </w:p>
    <w:p w14:paraId="0C3ED3A0" w14:textId="3CF3367A" w:rsidR="003574F4" w:rsidRPr="00B10930" w:rsidRDefault="003574F4" w:rsidP="003574F4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" w:name="n573"/>
      <w:bookmarkEnd w:id="7"/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- недоведення обставин, які мають значення для справи і які визнано встановленими;</w:t>
      </w:r>
    </w:p>
    <w:p w14:paraId="614954FA" w14:textId="4630CE5D" w:rsidR="003574F4" w:rsidRPr="00B10930" w:rsidRDefault="003574F4" w:rsidP="0054248F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" w:name="n574"/>
      <w:bookmarkEnd w:id="8"/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- невідповідність висновків, викладених у рішенні, обставинам справи;</w:t>
      </w:r>
    </w:p>
    <w:p w14:paraId="4F82E8BC" w14:textId="42B35F18" w:rsidR="00195204" w:rsidRPr="00B10930" w:rsidRDefault="003574F4" w:rsidP="0054248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bookmarkStart w:id="9" w:name="n575"/>
      <w:bookmarkEnd w:id="9"/>
      <w:r w:rsidRPr="00B10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заборона концентрації, узгоджених дій відповідно до Закону України </w:t>
      </w:r>
      <w:r w:rsidR="0019520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«Про санкції»;</w:t>
      </w:r>
    </w:p>
    <w:p w14:paraId="6C27485D" w14:textId="7653E346" w:rsidR="00195204" w:rsidRPr="00B10930" w:rsidRDefault="003574F4" w:rsidP="0054248F">
      <w:pPr>
        <w:pStyle w:val="a3"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</w:t>
      </w:r>
      <w:r w:rsidR="0019520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195204" w:rsidRPr="00B10930">
        <w:rPr>
          <w:rFonts w:ascii="Times New Roman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порушення або неправильне застосування норм матеріального чи процесуального права.</w:t>
      </w:r>
    </w:p>
    <w:p w14:paraId="7754F0BD" w14:textId="2BA47F17" w:rsidR="00871082" w:rsidRPr="00B10930" w:rsidRDefault="00A1641A" w:rsidP="0054248F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За результатами </w:t>
      </w:r>
      <w:r w:rsidR="008D1D6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перевірки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Рішення № 1-р/</w:t>
      </w:r>
      <w:proofErr w:type="spellStart"/>
      <w:r w:rsidR="00132E6C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к</w:t>
      </w:r>
      <w:proofErr w:type="spellEnd"/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та </w:t>
      </w:r>
      <w:r w:rsidR="008D1D6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аналізу 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матеріалів Справи вст</w:t>
      </w:r>
      <w:r w:rsidR="000F4C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а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новлено, </w:t>
      </w:r>
      <w:r w:rsidR="00132E6C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що</w:t>
      </w:r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54248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під час прийняття вказаного рішення </w:t>
      </w:r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Колегіє</w:t>
      </w:r>
      <w:r w:rsidR="0054248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ю</w:t>
      </w:r>
      <w:r w:rsidR="00132E6C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було повною мірою з’ясовано та доведено обставини, які мають значення для Справи, висновки, викладені в Рішенні </w:t>
      </w:r>
      <w:r w:rsidR="00BE631B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№ </w:t>
      </w:r>
      <w:r w:rsidR="0054248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1</w:t>
      </w:r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-р/</w:t>
      </w:r>
      <w:proofErr w:type="spellStart"/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="0087108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 відповідають обставинам Справи, норми матеріального та процесуального права застосовані правильно.</w:t>
      </w:r>
    </w:p>
    <w:p w14:paraId="5F54F41F" w14:textId="28DF3C7A" w:rsidR="00683337" w:rsidRPr="00B10930" w:rsidRDefault="00A07E0A" w:rsidP="00CF4300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</w:t>
      </w:r>
      <w:r w:rsidR="00733F9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равомірність Рішення</w:t>
      </w:r>
      <w:r w:rsidR="007335E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№ 1-р/</w:t>
      </w:r>
      <w:proofErr w:type="spellStart"/>
      <w:r w:rsidR="007335E2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="00733F94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підтверджено рішенням </w:t>
      </w:r>
      <w:r w:rsidR="0068333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Господарського суду міста Києва від 19.12.2023 у справі № 910/7533/23</w:t>
      </w:r>
      <w:r w:rsidR="003D2A15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="0068333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залишеним без змін </w:t>
      </w:r>
      <w:r w:rsidR="00126541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постановою </w:t>
      </w:r>
      <w:r w:rsidR="0068333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Північного апеляційного господарського суду від 03.04.202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4</w:t>
      </w:r>
      <w:r w:rsidR="0068333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у справі № 910/7533/23.</w:t>
      </w:r>
    </w:p>
    <w:p w14:paraId="2E68CF6B" w14:textId="5E08114F" w:rsidR="00405C35" w:rsidRPr="00B10930" w:rsidRDefault="00405C35" w:rsidP="0054248F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567" w:hanging="567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Отже, </w:t>
      </w:r>
      <w:r w:rsidR="00023F17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підстави для скасування Рішення № 1-р/</w:t>
      </w:r>
      <w:proofErr w:type="spellStart"/>
      <w:r w:rsidR="00023F17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тк</w:t>
      </w:r>
      <w:proofErr w:type="spellEnd"/>
      <w:r w:rsidR="00023F17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передбачені </w:t>
      </w:r>
      <w:r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статт</w:t>
      </w:r>
      <w:r w:rsidR="00023F17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ею</w:t>
      </w:r>
      <w:r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59 Закону України «Про захист економічної конкуренції», </w:t>
      </w:r>
      <w:r w:rsidR="00023F17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відсутні.</w:t>
      </w:r>
      <w:r w:rsidR="008C6BAA" w:rsidRPr="00B1093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14:paraId="5F08CAA8" w14:textId="19D1BC4F" w:rsidR="009715BC" w:rsidRPr="00B10930" w:rsidRDefault="009715BC" w:rsidP="009715BC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Враховуючи викладене, керуючись статтею 7 Закону України «Про Антимонопольний комітет України», статтею 57 Закону України «Про захист економічної конкуренції» 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та пунктом 10 розділу IХ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року № 5, зареєстрованим у Міністерстві юстиції України 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  <w:t>6 травня 1994 року за № 90/299 (у редакції розпорядження Антимонопольного комітету України від 29 червня 1998 року № 169-р) (зі змінами), Антимонопольний комітет України</w:t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14:paraId="7C61A60D" w14:textId="78E12CC9" w:rsidR="00405C35" w:rsidRPr="00B10930" w:rsidRDefault="0057533F" w:rsidP="00A53208">
      <w:pPr>
        <w:pStyle w:val="a3"/>
        <w:widowControl w:val="0"/>
        <w:spacing w:before="360" w:after="12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ПОСТАНОВИВ</w:t>
      </w:r>
      <w:r w:rsidR="00405C35" w:rsidRPr="00B109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:</w:t>
      </w:r>
    </w:p>
    <w:p w14:paraId="492C310A" w14:textId="53A74F3C" w:rsidR="00405C35" w:rsidRPr="00B10930" w:rsidRDefault="00731961" w:rsidP="0057533F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Рішення </w:t>
      </w:r>
      <w:r w:rsidR="003E66F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Тимчасової </w:t>
      </w:r>
      <w:r w:rsidR="00D33A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адміністративної колегії Антимонопольного комітету України </w:t>
      </w:r>
      <w:r w:rsidR="003E66F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="00D33A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від 11.04.202</w:t>
      </w:r>
      <w:r w:rsidR="003E66F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3</w:t>
      </w:r>
      <w:r w:rsidR="00D33A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№ 1-р/</w:t>
      </w:r>
      <w:proofErr w:type="spellStart"/>
      <w:r w:rsidR="00023F17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</w:t>
      </w:r>
      <w:r w:rsidR="00D33A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к</w:t>
      </w:r>
      <w:proofErr w:type="spellEnd"/>
      <w:r w:rsidR="00D33A58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у справі № </w:t>
      </w:r>
      <w:r w:rsidR="00DA3AD1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145-26.13/202-21</w:t>
      </w:r>
      <w:r w:rsidR="00C712EA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DA3AD1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залишити без змін.</w:t>
      </w:r>
    </w:p>
    <w:p w14:paraId="2A4F580C" w14:textId="5C160B31" w:rsidR="0057533F" w:rsidRPr="00B10930" w:rsidRDefault="0057533F" w:rsidP="0057533F">
      <w:pPr>
        <w:spacing w:before="120" w:after="120" w:line="240" w:lineRule="auto"/>
        <w:ind w:firstLine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Рішення може бути оскаржене до Господарського суду м. Києва у двомісячний строк  з дня його одержання.  </w:t>
      </w:r>
    </w:p>
    <w:p w14:paraId="3F7E48D9" w14:textId="77777777" w:rsidR="002B6F93" w:rsidRPr="00B10930" w:rsidRDefault="002B6F93" w:rsidP="00D7407B">
      <w:pPr>
        <w:widowControl w:val="0"/>
        <w:spacing w:after="12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</w:p>
    <w:p w14:paraId="20854EDB" w14:textId="6BB15C2B" w:rsidR="007A6B96" w:rsidRPr="00B10930" w:rsidRDefault="00F31EF0" w:rsidP="00054897">
      <w:pPr>
        <w:widowControl w:val="0"/>
        <w:spacing w:after="0" w:line="240" w:lineRule="auto"/>
        <w:rPr>
          <w:color w:val="000000" w:themeColor="text1"/>
        </w:rPr>
      </w:pP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Голова Комітету</w:t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B277EF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="006E46E6"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ab/>
      </w:r>
      <w:r w:rsidRPr="00B1093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Павло КИРИЛЕНКО</w:t>
      </w:r>
    </w:p>
    <w:sectPr w:rsidR="007A6B96" w:rsidRPr="00B10930" w:rsidSect="002A5FC5">
      <w:headerReference w:type="default" r:id="rId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5F00C" w14:textId="77777777" w:rsidR="00951EB3" w:rsidRDefault="00951EB3" w:rsidP="0008023C">
      <w:pPr>
        <w:spacing w:after="0" w:line="240" w:lineRule="auto"/>
      </w:pPr>
      <w:r>
        <w:separator/>
      </w:r>
    </w:p>
  </w:endnote>
  <w:endnote w:type="continuationSeparator" w:id="0">
    <w:p w14:paraId="7FBB6AF9" w14:textId="77777777" w:rsidR="00951EB3" w:rsidRDefault="00951EB3" w:rsidP="0008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E4F7" w14:textId="77777777" w:rsidR="00951EB3" w:rsidRDefault="00951EB3" w:rsidP="0008023C">
      <w:pPr>
        <w:spacing w:after="0" w:line="240" w:lineRule="auto"/>
      </w:pPr>
      <w:r>
        <w:separator/>
      </w:r>
    </w:p>
  </w:footnote>
  <w:footnote w:type="continuationSeparator" w:id="0">
    <w:p w14:paraId="3CF34D7A" w14:textId="77777777" w:rsidR="00951EB3" w:rsidRDefault="00951EB3" w:rsidP="0008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4820249"/>
      <w:docPartObj>
        <w:docPartGallery w:val="Page Numbers (Top of Page)"/>
        <w:docPartUnique/>
      </w:docPartObj>
    </w:sdtPr>
    <w:sdtEndPr/>
    <w:sdtContent>
      <w:p w14:paraId="2F27CECA" w14:textId="7C42F6C8" w:rsidR="0008023C" w:rsidRDefault="0008023C">
        <w:pPr>
          <w:pStyle w:val="a4"/>
          <w:jc w:val="center"/>
        </w:pPr>
        <w:r w:rsidRPr="0008023C">
          <w:rPr>
            <w:rFonts w:ascii="Times New Roman" w:hAnsi="Times New Roman" w:cs="Times New Roman"/>
          </w:rPr>
          <w:fldChar w:fldCharType="begin"/>
        </w:r>
        <w:r w:rsidRPr="0008023C">
          <w:rPr>
            <w:rFonts w:ascii="Times New Roman" w:hAnsi="Times New Roman" w:cs="Times New Roman"/>
          </w:rPr>
          <w:instrText>PAGE   \* MERGEFORMAT</w:instrText>
        </w:r>
        <w:r w:rsidRPr="0008023C">
          <w:rPr>
            <w:rFonts w:ascii="Times New Roman" w:hAnsi="Times New Roman" w:cs="Times New Roman"/>
          </w:rPr>
          <w:fldChar w:fldCharType="separate"/>
        </w:r>
        <w:r w:rsidRPr="0008023C">
          <w:rPr>
            <w:rFonts w:ascii="Times New Roman" w:hAnsi="Times New Roman" w:cs="Times New Roman"/>
          </w:rPr>
          <w:t>2</w:t>
        </w:r>
        <w:r w:rsidRPr="0008023C">
          <w:rPr>
            <w:rFonts w:ascii="Times New Roman" w:hAnsi="Times New Roman" w:cs="Times New Roman"/>
          </w:rPr>
          <w:fldChar w:fldCharType="end"/>
        </w:r>
      </w:p>
    </w:sdtContent>
  </w:sdt>
  <w:p w14:paraId="117685DD" w14:textId="77777777" w:rsidR="0008023C" w:rsidRDefault="000802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E7E09"/>
    <w:multiLevelType w:val="hybridMultilevel"/>
    <w:tmpl w:val="4B54613E"/>
    <w:lvl w:ilvl="0" w:tplc="04A21392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E273389"/>
    <w:multiLevelType w:val="hybridMultilevel"/>
    <w:tmpl w:val="748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2430"/>
    <w:multiLevelType w:val="hybridMultilevel"/>
    <w:tmpl w:val="1F3CC4A0"/>
    <w:lvl w:ilvl="0" w:tplc="100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7528B7"/>
    <w:multiLevelType w:val="hybridMultilevel"/>
    <w:tmpl w:val="3738E3C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1B0C"/>
    <w:multiLevelType w:val="hybridMultilevel"/>
    <w:tmpl w:val="EDCEACB8"/>
    <w:lvl w:ilvl="0" w:tplc="C45A4406">
      <w:start w:val="8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0F">
      <w:start w:val="1"/>
      <w:numFmt w:val="decimal"/>
      <w:lvlText w:val="%3."/>
      <w:lvlJc w:val="lef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2656"/>
    <w:multiLevelType w:val="hybridMultilevel"/>
    <w:tmpl w:val="1D08168A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6326"/>
    <w:multiLevelType w:val="hybridMultilevel"/>
    <w:tmpl w:val="C7188F1C"/>
    <w:lvl w:ilvl="0" w:tplc="72C0BC50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2E7DCD"/>
    <w:multiLevelType w:val="hybridMultilevel"/>
    <w:tmpl w:val="0DE45462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F5764"/>
    <w:multiLevelType w:val="hybridMultilevel"/>
    <w:tmpl w:val="424E0DD8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0666E"/>
    <w:multiLevelType w:val="hybridMultilevel"/>
    <w:tmpl w:val="D92024FC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24A8A"/>
    <w:multiLevelType w:val="hybridMultilevel"/>
    <w:tmpl w:val="CD9C89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925DC"/>
    <w:multiLevelType w:val="hybridMultilevel"/>
    <w:tmpl w:val="AF780746"/>
    <w:lvl w:ilvl="0" w:tplc="4F96B0E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2B0ED08">
      <w:numFmt w:val="bullet"/>
      <w:lvlText w:val="-"/>
      <w:lvlJc w:val="left"/>
      <w:pPr>
        <w:ind w:left="2689" w:hanging="360"/>
      </w:pPr>
      <w:rPr>
        <w:rFonts w:ascii="Times New Roman" w:eastAsia="Calibri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04B38FB"/>
    <w:multiLevelType w:val="hybridMultilevel"/>
    <w:tmpl w:val="783C21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B502B"/>
    <w:multiLevelType w:val="hybridMultilevel"/>
    <w:tmpl w:val="25406DD6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42355"/>
    <w:multiLevelType w:val="multilevel"/>
    <w:tmpl w:val="67F824BC"/>
    <w:lvl w:ilvl="0">
      <w:start w:val="4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A433A4C"/>
    <w:multiLevelType w:val="hybridMultilevel"/>
    <w:tmpl w:val="8510526A"/>
    <w:lvl w:ilvl="0" w:tplc="FC92F286">
      <w:start w:val="1"/>
      <w:numFmt w:val="bullet"/>
      <w:lvlText w:val="⁃"/>
      <w:lvlJc w:val="left"/>
      <w:pPr>
        <w:ind w:left="1287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0F45E89"/>
    <w:multiLevelType w:val="hybridMultilevel"/>
    <w:tmpl w:val="0D525B9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29576FD"/>
    <w:multiLevelType w:val="hybridMultilevel"/>
    <w:tmpl w:val="5AE809F2"/>
    <w:lvl w:ilvl="0" w:tplc="EAFED692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5A4E3415"/>
    <w:multiLevelType w:val="hybridMultilevel"/>
    <w:tmpl w:val="F6E204A6"/>
    <w:lvl w:ilvl="0" w:tplc="C1209CEC">
      <w:start w:val="1"/>
      <w:numFmt w:val="lowerLetter"/>
      <w:lvlText w:val="%1."/>
      <w:lvlJc w:val="left"/>
      <w:pPr>
        <w:ind w:left="7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82A5739"/>
    <w:multiLevelType w:val="hybridMultilevel"/>
    <w:tmpl w:val="8CC8490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72011"/>
    <w:multiLevelType w:val="hybridMultilevel"/>
    <w:tmpl w:val="E92C0080"/>
    <w:lvl w:ilvl="0" w:tplc="1000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784674D8"/>
    <w:multiLevelType w:val="hybridMultilevel"/>
    <w:tmpl w:val="AF62B070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81D94"/>
    <w:multiLevelType w:val="hybridMultilevel"/>
    <w:tmpl w:val="050E6DB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73F89"/>
    <w:multiLevelType w:val="hybridMultilevel"/>
    <w:tmpl w:val="4178FB34"/>
    <w:lvl w:ilvl="0" w:tplc="FC92F286">
      <w:start w:val="1"/>
      <w:numFmt w:val="bullet"/>
      <w:lvlText w:val="⁃"/>
      <w:lvlJc w:val="left"/>
      <w:pPr>
        <w:ind w:left="1146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10"/>
  </w:num>
  <w:num w:numId="5">
    <w:abstractNumId w:val="5"/>
  </w:num>
  <w:num w:numId="6">
    <w:abstractNumId w:val="1"/>
  </w:num>
  <w:num w:numId="7">
    <w:abstractNumId w:val="0"/>
  </w:num>
  <w:num w:numId="8">
    <w:abstractNumId w:val="21"/>
  </w:num>
  <w:num w:numId="9">
    <w:abstractNumId w:val="9"/>
  </w:num>
  <w:num w:numId="10">
    <w:abstractNumId w:val="6"/>
  </w:num>
  <w:num w:numId="11">
    <w:abstractNumId w:val="8"/>
  </w:num>
  <w:num w:numId="12">
    <w:abstractNumId w:val="3"/>
  </w:num>
  <w:num w:numId="13">
    <w:abstractNumId w:val="13"/>
  </w:num>
  <w:num w:numId="14">
    <w:abstractNumId w:val="22"/>
  </w:num>
  <w:num w:numId="15">
    <w:abstractNumId w:val="12"/>
  </w:num>
  <w:num w:numId="16">
    <w:abstractNumId w:val="18"/>
  </w:num>
  <w:num w:numId="17">
    <w:abstractNumId w:val="23"/>
  </w:num>
  <w:num w:numId="18">
    <w:abstractNumId w:val="15"/>
  </w:num>
  <w:num w:numId="19">
    <w:abstractNumId w:val="17"/>
  </w:num>
  <w:num w:numId="20">
    <w:abstractNumId w:val="11"/>
  </w:num>
  <w:num w:numId="21">
    <w:abstractNumId w:val="2"/>
  </w:num>
  <w:num w:numId="22">
    <w:abstractNumId w:val="20"/>
  </w:num>
  <w:num w:numId="23">
    <w:abstractNumId w:val="16"/>
  </w:num>
  <w:num w:numId="24">
    <w:abstractNumId w:val="4"/>
  </w:num>
  <w:num w:numId="25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65"/>
    <w:rsid w:val="00000329"/>
    <w:rsid w:val="00002B1C"/>
    <w:rsid w:val="00003291"/>
    <w:rsid w:val="000048D5"/>
    <w:rsid w:val="0000677F"/>
    <w:rsid w:val="00010D01"/>
    <w:rsid w:val="000138E8"/>
    <w:rsid w:val="00013B35"/>
    <w:rsid w:val="000210CA"/>
    <w:rsid w:val="000219B2"/>
    <w:rsid w:val="000225A0"/>
    <w:rsid w:val="00023F17"/>
    <w:rsid w:val="00025F57"/>
    <w:rsid w:val="000260D6"/>
    <w:rsid w:val="00033D3E"/>
    <w:rsid w:val="0003456B"/>
    <w:rsid w:val="000410B2"/>
    <w:rsid w:val="000420C9"/>
    <w:rsid w:val="000513C6"/>
    <w:rsid w:val="000514BA"/>
    <w:rsid w:val="000514C5"/>
    <w:rsid w:val="00051E4E"/>
    <w:rsid w:val="0005304D"/>
    <w:rsid w:val="0005334A"/>
    <w:rsid w:val="00054897"/>
    <w:rsid w:val="00054921"/>
    <w:rsid w:val="000711BA"/>
    <w:rsid w:val="000717D2"/>
    <w:rsid w:val="000755CE"/>
    <w:rsid w:val="000772DB"/>
    <w:rsid w:val="0008023C"/>
    <w:rsid w:val="00080980"/>
    <w:rsid w:val="00081AB5"/>
    <w:rsid w:val="00081E0B"/>
    <w:rsid w:val="00082B42"/>
    <w:rsid w:val="00083042"/>
    <w:rsid w:val="00084082"/>
    <w:rsid w:val="00095A77"/>
    <w:rsid w:val="000A0389"/>
    <w:rsid w:val="000A086F"/>
    <w:rsid w:val="000A0A99"/>
    <w:rsid w:val="000A49A2"/>
    <w:rsid w:val="000A4D57"/>
    <w:rsid w:val="000B026E"/>
    <w:rsid w:val="000B0E42"/>
    <w:rsid w:val="000B11C3"/>
    <w:rsid w:val="000B76A0"/>
    <w:rsid w:val="000C364D"/>
    <w:rsid w:val="000C5471"/>
    <w:rsid w:val="000D5082"/>
    <w:rsid w:val="000D54E9"/>
    <w:rsid w:val="000D6599"/>
    <w:rsid w:val="000E2666"/>
    <w:rsid w:val="000E3ECA"/>
    <w:rsid w:val="000E45E7"/>
    <w:rsid w:val="000F1DE0"/>
    <w:rsid w:val="000F34FE"/>
    <w:rsid w:val="000F4C58"/>
    <w:rsid w:val="000F72F9"/>
    <w:rsid w:val="000F7480"/>
    <w:rsid w:val="0010058E"/>
    <w:rsid w:val="00101532"/>
    <w:rsid w:val="00102C2A"/>
    <w:rsid w:val="00103FB0"/>
    <w:rsid w:val="001040E6"/>
    <w:rsid w:val="0010411D"/>
    <w:rsid w:val="00104A61"/>
    <w:rsid w:val="00110E48"/>
    <w:rsid w:val="001130A9"/>
    <w:rsid w:val="00116F4C"/>
    <w:rsid w:val="0012318C"/>
    <w:rsid w:val="0012530B"/>
    <w:rsid w:val="00126541"/>
    <w:rsid w:val="00130B84"/>
    <w:rsid w:val="00132E6C"/>
    <w:rsid w:val="00133223"/>
    <w:rsid w:val="001343BC"/>
    <w:rsid w:val="0013751D"/>
    <w:rsid w:val="00137C5D"/>
    <w:rsid w:val="00137DD4"/>
    <w:rsid w:val="001453BE"/>
    <w:rsid w:val="00145F73"/>
    <w:rsid w:val="001477EB"/>
    <w:rsid w:val="00150C9B"/>
    <w:rsid w:val="00154840"/>
    <w:rsid w:val="0016083F"/>
    <w:rsid w:val="001656EB"/>
    <w:rsid w:val="00165EA7"/>
    <w:rsid w:val="001706CD"/>
    <w:rsid w:val="0017239A"/>
    <w:rsid w:val="00173C5F"/>
    <w:rsid w:val="00173E61"/>
    <w:rsid w:val="00174500"/>
    <w:rsid w:val="001757E4"/>
    <w:rsid w:val="00177CDA"/>
    <w:rsid w:val="00184422"/>
    <w:rsid w:val="0018700F"/>
    <w:rsid w:val="001915AF"/>
    <w:rsid w:val="00193D13"/>
    <w:rsid w:val="00193F8A"/>
    <w:rsid w:val="00195204"/>
    <w:rsid w:val="00195D1A"/>
    <w:rsid w:val="00196E4C"/>
    <w:rsid w:val="001A0E2F"/>
    <w:rsid w:val="001A3D4F"/>
    <w:rsid w:val="001A4FB3"/>
    <w:rsid w:val="001B1E65"/>
    <w:rsid w:val="001B3C9C"/>
    <w:rsid w:val="001B4816"/>
    <w:rsid w:val="001B5244"/>
    <w:rsid w:val="001C19DE"/>
    <w:rsid w:val="001C6A31"/>
    <w:rsid w:val="001C7AC2"/>
    <w:rsid w:val="001D496C"/>
    <w:rsid w:val="001E1FD2"/>
    <w:rsid w:val="001E31F1"/>
    <w:rsid w:val="001E53BF"/>
    <w:rsid w:val="001E79DA"/>
    <w:rsid w:val="001F0379"/>
    <w:rsid w:val="001F0B00"/>
    <w:rsid w:val="001F33B1"/>
    <w:rsid w:val="002006BE"/>
    <w:rsid w:val="0020566D"/>
    <w:rsid w:val="00205E7C"/>
    <w:rsid w:val="002060C1"/>
    <w:rsid w:val="00207864"/>
    <w:rsid w:val="002110A9"/>
    <w:rsid w:val="00211854"/>
    <w:rsid w:val="00213438"/>
    <w:rsid w:val="002148FE"/>
    <w:rsid w:val="00216CF0"/>
    <w:rsid w:val="00220613"/>
    <w:rsid w:val="002232B0"/>
    <w:rsid w:val="00224190"/>
    <w:rsid w:val="00224376"/>
    <w:rsid w:val="00227CE5"/>
    <w:rsid w:val="00231CD1"/>
    <w:rsid w:val="00234D9D"/>
    <w:rsid w:val="00236CDC"/>
    <w:rsid w:val="00237D5B"/>
    <w:rsid w:val="0024087B"/>
    <w:rsid w:val="00244160"/>
    <w:rsid w:val="00246728"/>
    <w:rsid w:val="0025104B"/>
    <w:rsid w:val="00251605"/>
    <w:rsid w:val="002616DC"/>
    <w:rsid w:val="00261B24"/>
    <w:rsid w:val="00263C87"/>
    <w:rsid w:val="002650CF"/>
    <w:rsid w:val="0026785A"/>
    <w:rsid w:val="002713F4"/>
    <w:rsid w:val="002715FF"/>
    <w:rsid w:val="00271992"/>
    <w:rsid w:val="00273E85"/>
    <w:rsid w:val="00275422"/>
    <w:rsid w:val="00275FFA"/>
    <w:rsid w:val="00277D04"/>
    <w:rsid w:val="00277E21"/>
    <w:rsid w:val="00280347"/>
    <w:rsid w:val="00281C18"/>
    <w:rsid w:val="0028238E"/>
    <w:rsid w:val="0028405E"/>
    <w:rsid w:val="00284A4B"/>
    <w:rsid w:val="00284C5E"/>
    <w:rsid w:val="002900B0"/>
    <w:rsid w:val="0029305F"/>
    <w:rsid w:val="002A01DF"/>
    <w:rsid w:val="002A04E7"/>
    <w:rsid w:val="002A0EE2"/>
    <w:rsid w:val="002A5FC5"/>
    <w:rsid w:val="002B276D"/>
    <w:rsid w:val="002B6F93"/>
    <w:rsid w:val="002C0647"/>
    <w:rsid w:val="002C1F3D"/>
    <w:rsid w:val="002C3E24"/>
    <w:rsid w:val="002C5AEB"/>
    <w:rsid w:val="002C65C3"/>
    <w:rsid w:val="002D2512"/>
    <w:rsid w:val="002D2DCE"/>
    <w:rsid w:val="002D783A"/>
    <w:rsid w:val="002E5542"/>
    <w:rsid w:val="002F0A2C"/>
    <w:rsid w:val="002F14B2"/>
    <w:rsid w:val="002F4124"/>
    <w:rsid w:val="002F4603"/>
    <w:rsid w:val="002F7B3F"/>
    <w:rsid w:val="003011C2"/>
    <w:rsid w:val="0030201B"/>
    <w:rsid w:val="0030297C"/>
    <w:rsid w:val="003061AD"/>
    <w:rsid w:val="003145D3"/>
    <w:rsid w:val="00315D2A"/>
    <w:rsid w:val="00317D2E"/>
    <w:rsid w:val="00325864"/>
    <w:rsid w:val="00326BE4"/>
    <w:rsid w:val="00330469"/>
    <w:rsid w:val="003358F7"/>
    <w:rsid w:val="00336B25"/>
    <w:rsid w:val="00337BEE"/>
    <w:rsid w:val="00337F00"/>
    <w:rsid w:val="003415AC"/>
    <w:rsid w:val="0034680C"/>
    <w:rsid w:val="00346DC8"/>
    <w:rsid w:val="00355061"/>
    <w:rsid w:val="00355F2D"/>
    <w:rsid w:val="003574F4"/>
    <w:rsid w:val="00360FA8"/>
    <w:rsid w:val="00361B77"/>
    <w:rsid w:val="00363B4B"/>
    <w:rsid w:val="00373995"/>
    <w:rsid w:val="00375836"/>
    <w:rsid w:val="00376C4E"/>
    <w:rsid w:val="00377F1B"/>
    <w:rsid w:val="00382B5F"/>
    <w:rsid w:val="003830D0"/>
    <w:rsid w:val="00384BD1"/>
    <w:rsid w:val="00385151"/>
    <w:rsid w:val="00387524"/>
    <w:rsid w:val="00387788"/>
    <w:rsid w:val="003909FD"/>
    <w:rsid w:val="00392046"/>
    <w:rsid w:val="00393329"/>
    <w:rsid w:val="00395165"/>
    <w:rsid w:val="00396C1B"/>
    <w:rsid w:val="00397A52"/>
    <w:rsid w:val="003A30CB"/>
    <w:rsid w:val="003A345C"/>
    <w:rsid w:val="003A4EE0"/>
    <w:rsid w:val="003A5300"/>
    <w:rsid w:val="003A5557"/>
    <w:rsid w:val="003A623B"/>
    <w:rsid w:val="003A68B7"/>
    <w:rsid w:val="003B0294"/>
    <w:rsid w:val="003B0A2A"/>
    <w:rsid w:val="003B2382"/>
    <w:rsid w:val="003B310F"/>
    <w:rsid w:val="003B56F7"/>
    <w:rsid w:val="003B58C1"/>
    <w:rsid w:val="003B61A7"/>
    <w:rsid w:val="003B7A46"/>
    <w:rsid w:val="003C168D"/>
    <w:rsid w:val="003C3A9E"/>
    <w:rsid w:val="003C4A4D"/>
    <w:rsid w:val="003D1528"/>
    <w:rsid w:val="003D2A15"/>
    <w:rsid w:val="003D3144"/>
    <w:rsid w:val="003D65A9"/>
    <w:rsid w:val="003D7085"/>
    <w:rsid w:val="003E4350"/>
    <w:rsid w:val="003E66F6"/>
    <w:rsid w:val="003F157E"/>
    <w:rsid w:val="003F2162"/>
    <w:rsid w:val="003F3B31"/>
    <w:rsid w:val="003F7557"/>
    <w:rsid w:val="004049FE"/>
    <w:rsid w:val="00405C35"/>
    <w:rsid w:val="00405D3C"/>
    <w:rsid w:val="00405EA9"/>
    <w:rsid w:val="0041067A"/>
    <w:rsid w:val="0041163C"/>
    <w:rsid w:val="00415CC2"/>
    <w:rsid w:val="00416AF6"/>
    <w:rsid w:val="00416BF8"/>
    <w:rsid w:val="00421A22"/>
    <w:rsid w:val="00422F0A"/>
    <w:rsid w:val="00423FBE"/>
    <w:rsid w:val="00424F72"/>
    <w:rsid w:val="00425010"/>
    <w:rsid w:val="0042545B"/>
    <w:rsid w:val="00426878"/>
    <w:rsid w:val="0043427E"/>
    <w:rsid w:val="0044089A"/>
    <w:rsid w:val="004408BF"/>
    <w:rsid w:val="00442797"/>
    <w:rsid w:val="00444832"/>
    <w:rsid w:val="00445683"/>
    <w:rsid w:val="0044618F"/>
    <w:rsid w:val="00446BF6"/>
    <w:rsid w:val="00452F0B"/>
    <w:rsid w:val="004537C3"/>
    <w:rsid w:val="00462724"/>
    <w:rsid w:val="00465DD7"/>
    <w:rsid w:val="00467925"/>
    <w:rsid w:val="004716E9"/>
    <w:rsid w:val="00471850"/>
    <w:rsid w:val="00472314"/>
    <w:rsid w:val="00474119"/>
    <w:rsid w:val="00475823"/>
    <w:rsid w:val="00475B22"/>
    <w:rsid w:val="004807D4"/>
    <w:rsid w:val="0048483B"/>
    <w:rsid w:val="00486541"/>
    <w:rsid w:val="004949ED"/>
    <w:rsid w:val="004953B9"/>
    <w:rsid w:val="00496849"/>
    <w:rsid w:val="004975B3"/>
    <w:rsid w:val="004A1925"/>
    <w:rsid w:val="004A32A8"/>
    <w:rsid w:val="004A3E2D"/>
    <w:rsid w:val="004A5719"/>
    <w:rsid w:val="004B6B08"/>
    <w:rsid w:val="004B7859"/>
    <w:rsid w:val="004C0B0D"/>
    <w:rsid w:val="004C0D85"/>
    <w:rsid w:val="004C2DDA"/>
    <w:rsid w:val="004C35E8"/>
    <w:rsid w:val="004C482A"/>
    <w:rsid w:val="004C4F3E"/>
    <w:rsid w:val="004C692D"/>
    <w:rsid w:val="004D1150"/>
    <w:rsid w:val="004D555D"/>
    <w:rsid w:val="004D7C05"/>
    <w:rsid w:val="004E3824"/>
    <w:rsid w:val="004F0596"/>
    <w:rsid w:val="004F1A43"/>
    <w:rsid w:val="004F4F14"/>
    <w:rsid w:val="004F51B8"/>
    <w:rsid w:val="00501A52"/>
    <w:rsid w:val="00512053"/>
    <w:rsid w:val="005121D3"/>
    <w:rsid w:val="00512D2E"/>
    <w:rsid w:val="0051522C"/>
    <w:rsid w:val="00525650"/>
    <w:rsid w:val="00530723"/>
    <w:rsid w:val="00533724"/>
    <w:rsid w:val="0053649A"/>
    <w:rsid w:val="00536E82"/>
    <w:rsid w:val="00540100"/>
    <w:rsid w:val="00540F36"/>
    <w:rsid w:val="0054184C"/>
    <w:rsid w:val="0054248F"/>
    <w:rsid w:val="00542D2A"/>
    <w:rsid w:val="00543F87"/>
    <w:rsid w:val="005453E9"/>
    <w:rsid w:val="0055138B"/>
    <w:rsid w:val="0055188A"/>
    <w:rsid w:val="0055339A"/>
    <w:rsid w:val="00553B0C"/>
    <w:rsid w:val="00555DC3"/>
    <w:rsid w:val="0055714A"/>
    <w:rsid w:val="005573FA"/>
    <w:rsid w:val="00564B75"/>
    <w:rsid w:val="00565662"/>
    <w:rsid w:val="00566657"/>
    <w:rsid w:val="0057146D"/>
    <w:rsid w:val="00572B04"/>
    <w:rsid w:val="0057533F"/>
    <w:rsid w:val="0057602A"/>
    <w:rsid w:val="00576CC1"/>
    <w:rsid w:val="00576FC3"/>
    <w:rsid w:val="005804BB"/>
    <w:rsid w:val="00583B63"/>
    <w:rsid w:val="00586A8E"/>
    <w:rsid w:val="00590C68"/>
    <w:rsid w:val="005912C9"/>
    <w:rsid w:val="00591C05"/>
    <w:rsid w:val="0059731A"/>
    <w:rsid w:val="005A214A"/>
    <w:rsid w:val="005A55A3"/>
    <w:rsid w:val="005A58FF"/>
    <w:rsid w:val="005A5ADD"/>
    <w:rsid w:val="005B40FB"/>
    <w:rsid w:val="005B497A"/>
    <w:rsid w:val="005B6B4F"/>
    <w:rsid w:val="005B7078"/>
    <w:rsid w:val="005B7A75"/>
    <w:rsid w:val="005C0189"/>
    <w:rsid w:val="005C15CB"/>
    <w:rsid w:val="005C48F4"/>
    <w:rsid w:val="005C53A5"/>
    <w:rsid w:val="005C7C30"/>
    <w:rsid w:val="005D070B"/>
    <w:rsid w:val="005D15B1"/>
    <w:rsid w:val="005D20F6"/>
    <w:rsid w:val="005D4DEF"/>
    <w:rsid w:val="005D5A19"/>
    <w:rsid w:val="005E3752"/>
    <w:rsid w:val="005E50AE"/>
    <w:rsid w:val="005E5344"/>
    <w:rsid w:val="005F0BC9"/>
    <w:rsid w:val="005F6B42"/>
    <w:rsid w:val="00601958"/>
    <w:rsid w:val="00601971"/>
    <w:rsid w:val="00602911"/>
    <w:rsid w:val="006039B5"/>
    <w:rsid w:val="006051E0"/>
    <w:rsid w:val="00610430"/>
    <w:rsid w:val="0061163A"/>
    <w:rsid w:val="00612D9B"/>
    <w:rsid w:val="0061354C"/>
    <w:rsid w:val="00613F38"/>
    <w:rsid w:val="006145C0"/>
    <w:rsid w:val="00615607"/>
    <w:rsid w:val="00616A27"/>
    <w:rsid w:val="006214AC"/>
    <w:rsid w:val="00621CAB"/>
    <w:rsid w:val="006245BA"/>
    <w:rsid w:val="0062587C"/>
    <w:rsid w:val="00632527"/>
    <w:rsid w:val="00633343"/>
    <w:rsid w:val="00636634"/>
    <w:rsid w:val="00636C18"/>
    <w:rsid w:val="00636E6A"/>
    <w:rsid w:val="00637595"/>
    <w:rsid w:val="00637F61"/>
    <w:rsid w:val="00641661"/>
    <w:rsid w:val="00641A48"/>
    <w:rsid w:val="00642700"/>
    <w:rsid w:val="00644229"/>
    <w:rsid w:val="00646026"/>
    <w:rsid w:val="00647AE2"/>
    <w:rsid w:val="00653003"/>
    <w:rsid w:val="00653426"/>
    <w:rsid w:val="00653F91"/>
    <w:rsid w:val="0065569C"/>
    <w:rsid w:val="00667499"/>
    <w:rsid w:val="00671135"/>
    <w:rsid w:val="00682D83"/>
    <w:rsid w:val="00683337"/>
    <w:rsid w:val="00687395"/>
    <w:rsid w:val="006878F6"/>
    <w:rsid w:val="00693E24"/>
    <w:rsid w:val="00695043"/>
    <w:rsid w:val="00697076"/>
    <w:rsid w:val="006A2683"/>
    <w:rsid w:val="006A328B"/>
    <w:rsid w:val="006A3AF8"/>
    <w:rsid w:val="006A3EF4"/>
    <w:rsid w:val="006B010C"/>
    <w:rsid w:val="006B34E6"/>
    <w:rsid w:val="006B4833"/>
    <w:rsid w:val="006B7B58"/>
    <w:rsid w:val="006C18D6"/>
    <w:rsid w:val="006C253F"/>
    <w:rsid w:val="006C299B"/>
    <w:rsid w:val="006C424F"/>
    <w:rsid w:val="006C4420"/>
    <w:rsid w:val="006C5B8C"/>
    <w:rsid w:val="006C65BF"/>
    <w:rsid w:val="006D035D"/>
    <w:rsid w:val="006D16EA"/>
    <w:rsid w:val="006D2032"/>
    <w:rsid w:val="006E1A4B"/>
    <w:rsid w:val="006E46E6"/>
    <w:rsid w:val="006E51AF"/>
    <w:rsid w:val="006E5ECF"/>
    <w:rsid w:val="006E73F4"/>
    <w:rsid w:val="006F225B"/>
    <w:rsid w:val="006F2C1E"/>
    <w:rsid w:val="006F3C49"/>
    <w:rsid w:val="006F60B3"/>
    <w:rsid w:val="00700D04"/>
    <w:rsid w:val="00702514"/>
    <w:rsid w:val="00704500"/>
    <w:rsid w:val="0070463F"/>
    <w:rsid w:val="00705589"/>
    <w:rsid w:val="00710259"/>
    <w:rsid w:val="00712D68"/>
    <w:rsid w:val="00713BC6"/>
    <w:rsid w:val="00713F7F"/>
    <w:rsid w:val="00715847"/>
    <w:rsid w:val="00721D42"/>
    <w:rsid w:val="00723937"/>
    <w:rsid w:val="007242BF"/>
    <w:rsid w:val="0072453F"/>
    <w:rsid w:val="0073057B"/>
    <w:rsid w:val="00731433"/>
    <w:rsid w:val="0073162B"/>
    <w:rsid w:val="00731961"/>
    <w:rsid w:val="007335E2"/>
    <w:rsid w:val="00733760"/>
    <w:rsid w:val="00733B64"/>
    <w:rsid w:val="00733BD5"/>
    <w:rsid w:val="00733F94"/>
    <w:rsid w:val="00734260"/>
    <w:rsid w:val="00735C27"/>
    <w:rsid w:val="0073657D"/>
    <w:rsid w:val="0073695D"/>
    <w:rsid w:val="00736C8D"/>
    <w:rsid w:val="007379BF"/>
    <w:rsid w:val="0074098C"/>
    <w:rsid w:val="0074118D"/>
    <w:rsid w:val="00746AE8"/>
    <w:rsid w:val="007473EA"/>
    <w:rsid w:val="0074782E"/>
    <w:rsid w:val="00753084"/>
    <w:rsid w:val="007608DA"/>
    <w:rsid w:val="0076240A"/>
    <w:rsid w:val="007715FD"/>
    <w:rsid w:val="00775DD8"/>
    <w:rsid w:val="00781395"/>
    <w:rsid w:val="00782AD6"/>
    <w:rsid w:val="00785E46"/>
    <w:rsid w:val="00787579"/>
    <w:rsid w:val="00791B15"/>
    <w:rsid w:val="00791D11"/>
    <w:rsid w:val="00794060"/>
    <w:rsid w:val="0079707D"/>
    <w:rsid w:val="007A3767"/>
    <w:rsid w:val="007A41F1"/>
    <w:rsid w:val="007A426E"/>
    <w:rsid w:val="007A6B96"/>
    <w:rsid w:val="007B1CB2"/>
    <w:rsid w:val="007B20FB"/>
    <w:rsid w:val="007B4209"/>
    <w:rsid w:val="007C231F"/>
    <w:rsid w:val="007C2682"/>
    <w:rsid w:val="007C2D6E"/>
    <w:rsid w:val="007C3AEF"/>
    <w:rsid w:val="007C406C"/>
    <w:rsid w:val="007C40C0"/>
    <w:rsid w:val="007C43E6"/>
    <w:rsid w:val="007C6543"/>
    <w:rsid w:val="007C6FF9"/>
    <w:rsid w:val="007D1E3A"/>
    <w:rsid w:val="007D2241"/>
    <w:rsid w:val="007D4BAF"/>
    <w:rsid w:val="007D6C84"/>
    <w:rsid w:val="007E2A66"/>
    <w:rsid w:val="007E528C"/>
    <w:rsid w:val="007E69C7"/>
    <w:rsid w:val="007F110E"/>
    <w:rsid w:val="007F3AB7"/>
    <w:rsid w:val="007F6513"/>
    <w:rsid w:val="007F7416"/>
    <w:rsid w:val="008015CC"/>
    <w:rsid w:val="00802587"/>
    <w:rsid w:val="00802EE4"/>
    <w:rsid w:val="0080360E"/>
    <w:rsid w:val="00812383"/>
    <w:rsid w:val="008136C7"/>
    <w:rsid w:val="00813924"/>
    <w:rsid w:val="00814362"/>
    <w:rsid w:val="00815020"/>
    <w:rsid w:val="0081634D"/>
    <w:rsid w:val="00816E88"/>
    <w:rsid w:val="008173E4"/>
    <w:rsid w:val="0082025B"/>
    <w:rsid w:val="00821008"/>
    <w:rsid w:val="00821C5D"/>
    <w:rsid w:val="00823F2F"/>
    <w:rsid w:val="00824109"/>
    <w:rsid w:val="0082457E"/>
    <w:rsid w:val="00825CBD"/>
    <w:rsid w:val="00826A61"/>
    <w:rsid w:val="008277AF"/>
    <w:rsid w:val="00830448"/>
    <w:rsid w:val="008341B5"/>
    <w:rsid w:val="008344B9"/>
    <w:rsid w:val="008347AE"/>
    <w:rsid w:val="00834F88"/>
    <w:rsid w:val="008353B6"/>
    <w:rsid w:val="00835D8A"/>
    <w:rsid w:val="0083784C"/>
    <w:rsid w:val="00843F1D"/>
    <w:rsid w:val="00844B3B"/>
    <w:rsid w:val="00846C29"/>
    <w:rsid w:val="00851642"/>
    <w:rsid w:val="00856B0E"/>
    <w:rsid w:val="00860F49"/>
    <w:rsid w:val="00861704"/>
    <w:rsid w:val="00861782"/>
    <w:rsid w:val="00862BB4"/>
    <w:rsid w:val="00862D53"/>
    <w:rsid w:val="00862EAB"/>
    <w:rsid w:val="0086568C"/>
    <w:rsid w:val="00866F1D"/>
    <w:rsid w:val="00871082"/>
    <w:rsid w:val="00872BD9"/>
    <w:rsid w:val="00872C28"/>
    <w:rsid w:val="00873293"/>
    <w:rsid w:val="00876541"/>
    <w:rsid w:val="00876FB0"/>
    <w:rsid w:val="00881AC3"/>
    <w:rsid w:val="00882F61"/>
    <w:rsid w:val="00884C41"/>
    <w:rsid w:val="00887838"/>
    <w:rsid w:val="0089061F"/>
    <w:rsid w:val="00891BB9"/>
    <w:rsid w:val="0089286B"/>
    <w:rsid w:val="0089643B"/>
    <w:rsid w:val="00897812"/>
    <w:rsid w:val="008A2B9F"/>
    <w:rsid w:val="008A3EA3"/>
    <w:rsid w:val="008A75BE"/>
    <w:rsid w:val="008B4AF4"/>
    <w:rsid w:val="008B4FAA"/>
    <w:rsid w:val="008B7DA5"/>
    <w:rsid w:val="008C1D41"/>
    <w:rsid w:val="008C31DF"/>
    <w:rsid w:val="008C5E34"/>
    <w:rsid w:val="008C6BAA"/>
    <w:rsid w:val="008C7CB0"/>
    <w:rsid w:val="008D1D6A"/>
    <w:rsid w:val="008D4617"/>
    <w:rsid w:val="008E30F9"/>
    <w:rsid w:val="008E4926"/>
    <w:rsid w:val="008E562A"/>
    <w:rsid w:val="008E6867"/>
    <w:rsid w:val="008E7DD9"/>
    <w:rsid w:val="008F0326"/>
    <w:rsid w:val="008F46BA"/>
    <w:rsid w:val="008F6AB5"/>
    <w:rsid w:val="008F6C04"/>
    <w:rsid w:val="00901277"/>
    <w:rsid w:val="009015F6"/>
    <w:rsid w:val="00905C45"/>
    <w:rsid w:val="00906C3C"/>
    <w:rsid w:val="0091087B"/>
    <w:rsid w:val="00912354"/>
    <w:rsid w:val="00913BD7"/>
    <w:rsid w:val="00917DCC"/>
    <w:rsid w:val="00917FB9"/>
    <w:rsid w:val="009337D7"/>
    <w:rsid w:val="00942E60"/>
    <w:rsid w:val="00946295"/>
    <w:rsid w:val="00946CE4"/>
    <w:rsid w:val="00947765"/>
    <w:rsid w:val="009502D4"/>
    <w:rsid w:val="00951EB3"/>
    <w:rsid w:val="009603D3"/>
    <w:rsid w:val="009643FC"/>
    <w:rsid w:val="0096767B"/>
    <w:rsid w:val="00967A2F"/>
    <w:rsid w:val="009715BC"/>
    <w:rsid w:val="009721BD"/>
    <w:rsid w:val="00974D4E"/>
    <w:rsid w:val="00980A9B"/>
    <w:rsid w:val="00981B84"/>
    <w:rsid w:val="00983AC1"/>
    <w:rsid w:val="009848CD"/>
    <w:rsid w:val="0098529A"/>
    <w:rsid w:val="00985646"/>
    <w:rsid w:val="00991FFB"/>
    <w:rsid w:val="00995DCA"/>
    <w:rsid w:val="00996BD2"/>
    <w:rsid w:val="009A0B40"/>
    <w:rsid w:val="009A17DF"/>
    <w:rsid w:val="009A338F"/>
    <w:rsid w:val="009A510E"/>
    <w:rsid w:val="009A57A3"/>
    <w:rsid w:val="009B4DF6"/>
    <w:rsid w:val="009B79B6"/>
    <w:rsid w:val="009C1098"/>
    <w:rsid w:val="009C2282"/>
    <w:rsid w:val="009C3B9B"/>
    <w:rsid w:val="009C5FB1"/>
    <w:rsid w:val="009D090C"/>
    <w:rsid w:val="009D1B58"/>
    <w:rsid w:val="009D26E0"/>
    <w:rsid w:val="009D3462"/>
    <w:rsid w:val="009D6CB2"/>
    <w:rsid w:val="009E20A1"/>
    <w:rsid w:val="009E7D6E"/>
    <w:rsid w:val="009F0EB2"/>
    <w:rsid w:val="009F57BA"/>
    <w:rsid w:val="009F5ABB"/>
    <w:rsid w:val="009F68F7"/>
    <w:rsid w:val="009F723A"/>
    <w:rsid w:val="00A02E6D"/>
    <w:rsid w:val="00A0369E"/>
    <w:rsid w:val="00A03E25"/>
    <w:rsid w:val="00A07AE8"/>
    <w:rsid w:val="00A07BD5"/>
    <w:rsid w:val="00A07E0A"/>
    <w:rsid w:val="00A124E0"/>
    <w:rsid w:val="00A12784"/>
    <w:rsid w:val="00A12DA9"/>
    <w:rsid w:val="00A136C2"/>
    <w:rsid w:val="00A14277"/>
    <w:rsid w:val="00A1641A"/>
    <w:rsid w:val="00A1683A"/>
    <w:rsid w:val="00A174F7"/>
    <w:rsid w:val="00A31F6F"/>
    <w:rsid w:val="00A33653"/>
    <w:rsid w:val="00A3527B"/>
    <w:rsid w:val="00A35A02"/>
    <w:rsid w:val="00A361D5"/>
    <w:rsid w:val="00A378BF"/>
    <w:rsid w:val="00A4214C"/>
    <w:rsid w:val="00A425BE"/>
    <w:rsid w:val="00A44B21"/>
    <w:rsid w:val="00A4599E"/>
    <w:rsid w:val="00A45EB4"/>
    <w:rsid w:val="00A47C27"/>
    <w:rsid w:val="00A515BA"/>
    <w:rsid w:val="00A53208"/>
    <w:rsid w:val="00A535F7"/>
    <w:rsid w:val="00A54C71"/>
    <w:rsid w:val="00A57C17"/>
    <w:rsid w:val="00A62A47"/>
    <w:rsid w:val="00A64D2E"/>
    <w:rsid w:val="00A65319"/>
    <w:rsid w:val="00A721B1"/>
    <w:rsid w:val="00A72D13"/>
    <w:rsid w:val="00A81186"/>
    <w:rsid w:val="00A83AEC"/>
    <w:rsid w:val="00A83C07"/>
    <w:rsid w:val="00A83D97"/>
    <w:rsid w:val="00A858DC"/>
    <w:rsid w:val="00A875E0"/>
    <w:rsid w:val="00A92267"/>
    <w:rsid w:val="00A930C9"/>
    <w:rsid w:val="00A93F18"/>
    <w:rsid w:val="00A975FF"/>
    <w:rsid w:val="00AA063F"/>
    <w:rsid w:val="00AA3100"/>
    <w:rsid w:val="00AA6EB8"/>
    <w:rsid w:val="00AB36B3"/>
    <w:rsid w:val="00AB3F52"/>
    <w:rsid w:val="00AB62FC"/>
    <w:rsid w:val="00AB75D4"/>
    <w:rsid w:val="00AB776A"/>
    <w:rsid w:val="00AB7C8D"/>
    <w:rsid w:val="00AB7D8A"/>
    <w:rsid w:val="00AC006B"/>
    <w:rsid w:val="00AC036A"/>
    <w:rsid w:val="00AC2050"/>
    <w:rsid w:val="00AC3EB3"/>
    <w:rsid w:val="00AC6953"/>
    <w:rsid w:val="00AD1BD9"/>
    <w:rsid w:val="00AD26FF"/>
    <w:rsid w:val="00AD737D"/>
    <w:rsid w:val="00AE1592"/>
    <w:rsid w:val="00AE1E54"/>
    <w:rsid w:val="00AE39F2"/>
    <w:rsid w:val="00AE644C"/>
    <w:rsid w:val="00AE64B2"/>
    <w:rsid w:val="00AF407B"/>
    <w:rsid w:val="00AF7796"/>
    <w:rsid w:val="00B02B2B"/>
    <w:rsid w:val="00B10930"/>
    <w:rsid w:val="00B11195"/>
    <w:rsid w:val="00B14242"/>
    <w:rsid w:val="00B157AE"/>
    <w:rsid w:val="00B21020"/>
    <w:rsid w:val="00B24615"/>
    <w:rsid w:val="00B277EF"/>
    <w:rsid w:val="00B327FB"/>
    <w:rsid w:val="00B3601B"/>
    <w:rsid w:val="00B36BD1"/>
    <w:rsid w:val="00B36E82"/>
    <w:rsid w:val="00B45609"/>
    <w:rsid w:val="00B46559"/>
    <w:rsid w:val="00B505C4"/>
    <w:rsid w:val="00B529D3"/>
    <w:rsid w:val="00B54A2B"/>
    <w:rsid w:val="00B55333"/>
    <w:rsid w:val="00B573E7"/>
    <w:rsid w:val="00B60093"/>
    <w:rsid w:val="00B636A5"/>
    <w:rsid w:val="00B63EE6"/>
    <w:rsid w:val="00B652B0"/>
    <w:rsid w:val="00B70AC6"/>
    <w:rsid w:val="00B7133F"/>
    <w:rsid w:val="00B71566"/>
    <w:rsid w:val="00B80456"/>
    <w:rsid w:val="00B80DBB"/>
    <w:rsid w:val="00B81B58"/>
    <w:rsid w:val="00B85AFF"/>
    <w:rsid w:val="00B93433"/>
    <w:rsid w:val="00B93532"/>
    <w:rsid w:val="00B93587"/>
    <w:rsid w:val="00B94F74"/>
    <w:rsid w:val="00B961BB"/>
    <w:rsid w:val="00B96704"/>
    <w:rsid w:val="00B968B5"/>
    <w:rsid w:val="00B97610"/>
    <w:rsid w:val="00BA1102"/>
    <w:rsid w:val="00BA2171"/>
    <w:rsid w:val="00BA4480"/>
    <w:rsid w:val="00BA486D"/>
    <w:rsid w:val="00BA69A1"/>
    <w:rsid w:val="00BB01C5"/>
    <w:rsid w:val="00BB1BCD"/>
    <w:rsid w:val="00BB1D76"/>
    <w:rsid w:val="00BB2E6C"/>
    <w:rsid w:val="00BB46B3"/>
    <w:rsid w:val="00BB64ED"/>
    <w:rsid w:val="00BC19BC"/>
    <w:rsid w:val="00BC4319"/>
    <w:rsid w:val="00BC5F3E"/>
    <w:rsid w:val="00BC68BF"/>
    <w:rsid w:val="00BC6A3B"/>
    <w:rsid w:val="00BD24AB"/>
    <w:rsid w:val="00BD30CA"/>
    <w:rsid w:val="00BD3A6B"/>
    <w:rsid w:val="00BD4AE4"/>
    <w:rsid w:val="00BE0F73"/>
    <w:rsid w:val="00BE4090"/>
    <w:rsid w:val="00BE4CD9"/>
    <w:rsid w:val="00BE631B"/>
    <w:rsid w:val="00BE640F"/>
    <w:rsid w:val="00BE7D59"/>
    <w:rsid w:val="00BF0E08"/>
    <w:rsid w:val="00BF0F53"/>
    <w:rsid w:val="00BF23F0"/>
    <w:rsid w:val="00BF37E5"/>
    <w:rsid w:val="00BF441C"/>
    <w:rsid w:val="00BF447B"/>
    <w:rsid w:val="00BF7706"/>
    <w:rsid w:val="00C00A61"/>
    <w:rsid w:val="00C01A7F"/>
    <w:rsid w:val="00C0316D"/>
    <w:rsid w:val="00C03611"/>
    <w:rsid w:val="00C03B44"/>
    <w:rsid w:val="00C04CFD"/>
    <w:rsid w:val="00C0788E"/>
    <w:rsid w:val="00C11A03"/>
    <w:rsid w:val="00C154ED"/>
    <w:rsid w:val="00C20CE0"/>
    <w:rsid w:val="00C22C4E"/>
    <w:rsid w:val="00C239B2"/>
    <w:rsid w:val="00C24E94"/>
    <w:rsid w:val="00C30060"/>
    <w:rsid w:val="00C34D09"/>
    <w:rsid w:val="00C354EB"/>
    <w:rsid w:val="00C361BE"/>
    <w:rsid w:val="00C36522"/>
    <w:rsid w:val="00C36E39"/>
    <w:rsid w:val="00C42B7B"/>
    <w:rsid w:val="00C47D60"/>
    <w:rsid w:val="00C50546"/>
    <w:rsid w:val="00C5412D"/>
    <w:rsid w:val="00C602E2"/>
    <w:rsid w:val="00C64804"/>
    <w:rsid w:val="00C657AC"/>
    <w:rsid w:val="00C712EA"/>
    <w:rsid w:val="00C724E3"/>
    <w:rsid w:val="00C7467B"/>
    <w:rsid w:val="00C76090"/>
    <w:rsid w:val="00C77C71"/>
    <w:rsid w:val="00C80BFD"/>
    <w:rsid w:val="00C81012"/>
    <w:rsid w:val="00C837C8"/>
    <w:rsid w:val="00C9133C"/>
    <w:rsid w:val="00C94BB0"/>
    <w:rsid w:val="00CA01E4"/>
    <w:rsid w:val="00CA1205"/>
    <w:rsid w:val="00CA231C"/>
    <w:rsid w:val="00CA2E28"/>
    <w:rsid w:val="00CA7582"/>
    <w:rsid w:val="00CB1068"/>
    <w:rsid w:val="00CB1E9C"/>
    <w:rsid w:val="00CB1ECD"/>
    <w:rsid w:val="00CB20F7"/>
    <w:rsid w:val="00CB4152"/>
    <w:rsid w:val="00CB7222"/>
    <w:rsid w:val="00CC0E8E"/>
    <w:rsid w:val="00CC12CD"/>
    <w:rsid w:val="00CC2A26"/>
    <w:rsid w:val="00CC3C10"/>
    <w:rsid w:val="00CC6D66"/>
    <w:rsid w:val="00CD1BB6"/>
    <w:rsid w:val="00CD3ABB"/>
    <w:rsid w:val="00CD61A9"/>
    <w:rsid w:val="00CD7F92"/>
    <w:rsid w:val="00CE1A6B"/>
    <w:rsid w:val="00CE30DE"/>
    <w:rsid w:val="00CF22B7"/>
    <w:rsid w:val="00CF416D"/>
    <w:rsid w:val="00CF4300"/>
    <w:rsid w:val="00CF465C"/>
    <w:rsid w:val="00CF578E"/>
    <w:rsid w:val="00CF6ABA"/>
    <w:rsid w:val="00D01390"/>
    <w:rsid w:val="00D01D63"/>
    <w:rsid w:val="00D05CC0"/>
    <w:rsid w:val="00D05F18"/>
    <w:rsid w:val="00D07C44"/>
    <w:rsid w:val="00D15472"/>
    <w:rsid w:val="00D16B34"/>
    <w:rsid w:val="00D16B39"/>
    <w:rsid w:val="00D27390"/>
    <w:rsid w:val="00D309E7"/>
    <w:rsid w:val="00D30C5E"/>
    <w:rsid w:val="00D31BCA"/>
    <w:rsid w:val="00D32EA4"/>
    <w:rsid w:val="00D33429"/>
    <w:rsid w:val="00D3342C"/>
    <w:rsid w:val="00D33A58"/>
    <w:rsid w:val="00D344DC"/>
    <w:rsid w:val="00D431C6"/>
    <w:rsid w:val="00D44EB8"/>
    <w:rsid w:val="00D47889"/>
    <w:rsid w:val="00D52DE7"/>
    <w:rsid w:val="00D53EBE"/>
    <w:rsid w:val="00D55CD6"/>
    <w:rsid w:val="00D5637A"/>
    <w:rsid w:val="00D6076D"/>
    <w:rsid w:val="00D60FAC"/>
    <w:rsid w:val="00D63F98"/>
    <w:rsid w:val="00D64368"/>
    <w:rsid w:val="00D645E4"/>
    <w:rsid w:val="00D66D04"/>
    <w:rsid w:val="00D679EB"/>
    <w:rsid w:val="00D714C4"/>
    <w:rsid w:val="00D7151F"/>
    <w:rsid w:val="00D738D4"/>
    <w:rsid w:val="00D7407B"/>
    <w:rsid w:val="00D7532B"/>
    <w:rsid w:val="00D75D55"/>
    <w:rsid w:val="00D76B6C"/>
    <w:rsid w:val="00D77AC3"/>
    <w:rsid w:val="00D77B4B"/>
    <w:rsid w:val="00D82E79"/>
    <w:rsid w:val="00D84F74"/>
    <w:rsid w:val="00D851CA"/>
    <w:rsid w:val="00D910AF"/>
    <w:rsid w:val="00D94F67"/>
    <w:rsid w:val="00D950B8"/>
    <w:rsid w:val="00D97B3B"/>
    <w:rsid w:val="00DA11BD"/>
    <w:rsid w:val="00DA1454"/>
    <w:rsid w:val="00DA3AD1"/>
    <w:rsid w:val="00DA6474"/>
    <w:rsid w:val="00DA71E8"/>
    <w:rsid w:val="00DA7A5A"/>
    <w:rsid w:val="00DB06C6"/>
    <w:rsid w:val="00DB76CC"/>
    <w:rsid w:val="00DB7F9A"/>
    <w:rsid w:val="00DC1881"/>
    <w:rsid w:val="00DC18E6"/>
    <w:rsid w:val="00DC2E0F"/>
    <w:rsid w:val="00DC4133"/>
    <w:rsid w:val="00DC4ECB"/>
    <w:rsid w:val="00DC5590"/>
    <w:rsid w:val="00DD200D"/>
    <w:rsid w:val="00DD25B8"/>
    <w:rsid w:val="00DD46BA"/>
    <w:rsid w:val="00DD5B7D"/>
    <w:rsid w:val="00DD5EB7"/>
    <w:rsid w:val="00DD720D"/>
    <w:rsid w:val="00DD737A"/>
    <w:rsid w:val="00DD7B5B"/>
    <w:rsid w:val="00DE2889"/>
    <w:rsid w:val="00DE2E08"/>
    <w:rsid w:val="00DF0825"/>
    <w:rsid w:val="00DF392D"/>
    <w:rsid w:val="00DF3F8E"/>
    <w:rsid w:val="00DF45EE"/>
    <w:rsid w:val="00DF6394"/>
    <w:rsid w:val="00DF7832"/>
    <w:rsid w:val="00DF7EAF"/>
    <w:rsid w:val="00E00CCE"/>
    <w:rsid w:val="00E0351E"/>
    <w:rsid w:val="00E05BE3"/>
    <w:rsid w:val="00E05EBD"/>
    <w:rsid w:val="00E073EB"/>
    <w:rsid w:val="00E1067B"/>
    <w:rsid w:val="00E123EB"/>
    <w:rsid w:val="00E13AAA"/>
    <w:rsid w:val="00E20965"/>
    <w:rsid w:val="00E218FC"/>
    <w:rsid w:val="00E23A17"/>
    <w:rsid w:val="00E23D9E"/>
    <w:rsid w:val="00E2489C"/>
    <w:rsid w:val="00E26177"/>
    <w:rsid w:val="00E26859"/>
    <w:rsid w:val="00E27657"/>
    <w:rsid w:val="00E30DBD"/>
    <w:rsid w:val="00E326B5"/>
    <w:rsid w:val="00E32920"/>
    <w:rsid w:val="00E3402A"/>
    <w:rsid w:val="00E34D35"/>
    <w:rsid w:val="00E367C7"/>
    <w:rsid w:val="00E36B5B"/>
    <w:rsid w:val="00E401A5"/>
    <w:rsid w:val="00E401E0"/>
    <w:rsid w:val="00E40E5A"/>
    <w:rsid w:val="00E4191E"/>
    <w:rsid w:val="00E42496"/>
    <w:rsid w:val="00E44FCE"/>
    <w:rsid w:val="00E47905"/>
    <w:rsid w:val="00E501D2"/>
    <w:rsid w:val="00E55AE4"/>
    <w:rsid w:val="00E607E0"/>
    <w:rsid w:val="00E6277D"/>
    <w:rsid w:val="00E63DA3"/>
    <w:rsid w:val="00E64F38"/>
    <w:rsid w:val="00E7188E"/>
    <w:rsid w:val="00E762C5"/>
    <w:rsid w:val="00E8006F"/>
    <w:rsid w:val="00E81368"/>
    <w:rsid w:val="00E832D4"/>
    <w:rsid w:val="00E8606A"/>
    <w:rsid w:val="00E860D2"/>
    <w:rsid w:val="00E872F1"/>
    <w:rsid w:val="00E876BE"/>
    <w:rsid w:val="00E904BE"/>
    <w:rsid w:val="00E90D57"/>
    <w:rsid w:val="00E91106"/>
    <w:rsid w:val="00E917A4"/>
    <w:rsid w:val="00E94607"/>
    <w:rsid w:val="00EA1FA9"/>
    <w:rsid w:val="00EA7A60"/>
    <w:rsid w:val="00EB4410"/>
    <w:rsid w:val="00EB48E1"/>
    <w:rsid w:val="00EB79AB"/>
    <w:rsid w:val="00EB7F14"/>
    <w:rsid w:val="00EC16E8"/>
    <w:rsid w:val="00ED143C"/>
    <w:rsid w:val="00ED168E"/>
    <w:rsid w:val="00ED2249"/>
    <w:rsid w:val="00ED434A"/>
    <w:rsid w:val="00ED48A8"/>
    <w:rsid w:val="00ED5A80"/>
    <w:rsid w:val="00ED5BC5"/>
    <w:rsid w:val="00ED782B"/>
    <w:rsid w:val="00EE2B54"/>
    <w:rsid w:val="00EE2DC1"/>
    <w:rsid w:val="00EE662B"/>
    <w:rsid w:val="00EF2864"/>
    <w:rsid w:val="00EF4493"/>
    <w:rsid w:val="00EF5C8C"/>
    <w:rsid w:val="00EF5F62"/>
    <w:rsid w:val="00EF74F9"/>
    <w:rsid w:val="00F00AA3"/>
    <w:rsid w:val="00F0298C"/>
    <w:rsid w:val="00F02F0B"/>
    <w:rsid w:val="00F10392"/>
    <w:rsid w:val="00F11141"/>
    <w:rsid w:val="00F148A9"/>
    <w:rsid w:val="00F16A9F"/>
    <w:rsid w:val="00F16B10"/>
    <w:rsid w:val="00F200BE"/>
    <w:rsid w:val="00F20615"/>
    <w:rsid w:val="00F22284"/>
    <w:rsid w:val="00F2258B"/>
    <w:rsid w:val="00F241A5"/>
    <w:rsid w:val="00F31EF0"/>
    <w:rsid w:val="00F32A23"/>
    <w:rsid w:val="00F4062D"/>
    <w:rsid w:val="00F43086"/>
    <w:rsid w:val="00F43E1D"/>
    <w:rsid w:val="00F44CEF"/>
    <w:rsid w:val="00F44F53"/>
    <w:rsid w:val="00F51DB9"/>
    <w:rsid w:val="00F53E85"/>
    <w:rsid w:val="00F56979"/>
    <w:rsid w:val="00F61FDE"/>
    <w:rsid w:val="00F62678"/>
    <w:rsid w:val="00F62B6F"/>
    <w:rsid w:val="00F676A2"/>
    <w:rsid w:val="00F704BC"/>
    <w:rsid w:val="00F71EC1"/>
    <w:rsid w:val="00F8199C"/>
    <w:rsid w:val="00F823A8"/>
    <w:rsid w:val="00F83671"/>
    <w:rsid w:val="00F84736"/>
    <w:rsid w:val="00F85809"/>
    <w:rsid w:val="00F86065"/>
    <w:rsid w:val="00F8734D"/>
    <w:rsid w:val="00F92F46"/>
    <w:rsid w:val="00F94EE8"/>
    <w:rsid w:val="00F950AD"/>
    <w:rsid w:val="00F97B55"/>
    <w:rsid w:val="00F97D7F"/>
    <w:rsid w:val="00FA0ED0"/>
    <w:rsid w:val="00FA4A2D"/>
    <w:rsid w:val="00FB07C4"/>
    <w:rsid w:val="00FB214E"/>
    <w:rsid w:val="00FB4B62"/>
    <w:rsid w:val="00FB5CBE"/>
    <w:rsid w:val="00FB6F15"/>
    <w:rsid w:val="00FC0FF8"/>
    <w:rsid w:val="00FC1892"/>
    <w:rsid w:val="00FC6F6A"/>
    <w:rsid w:val="00FC78F3"/>
    <w:rsid w:val="00FC7E78"/>
    <w:rsid w:val="00FD347B"/>
    <w:rsid w:val="00FD39F9"/>
    <w:rsid w:val="00FE032F"/>
    <w:rsid w:val="00FE24D5"/>
    <w:rsid w:val="00FE3BA8"/>
    <w:rsid w:val="00FE43F2"/>
    <w:rsid w:val="00FF27CB"/>
    <w:rsid w:val="00FF2B7F"/>
    <w:rsid w:val="00FF4A34"/>
    <w:rsid w:val="00FF4B85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E73F"/>
  <w15:chartTrackingRefBased/>
  <w15:docId w15:val="{8BF419AC-FB89-4FAE-9775-FEB30B6B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368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BA69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,EBRD List,Chapter10,Список уровня 2,название табл/рис"/>
    <w:basedOn w:val="a"/>
    <w:qFormat/>
    <w:rsid w:val="00405C35"/>
    <w:pPr>
      <w:spacing w:before="120" w:after="0" w:line="240" w:lineRule="auto"/>
      <w:ind w:left="720" w:hanging="567"/>
      <w:jc w:val="both"/>
    </w:pPr>
    <w:rPr>
      <w:rFonts w:ascii="Calibri" w:eastAsia="Calibri" w:hAnsi="Calibri" w:cs="Calibri"/>
    </w:rPr>
  </w:style>
  <w:style w:type="paragraph" w:customStyle="1" w:styleId="Default">
    <w:name w:val="Default"/>
    <w:rsid w:val="000E45E7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rsid w:val="0008023C"/>
  </w:style>
  <w:style w:type="paragraph" w:styleId="a6">
    <w:name w:val="footer"/>
    <w:basedOn w:val="a"/>
    <w:link w:val="a7"/>
    <w:uiPriority w:val="99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8023C"/>
  </w:style>
  <w:style w:type="character" w:customStyle="1" w:styleId="10">
    <w:name w:val="Заголовок 1 Знак"/>
    <w:basedOn w:val="a0"/>
    <w:link w:val="1"/>
    <w:rsid w:val="00BA69A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8">
    <w:name w:val="Body Text Indent"/>
    <w:basedOn w:val="a"/>
    <w:link w:val="a9"/>
    <w:rsid w:val="00BA69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ий текст з відступом Знак"/>
    <w:basedOn w:val="a0"/>
    <w:link w:val="a8"/>
    <w:rsid w:val="00BA69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rsid w:val="00BA6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b">
    <w:name w:val="Основний текст Знак"/>
    <w:basedOn w:val="a0"/>
    <w:link w:val="aa"/>
    <w:rsid w:val="00BA69A1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2">
    <w:name w:val="Body Text 2"/>
    <w:basedOn w:val="a"/>
    <w:link w:val="20"/>
    <w:rsid w:val="00BA69A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ий текст 2 Знак"/>
    <w:basedOn w:val="a0"/>
    <w:link w:val="2"/>
    <w:rsid w:val="00BA69A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c">
    <w:name w:val="Table Grid"/>
    <w:basedOn w:val="a1"/>
    <w:uiPriority w:val="39"/>
    <w:rsid w:val="000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B6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B6F93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4B6B08"/>
    <w:pPr>
      <w:spacing w:after="0" w:line="240" w:lineRule="auto"/>
    </w:pPr>
    <w:rPr>
      <w:sz w:val="20"/>
      <w:szCs w:val="20"/>
    </w:rPr>
  </w:style>
  <w:style w:type="character" w:customStyle="1" w:styleId="af0">
    <w:name w:val="Текст виноски Знак"/>
    <w:basedOn w:val="a0"/>
    <w:link w:val="af"/>
    <w:uiPriority w:val="99"/>
    <w:semiHidden/>
    <w:rsid w:val="004B6B08"/>
    <w:rPr>
      <w:sz w:val="20"/>
      <w:szCs w:val="20"/>
    </w:rPr>
  </w:style>
  <w:style w:type="character" w:styleId="af1">
    <w:name w:val="footnote reference"/>
    <w:uiPriority w:val="99"/>
    <w:semiHidden/>
    <w:unhideWhenUsed/>
    <w:rsid w:val="004B6B08"/>
    <w:rPr>
      <w:vertAlign w:val="superscript"/>
    </w:rPr>
  </w:style>
  <w:style w:type="paragraph" w:customStyle="1" w:styleId="rvps2">
    <w:name w:val="rvps2"/>
    <w:basedOn w:val="a"/>
    <w:rsid w:val="0088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84C41"/>
  </w:style>
  <w:style w:type="character" w:customStyle="1" w:styleId="rvts46">
    <w:name w:val="rvts46"/>
    <w:basedOn w:val="a0"/>
    <w:rsid w:val="00884C41"/>
  </w:style>
  <w:style w:type="character" w:styleId="af2">
    <w:name w:val="Hyperlink"/>
    <w:basedOn w:val="a0"/>
    <w:uiPriority w:val="99"/>
    <w:unhideWhenUsed/>
    <w:rsid w:val="00884C41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D950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6762D-2172-44C0-9FD6-4C4A3CE1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9134</Words>
  <Characters>5207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Вікторія Петрівна</dc:creator>
  <cp:keywords/>
  <dc:description/>
  <cp:lastModifiedBy>Коваленко Вікторія Петрівна</cp:lastModifiedBy>
  <cp:revision>4</cp:revision>
  <cp:lastPrinted>2024-11-27T11:04:00Z</cp:lastPrinted>
  <dcterms:created xsi:type="dcterms:W3CDTF">2024-11-27T10:58:00Z</dcterms:created>
  <dcterms:modified xsi:type="dcterms:W3CDTF">2024-11-27T11:08:00Z</dcterms:modified>
</cp:coreProperties>
</file>