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C8204D" w:rsidP="00F65B6A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9F2" w:rsidRPr="00CB09F2" w:rsidRDefault="00CB09F2" w:rsidP="00F65B6A">
      <w:pPr>
        <w:jc w:val="center"/>
        <w:rPr>
          <w:b/>
          <w:sz w:val="16"/>
          <w:szCs w:val="16"/>
          <w:lang w:val="uk-UA"/>
        </w:rPr>
      </w:pP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CB09F2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CB09F2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AA4720" w:rsidRPr="008E3CEA" w:rsidRDefault="00003D34" w:rsidP="00003D34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>09</w:t>
      </w:r>
      <w:r w:rsidR="006828D9">
        <w:rPr>
          <w:lang w:val="uk-UA" w:eastAsia="uk-UA"/>
        </w:rPr>
        <w:t xml:space="preserve"> квітня</w:t>
      </w:r>
      <w:r w:rsidR="00083AA3">
        <w:rPr>
          <w:lang w:val="uk-UA" w:eastAsia="uk-UA"/>
        </w:rPr>
        <w:t xml:space="preserve"> </w:t>
      </w:r>
      <w:r w:rsidR="00391352">
        <w:rPr>
          <w:lang w:val="uk-UA" w:eastAsia="uk-UA"/>
        </w:rPr>
        <w:t>20</w:t>
      </w:r>
      <w:r w:rsidR="006828D9">
        <w:rPr>
          <w:lang w:val="uk-UA" w:eastAsia="uk-UA"/>
        </w:rPr>
        <w:t>20</w:t>
      </w:r>
      <w:r w:rsidR="00012F0C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AA4720">
        <w:rPr>
          <w:bCs/>
          <w:sz w:val="28"/>
          <w:szCs w:val="28"/>
          <w:lang w:val="uk-UA" w:eastAsia="uk-UA"/>
        </w:rPr>
        <w:t xml:space="preserve">                          </w:t>
      </w:r>
      <w:r w:rsidR="008E3CEA" w:rsidRPr="008E3CEA">
        <w:rPr>
          <w:lang w:val="uk-UA" w:eastAsia="uk-UA"/>
        </w:rPr>
        <w:t xml:space="preserve">  </w:t>
      </w:r>
      <w:r>
        <w:rPr>
          <w:lang w:val="uk-UA" w:eastAsia="uk-UA"/>
        </w:rPr>
        <w:t xml:space="preserve">        </w:t>
      </w:r>
      <w:r w:rsidR="006828D9">
        <w:rPr>
          <w:lang w:val="uk-UA" w:eastAsia="uk-UA"/>
        </w:rPr>
        <w:t xml:space="preserve"> 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</w:t>
      </w:r>
      <w:r w:rsidR="00D20A23">
        <w:rPr>
          <w:lang w:val="uk-UA" w:eastAsia="uk-UA"/>
        </w:rPr>
        <w:t xml:space="preserve">                               </w:t>
      </w:r>
      <w:r w:rsidR="000E6860">
        <w:rPr>
          <w:lang w:val="uk-UA" w:eastAsia="uk-UA"/>
        </w:rPr>
        <w:t xml:space="preserve">    </w:t>
      </w:r>
      <w:r w:rsidR="00D20A23">
        <w:rPr>
          <w:lang w:val="uk-UA" w:eastAsia="uk-UA"/>
        </w:rPr>
        <w:t xml:space="preserve">    </w:t>
      </w:r>
      <w:r w:rsidR="00B07B0D">
        <w:rPr>
          <w:lang w:val="uk-UA" w:eastAsia="uk-UA"/>
        </w:rPr>
        <w:t xml:space="preserve">     </w:t>
      </w:r>
      <w:r w:rsidR="00AA4720" w:rsidRPr="008E3CEA">
        <w:rPr>
          <w:lang w:val="uk-UA" w:eastAsia="uk-UA"/>
        </w:rPr>
        <w:t>№</w:t>
      </w:r>
      <w:r w:rsidR="00D20A23">
        <w:rPr>
          <w:lang w:val="uk-UA" w:eastAsia="uk-UA"/>
        </w:rPr>
        <w:t xml:space="preserve"> </w:t>
      </w:r>
      <w:r w:rsidR="00D92146">
        <w:rPr>
          <w:lang w:val="uk-UA" w:eastAsia="uk-UA"/>
        </w:rPr>
        <w:t>217</w:t>
      </w:r>
      <w:r w:rsidR="000E6860">
        <w:rPr>
          <w:lang w:val="uk-UA" w:eastAsia="uk-UA"/>
        </w:rPr>
        <w:t>-р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83126B" w:rsidRPr="00003D34" w:rsidRDefault="0083126B">
      <w:pPr>
        <w:rPr>
          <w:sz w:val="28"/>
          <w:szCs w:val="28"/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83126B" w:rsidRDefault="0083126B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828D9" w:rsidRPr="00E451B0" w:rsidRDefault="004C56B9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451B0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E451B0">
        <w:rPr>
          <w:rFonts w:ascii="Times New Roman" w:hAnsi="Times New Roman"/>
          <w:sz w:val="24"/>
          <w:szCs w:val="24"/>
        </w:rPr>
        <w:t xml:space="preserve"> </w:t>
      </w:r>
      <w:r w:rsidR="006828D9" w:rsidRPr="00E451B0">
        <w:rPr>
          <w:rFonts w:ascii="Times New Roman" w:hAnsi="Times New Roman"/>
          <w:sz w:val="24"/>
          <w:szCs w:val="24"/>
        </w:rPr>
        <w:t>уповноважених представників компанії «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London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Stock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Exchange 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Group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plc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>» (м. Лондон, Великобританія) та компанії «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Refinitiv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Holdings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Limited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>» (м. Лондон, Великобританія) про надання дозволу компанії «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Refinitiv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Holdings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Limited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>» та компанії «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London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8D9" w:rsidRPr="00E451B0">
        <w:rPr>
          <w:rFonts w:ascii="Times New Roman" w:hAnsi="Times New Roman"/>
          <w:sz w:val="24"/>
          <w:szCs w:val="24"/>
        </w:rPr>
        <w:t>Stock</w:t>
      </w:r>
      <w:proofErr w:type="spellEnd"/>
      <w:r w:rsidR="006828D9" w:rsidRPr="00E451B0">
        <w:rPr>
          <w:rFonts w:ascii="Times New Roman" w:hAnsi="Times New Roman"/>
          <w:sz w:val="24"/>
          <w:szCs w:val="24"/>
        </w:rPr>
        <w:t xml:space="preserve"> Excha</w:t>
      </w:r>
      <w:r w:rsidR="00E451B0" w:rsidRPr="00E451B0">
        <w:rPr>
          <w:rFonts w:ascii="Times New Roman" w:hAnsi="Times New Roman"/>
          <w:sz w:val="24"/>
          <w:szCs w:val="24"/>
        </w:rPr>
        <w:t xml:space="preserve">nge </w:t>
      </w:r>
      <w:proofErr w:type="spellStart"/>
      <w:r w:rsidR="00E451B0" w:rsidRPr="00E451B0">
        <w:rPr>
          <w:rFonts w:ascii="Times New Roman" w:hAnsi="Times New Roman"/>
          <w:sz w:val="24"/>
          <w:szCs w:val="24"/>
        </w:rPr>
        <w:t>Group</w:t>
      </w:r>
      <w:proofErr w:type="spellEnd"/>
      <w:r w:rsidR="00E451B0" w:rsidRPr="00E45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51B0" w:rsidRPr="00E451B0">
        <w:rPr>
          <w:rFonts w:ascii="Times New Roman" w:hAnsi="Times New Roman"/>
          <w:sz w:val="24"/>
          <w:szCs w:val="24"/>
        </w:rPr>
        <w:t>plc</w:t>
      </w:r>
      <w:proofErr w:type="spellEnd"/>
      <w:r w:rsidR="00E451B0" w:rsidRPr="00E451B0">
        <w:rPr>
          <w:rFonts w:ascii="Times New Roman" w:hAnsi="Times New Roman"/>
          <w:sz w:val="24"/>
          <w:szCs w:val="24"/>
        </w:rPr>
        <w:t>» на узгоджені дії,</w:t>
      </w:r>
    </w:p>
    <w:p w:rsidR="00430E59" w:rsidRPr="00E451B0" w:rsidRDefault="00430E59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A54E4" w:rsidRDefault="008E3CEA" w:rsidP="00E451B0">
      <w:pPr>
        <w:ind w:firstLine="567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Pr="00E451B0" w:rsidRDefault="00E21B2E" w:rsidP="00E451B0">
      <w:pPr>
        <w:tabs>
          <w:tab w:val="left" w:pos="709"/>
          <w:tab w:val="left" w:pos="851"/>
        </w:tabs>
        <w:ind w:firstLine="567"/>
        <w:jc w:val="center"/>
        <w:rPr>
          <w:sz w:val="28"/>
          <w:szCs w:val="28"/>
          <w:lang w:val="uk-UA"/>
        </w:rPr>
      </w:pPr>
    </w:p>
    <w:p w:rsidR="006828D9" w:rsidRPr="006828D9" w:rsidRDefault="00012F0C" w:rsidP="00E451B0">
      <w:pPr>
        <w:pStyle w:val="a3"/>
        <w:tabs>
          <w:tab w:val="left" w:pos="1276"/>
        </w:tabs>
        <w:ind w:firstLine="567"/>
        <w:jc w:val="both"/>
        <w:rPr>
          <w:rFonts w:eastAsia="Calibri"/>
          <w:szCs w:val="24"/>
          <w:lang w:eastAsia="en-US"/>
        </w:rPr>
      </w:pPr>
      <w:r>
        <w:t>У</w:t>
      </w:r>
      <w:r w:rsidR="0083126B" w:rsidRPr="0083126B">
        <w:t>згоджені дії</w:t>
      </w:r>
      <w:r w:rsidR="00530596">
        <w:t xml:space="preserve"> будуть вчинятися у зв’язку із </w:t>
      </w:r>
      <w:r w:rsidR="0083126B" w:rsidRPr="0083126B">
        <w:t>здійснення</w:t>
      </w:r>
      <w:r w:rsidR="00530596">
        <w:t>м</w:t>
      </w:r>
      <w:r w:rsidR="0083126B" w:rsidRPr="0083126B">
        <w:t xml:space="preserve"> концентраці</w:t>
      </w:r>
      <w:r w:rsidR="006828D9">
        <w:t>й</w:t>
      </w:r>
      <w:r w:rsidR="0083126B" w:rsidRPr="0083126B">
        <w:t xml:space="preserve">, </w:t>
      </w:r>
      <w:r w:rsidR="006828D9" w:rsidRPr="006828D9">
        <w:rPr>
          <w:rFonts w:eastAsia="Calibri"/>
          <w:szCs w:val="24"/>
          <w:lang w:eastAsia="en-US"/>
        </w:rPr>
        <w:t>які полягають у придбанні:</w:t>
      </w:r>
    </w:p>
    <w:p w:rsidR="006828D9" w:rsidRPr="006828D9" w:rsidRDefault="006828D9" w:rsidP="00E451B0">
      <w:pPr>
        <w:tabs>
          <w:tab w:val="left" w:pos="1276"/>
          <w:tab w:val="center" w:pos="4819"/>
          <w:tab w:val="right" w:pos="9639"/>
        </w:tabs>
        <w:ind w:firstLine="567"/>
        <w:jc w:val="both"/>
        <w:rPr>
          <w:rFonts w:eastAsia="Calibri"/>
          <w:lang w:val="uk-UA" w:eastAsia="en-US"/>
        </w:rPr>
      </w:pPr>
      <w:r w:rsidRPr="006828D9">
        <w:rPr>
          <w:rFonts w:eastAsia="Calibri"/>
          <w:lang w:val="uk-UA" w:eastAsia="en-US"/>
        </w:rPr>
        <w:t>компанією «</w:t>
      </w:r>
      <w:proofErr w:type="spellStart"/>
      <w:r w:rsidRPr="006828D9">
        <w:rPr>
          <w:rFonts w:eastAsia="Calibri"/>
          <w:lang w:val="uk-UA" w:eastAsia="en-US"/>
        </w:rPr>
        <w:t>London</w:t>
      </w:r>
      <w:proofErr w:type="spellEnd"/>
      <w:r w:rsidRPr="006828D9">
        <w:rPr>
          <w:rFonts w:eastAsia="Calibri"/>
          <w:lang w:val="uk-UA" w:eastAsia="en-US"/>
        </w:rPr>
        <w:t xml:space="preserve"> </w:t>
      </w:r>
      <w:proofErr w:type="spellStart"/>
      <w:r w:rsidRPr="006828D9">
        <w:rPr>
          <w:rFonts w:eastAsia="Calibri"/>
          <w:lang w:val="uk-UA" w:eastAsia="en-US"/>
        </w:rPr>
        <w:t>Stock</w:t>
      </w:r>
      <w:proofErr w:type="spellEnd"/>
      <w:r w:rsidRPr="006828D9">
        <w:rPr>
          <w:rFonts w:eastAsia="Calibri"/>
          <w:lang w:val="uk-UA" w:eastAsia="en-US"/>
        </w:rPr>
        <w:t xml:space="preserve"> Exchange </w:t>
      </w:r>
      <w:proofErr w:type="spellStart"/>
      <w:r w:rsidRPr="006828D9">
        <w:rPr>
          <w:rFonts w:eastAsia="Calibri"/>
          <w:lang w:val="uk-UA" w:eastAsia="en-US"/>
        </w:rPr>
        <w:t>Group</w:t>
      </w:r>
      <w:proofErr w:type="spellEnd"/>
      <w:r w:rsidRPr="006828D9">
        <w:rPr>
          <w:rFonts w:eastAsia="Calibri"/>
          <w:lang w:val="uk-UA" w:eastAsia="en-US"/>
        </w:rPr>
        <w:t xml:space="preserve"> </w:t>
      </w:r>
      <w:proofErr w:type="spellStart"/>
      <w:r w:rsidRPr="006828D9">
        <w:rPr>
          <w:rFonts w:eastAsia="Calibri"/>
          <w:lang w:val="uk-UA" w:eastAsia="en-US"/>
        </w:rPr>
        <w:t>plc</w:t>
      </w:r>
      <w:proofErr w:type="spellEnd"/>
      <w:r w:rsidRPr="006828D9">
        <w:rPr>
          <w:rFonts w:eastAsia="Calibri"/>
          <w:lang w:val="uk-UA" w:eastAsia="en-US"/>
        </w:rPr>
        <w:t>» акцій компанії «</w:t>
      </w:r>
      <w:proofErr w:type="spellStart"/>
      <w:r w:rsidRPr="006828D9">
        <w:rPr>
          <w:rFonts w:eastAsia="Calibri"/>
          <w:lang w:val="uk-UA" w:eastAsia="en-US"/>
        </w:rPr>
        <w:t>Refinitiv</w:t>
      </w:r>
      <w:proofErr w:type="spellEnd"/>
      <w:r w:rsidRPr="006828D9">
        <w:rPr>
          <w:rFonts w:eastAsia="Calibri"/>
          <w:lang w:val="uk-UA" w:eastAsia="en-US"/>
        </w:rPr>
        <w:t xml:space="preserve"> </w:t>
      </w:r>
      <w:proofErr w:type="spellStart"/>
      <w:r w:rsidRPr="006828D9">
        <w:rPr>
          <w:rFonts w:eastAsia="Calibri"/>
          <w:lang w:val="uk-UA" w:eastAsia="en-US"/>
        </w:rPr>
        <w:t>Parent</w:t>
      </w:r>
      <w:proofErr w:type="spellEnd"/>
      <w:r w:rsidRPr="006828D9">
        <w:rPr>
          <w:rFonts w:eastAsia="Calibri"/>
          <w:lang w:val="uk-UA" w:eastAsia="en-US"/>
        </w:rPr>
        <w:t xml:space="preserve"> </w:t>
      </w:r>
      <w:proofErr w:type="spellStart"/>
      <w:r w:rsidRPr="006828D9">
        <w:rPr>
          <w:rFonts w:eastAsia="Calibri"/>
          <w:lang w:val="uk-UA" w:eastAsia="en-US"/>
        </w:rPr>
        <w:t>Limited</w:t>
      </w:r>
      <w:proofErr w:type="spellEnd"/>
      <w:r w:rsidRPr="006828D9">
        <w:rPr>
          <w:rFonts w:eastAsia="Calibri"/>
          <w:lang w:val="uk-UA" w:eastAsia="en-US"/>
        </w:rPr>
        <w:t>» (Гранд Кайман, Кайманові Острови), що забезпечує перевищення 50 відсотків голосів у вищому органі управління компанії;</w:t>
      </w:r>
    </w:p>
    <w:p w:rsidR="006828D9" w:rsidRPr="006828D9" w:rsidRDefault="006828D9" w:rsidP="00E451B0">
      <w:pPr>
        <w:tabs>
          <w:tab w:val="left" w:pos="1276"/>
          <w:tab w:val="center" w:pos="4819"/>
          <w:tab w:val="right" w:pos="9639"/>
        </w:tabs>
        <w:ind w:firstLine="567"/>
        <w:jc w:val="both"/>
        <w:rPr>
          <w:rFonts w:eastAsia="Calibri"/>
          <w:lang w:val="uk-UA" w:eastAsia="en-US"/>
        </w:rPr>
      </w:pPr>
      <w:r w:rsidRPr="006828D9">
        <w:rPr>
          <w:rFonts w:eastAsia="Calibri"/>
          <w:lang w:val="uk-UA" w:eastAsia="en-US"/>
        </w:rPr>
        <w:t>компанією «</w:t>
      </w:r>
      <w:proofErr w:type="spellStart"/>
      <w:r w:rsidRPr="006828D9">
        <w:rPr>
          <w:rFonts w:eastAsia="Calibri"/>
          <w:lang w:val="uk-UA" w:eastAsia="en-US"/>
        </w:rPr>
        <w:t>Refinitiv</w:t>
      </w:r>
      <w:proofErr w:type="spellEnd"/>
      <w:r w:rsidRPr="006828D9">
        <w:rPr>
          <w:rFonts w:eastAsia="Calibri"/>
          <w:lang w:val="uk-UA" w:eastAsia="en-US"/>
        </w:rPr>
        <w:t xml:space="preserve"> </w:t>
      </w:r>
      <w:proofErr w:type="spellStart"/>
      <w:r w:rsidRPr="006828D9">
        <w:rPr>
          <w:rFonts w:eastAsia="Calibri"/>
          <w:lang w:val="uk-UA" w:eastAsia="en-US"/>
        </w:rPr>
        <w:t>Holdings</w:t>
      </w:r>
      <w:proofErr w:type="spellEnd"/>
      <w:r w:rsidRPr="006828D9">
        <w:rPr>
          <w:rFonts w:eastAsia="Calibri"/>
          <w:lang w:val="uk-UA" w:eastAsia="en-US"/>
        </w:rPr>
        <w:t xml:space="preserve"> </w:t>
      </w:r>
      <w:proofErr w:type="spellStart"/>
      <w:r w:rsidRPr="006828D9">
        <w:rPr>
          <w:rFonts w:eastAsia="Calibri"/>
          <w:lang w:val="uk-UA" w:eastAsia="en-US"/>
        </w:rPr>
        <w:t>Limited</w:t>
      </w:r>
      <w:proofErr w:type="spellEnd"/>
      <w:r w:rsidRPr="006828D9">
        <w:rPr>
          <w:rFonts w:eastAsia="Calibri"/>
          <w:lang w:val="uk-UA" w:eastAsia="en-US"/>
        </w:rPr>
        <w:t>» акцій компанії «</w:t>
      </w:r>
      <w:proofErr w:type="spellStart"/>
      <w:r w:rsidRPr="006828D9">
        <w:rPr>
          <w:rFonts w:eastAsia="Calibri"/>
          <w:lang w:val="uk-UA" w:eastAsia="en-US"/>
        </w:rPr>
        <w:t>London</w:t>
      </w:r>
      <w:proofErr w:type="spellEnd"/>
      <w:r w:rsidRPr="006828D9">
        <w:rPr>
          <w:rFonts w:eastAsia="Calibri"/>
          <w:lang w:val="uk-UA" w:eastAsia="en-US"/>
        </w:rPr>
        <w:t xml:space="preserve"> </w:t>
      </w:r>
      <w:proofErr w:type="spellStart"/>
      <w:r w:rsidRPr="006828D9">
        <w:rPr>
          <w:rFonts w:eastAsia="Calibri"/>
          <w:lang w:val="uk-UA" w:eastAsia="en-US"/>
        </w:rPr>
        <w:t>Stock</w:t>
      </w:r>
      <w:proofErr w:type="spellEnd"/>
      <w:r w:rsidRPr="006828D9">
        <w:rPr>
          <w:rFonts w:eastAsia="Calibri"/>
          <w:lang w:val="uk-UA" w:eastAsia="en-US"/>
        </w:rPr>
        <w:t xml:space="preserve"> Exchange </w:t>
      </w:r>
      <w:proofErr w:type="spellStart"/>
      <w:r w:rsidRPr="006828D9">
        <w:rPr>
          <w:rFonts w:eastAsia="Calibri"/>
          <w:lang w:val="uk-UA" w:eastAsia="en-US"/>
        </w:rPr>
        <w:t>Group</w:t>
      </w:r>
      <w:proofErr w:type="spellEnd"/>
      <w:r w:rsidRPr="006828D9">
        <w:rPr>
          <w:rFonts w:eastAsia="Calibri"/>
          <w:lang w:val="uk-UA" w:eastAsia="en-US"/>
        </w:rPr>
        <w:t xml:space="preserve"> </w:t>
      </w:r>
      <w:proofErr w:type="spellStart"/>
      <w:r w:rsidRPr="006828D9">
        <w:rPr>
          <w:rFonts w:eastAsia="Calibri"/>
          <w:lang w:val="uk-UA" w:eastAsia="en-US"/>
        </w:rPr>
        <w:t>plc</w:t>
      </w:r>
      <w:proofErr w:type="spellEnd"/>
      <w:r w:rsidRPr="006828D9">
        <w:rPr>
          <w:rFonts w:eastAsia="Calibri"/>
          <w:lang w:val="uk-UA" w:eastAsia="en-US"/>
        </w:rPr>
        <w:t>», що забезпечує перевищення 25 відсотків голосів у вищому органі управління компанії;</w:t>
      </w:r>
    </w:p>
    <w:p w:rsidR="006828D9" w:rsidRPr="006828D9" w:rsidRDefault="006828D9" w:rsidP="00E451B0">
      <w:pPr>
        <w:tabs>
          <w:tab w:val="left" w:pos="1276"/>
          <w:tab w:val="center" w:pos="4819"/>
          <w:tab w:val="right" w:pos="9639"/>
        </w:tabs>
        <w:ind w:firstLine="567"/>
        <w:jc w:val="both"/>
        <w:rPr>
          <w:rFonts w:eastAsia="Calibri"/>
          <w:lang w:val="uk-UA" w:eastAsia="en-US"/>
        </w:rPr>
      </w:pPr>
      <w:r w:rsidRPr="006828D9">
        <w:rPr>
          <w:rFonts w:eastAsia="Calibri"/>
          <w:lang w:val="uk-UA" w:eastAsia="en-US"/>
        </w:rPr>
        <w:t>заявлені концентрації не призводять до монополізації чи суттєвого обмеження конкуренції на товарних ринках України.</w:t>
      </w:r>
    </w:p>
    <w:p w:rsidR="00CB09F2" w:rsidRDefault="00CB09F2" w:rsidP="00E451B0">
      <w:pPr>
        <w:pStyle w:val="a3"/>
        <w:tabs>
          <w:tab w:val="left" w:pos="1276"/>
        </w:tabs>
        <w:ind w:firstLine="567"/>
        <w:jc w:val="both"/>
      </w:pPr>
    </w:p>
    <w:p w:rsidR="0083126B" w:rsidRPr="00E21B2E" w:rsidRDefault="0083126B" w:rsidP="00E451B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val="uk-UA"/>
        </w:rPr>
      </w:pPr>
      <w:r w:rsidRPr="00E21B2E">
        <w:rPr>
          <w:lang w:val="uk-UA"/>
        </w:rPr>
        <w:t>За інформацією заявників:</w:t>
      </w:r>
    </w:p>
    <w:p w:rsidR="00430E59" w:rsidRPr="00430E59" w:rsidRDefault="00012F0C" w:rsidP="00E451B0">
      <w:pPr>
        <w:ind w:firstLine="567"/>
        <w:jc w:val="both"/>
        <w:rPr>
          <w:rFonts w:eastAsia="Calibri"/>
          <w:lang w:val="uk-UA" w:eastAsia="en-US"/>
        </w:rPr>
      </w:pPr>
      <w:r>
        <w:rPr>
          <w:color w:val="000000"/>
          <w:lang w:val="uk-UA"/>
        </w:rPr>
        <w:t>у</w:t>
      </w:r>
      <w:r w:rsidR="00083AA3" w:rsidRPr="00014E06">
        <w:rPr>
          <w:color w:val="000000"/>
          <w:lang w:val="uk-UA"/>
        </w:rPr>
        <w:t xml:space="preserve">згоджені дії полягають </w:t>
      </w:r>
      <w:r w:rsidR="00430E59" w:rsidRPr="00430E59">
        <w:rPr>
          <w:rFonts w:eastAsia="Calibri"/>
          <w:lang w:val="uk-UA" w:eastAsia="en-US"/>
        </w:rPr>
        <w:t>у</w:t>
      </w:r>
      <w:r w:rsidR="00430E59" w:rsidRPr="00430E59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="00E451B0" w:rsidRPr="006828D9">
        <w:rPr>
          <w:lang w:val="uk-UA" w:eastAsia="en-US"/>
        </w:rPr>
        <w:t xml:space="preserve">реалізації Положень про утримання від конкуренції та заборону переманювання працівників, що містяться </w:t>
      </w:r>
      <w:r w:rsidR="00003D34">
        <w:rPr>
          <w:lang w:val="uk-UA" w:eastAsia="en-US"/>
        </w:rPr>
        <w:t>в</w:t>
      </w:r>
      <w:r w:rsidR="00E451B0" w:rsidRPr="006828D9">
        <w:rPr>
          <w:lang w:val="uk-UA" w:eastAsia="en-US"/>
        </w:rPr>
        <w:t xml:space="preserve"> </w:t>
      </w:r>
      <w:r w:rsidR="00003D34">
        <w:rPr>
          <w:lang w:val="uk-UA" w:eastAsia="en-US"/>
        </w:rPr>
        <w:t>р</w:t>
      </w:r>
      <w:r w:rsidR="00E451B0" w:rsidRPr="006828D9">
        <w:rPr>
          <w:lang w:val="uk-UA" w:eastAsia="en-US"/>
        </w:rPr>
        <w:t xml:space="preserve">озділі 5.13 зміненого та переглянутого договору купівлі-продажу цінних паперів від </w:t>
      </w:r>
      <w:r w:rsidR="00003D34">
        <w:rPr>
          <w:lang w:val="uk-UA" w:eastAsia="en-US"/>
        </w:rPr>
        <w:t>0</w:t>
      </w:r>
      <w:r w:rsidR="00E451B0" w:rsidRPr="006828D9">
        <w:rPr>
          <w:lang w:val="uk-UA" w:eastAsia="en-US"/>
        </w:rPr>
        <w:t xml:space="preserve">1 серпня 2019 року, укладеного між, </w:t>
      </w:r>
      <w:r w:rsidR="00003D34">
        <w:rPr>
          <w:lang w:val="uk-UA" w:eastAsia="en-US"/>
        </w:rPr>
        <w:t>з-</w:t>
      </w:r>
      <w:r w:rsidR="00E451B0" w:rsidRPr="006828D9">
        <w:rPr>
          <w:lang w:val="uk-UA" w:eastAsia="en-US"/>
        </w:rPr>
        <w:t>поміж інших, компаніями «</w:t>
      </w:r>
      <w:proofErr w:type="spellStart"/>
      <w:r w:rsidR="00E451B0" w:rsidRPr="006828D9">
        <w:rPr>
          <w:lang w:val="uk-UA" w:eastAsia="en-US"/>
        </w:rPr>
        <w:t>London</w:t>
      </w:r>
      <w:proofErr w:type="spellEnd"/>
      <w:r w:rsidR="00E451B0" w:rsidRPr="006828D9">
        <w:rPr>
          <w:lang w:val="uk-UA" w:eastAsia="en-US"/>
        </w:rPr>
        <w:t xml:space="preserve"> </w:t>
      </w:r>
      <w:proofErr w:type="spellStart"/>
      <w:r w:rsidR="00E451B0" w:rsidRPr="006828D9">
        <w:rPr>
          <w:lang w:val="uk-UA" w:eastAsia="en-US"/>
        </w:rPr>
        <w:t>Stock</w:t>
      </w:r>
      <w:proofErr w:type="spellEnd"/>
      <w:r w:rsidR="00E451B0" w:rsidRPr="006828D9">
        <w:rPr>
          <w:lang w:val="uk-UA" w:eastAsia="en-US"/>
        </w:rPr>
        <w:t xml:space="preserve"> Exchange </w:t>
      </w:r>
      <w:proofErr w:type="spellStart"/>
      <w:r w:rsidR="00E451B0" w:rsidRPr="006828D9">
        <w:rPr>
          <w:lang w:val="uk-UA" w:eastAsia="en-US"/>
        </w:rPr>
        <w:t>Group</w:t>
      </w:r>
      <w:proofErr w:type="spellEnd"/>
      <w:r w:rsidR="00E451B0" w:rsidRPr="006828D9">
        <w:rPr>
          <w:lang w:val="uk-UA" w:eastAsia="en-US"/>
        </w:rPr>
        <w:t xml:space="preserve"> </w:t>
      </w:r>
      <w:proofErr w:type="spellStart"/>
      <w:r w:rsidR="00E451B0" w:rsidRPr="006828D9">
        <w:rPr>
          <w:lang w:val="uk-UA" w:eastAsia="en-US"/>
        </w:rPr>
        <w:t>plc</w:t>
      </w:r>
      <w:proofErr w:type="spellEnd"/>
      <w:r w:rsidR="00E451B0" w:rsidRPr="006828D9">
        <w:rPr>
          <w:lang w:val="uk-UA" w:eastAsia="en-US"/>
        </w:rPr>
        <w:t>» та «</w:t>
      </w:r>
      <w:proofErr w:type="spellStart"/>
      <w:r w:rsidR="00E451B0" w:rsidRPr="006828D9">
        <w:rPr>
          <w:lang w:val="uk-UA" w:eastAsia="en-US"/>
        </w:rPr>
        <w:t>Refinitiv</w:t>
      </w:r>
      <w:proofErr w:type="spellEnd"/>
      <w:r w:rsidR="00E451B0" w:rsidRPr="006828D9">
        <w:rPr>
          <w:lang w:val="uk-UA" w:eastAsia="en-US"/>
        </w:rPr>
        <w:t xml:space="preserve"> </w:t>
      </w:r>
      <w:proofErr w:type="spellStart"/>
      <w:r w:rsidR="00E451B0" w:rsidRPr="006828D9">
        <w:rPr>
          <w:lang w:val="uk-UA" w:eastAsia="en-US"/>
        </w:rPr>
        <w:t>Holdings</w:t>
      </w:r>
      <w:proofErr w:type="spellEnd"/>
      <w:r w:rsidR="00E451B0" w:rsidRPr="006828D9">
        <w:rPr>
          <w:lang w:val="uk-UA" w:eastAsia="en-US"/>
        </w:rPr>
        <w:t xml:space="preserve"> </w:t>
      </w:r>
      <w:proofErr w:type="spellStart"/>
      <w:r w:rsidR="00E451B0" w:rsidRPr="006828D9">
        <w:rPr>
          <w:lang w:val="uk-UA" w:eastAsia="en-US"/>
        </w:rPr>
        <w:t>Limited</w:t>
      </w:r>
      <w:proofErr w:type="spellEnd"/>
      <w:r w:rsidR="00E451B0" w:rsidRPr="006828D9">
        <w:rPr>
          <w:lang w:val="uk-UA" w:eastAsia="en-US"/>
        </w:rPr>
        <w:t>»</w:t>
      </w:r>
      <w:r w:rsidR="00E451B0">
        <w:rPr>
          <w:rFonts w:eastAsia="Calibri"/>
          <w:lang w:val="uk-UA" w:eastAsia="en-US"/>
        </w:rPr>
        <w:t>;</w:t>
      </w:r>
    </w:p>
    <w:p w:rsidR="00E451B0" w:rsidRPr="00E451B0" w:rsidRDefault="00E451B0" w:rsidP="00E451B0">
      <w:pPr>
        <w:ind w:firstLine="567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в</w:t>
      </w:r>
      <w:r w:rsidRPr="00E451B0">
        <w:rPr>
          <w:rFonts w:eastAsia="Calibri"/>
          <w:lang w:val="uk-UA" w:eastAsia="en-US"/>
        </w:rPr>
        <w:t xml:space="preserve">ідповідно до </w:t>
      </w:r>
      <w:r w:rsidR="00003D34">
        <w:rPr>
          <w:lang w:val="uk-UA" w:eastAsia="en-US"/>
        </w:rPr>
        <w:t>р</w:t>
      </w:r>
      <w:r w:rsidRPr="00E451B0">
        <w:rPr>
          <w:lang w:val="uk-UA" w:eastAsia="en-US"/>
        </w:rPr>
        <w:t xml:space="preserve">озділу 5.13 </w:t>
      </w:r>
      <w:r w:rsidRPr="00E451B0">
        <w:rPr>
          <w:rFonts w:eastAsia="Calibri"/>
          <w:lang w:val="uk-UA" w:eastAsia="en-US"/>
        </w:rPr>
        <w:t xml:space="preserve">договору купівлі-продажу цінних паперів від </w:t>
      </w:r>
      <w:r w:rsidR="00003D34">
        <w:rPr>
          <w:rFonts w:eastAsia="Calibri"/>
          <w:lang w:val="uk-UA" w:eastAsia="en-US"/>
        </w:rPr>
        <w:t>0</w:t>
      </w:r>
      <w:r w:rsidRPr="00E451B0">
        <w:rPr>
          <w:rFonts w:eastAsia="Calibri"/>
          <w:lang w:val="uk-UA" w:eastAsia="en-US"/>
        </w:rPr>
        <w:t xml:space="preserve">1 серпня </w:t>
      </w:r>
      <w:r w:rsidR="00003D34">
        <w:rPr>
          <w:rFonts w:eastAsia="Calibri"/>
          <w:lang w:val="uk-UA" w:eastAsia="en-US"/>
        </w:rPr>
        <w:t xml:space="preserve">            </w:t>
      </w:r>
      <w:r w:rsidRPr="00E451B0">
        <w:rPr>
          <w:rFonts w:eastAsia="Calibri"/>
          <w:lang w:val="uk-UA" w:eastAsia="en-US"/>
        </w:rPr>
        <w:t>2019 року, сторони погодилися, що протягом:</w:t>
      </w:r>
    </w:p>
    <w:p w:rsidR="00E451B0" w:rsidRPr="00E451B0" w:rsidRDefault="00003D34" w:rsidP="00E451B0">
      <w:pPr>
        <w:ind w:firstLine="567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«</w:t>
      </w:r>
      <w:r w:rsidR="00E451B0" w:rsidRPr="00E451B0">
        <w:rPr>
          <w:rFonts w:eastAsia="Calibri"/>
          <w:lang w:val="uk-UA" w:eastAsia="en-US"/>
        </w:rPr>
        <w:t>трьох років після завершення компанія «</w:t>
      </w:r>
      <w:proofErr w:type="spellStart"/>
      <w:r w:rsidR="00E451B0" w:rsidRPr="00E451B0">
        <w:rPr>
          <w:rFonts w:eastAsia="Calibri"/>
          <w:lang w:val="uk-UA" w:eastAsia="en-US"/>
        </w:rPr>
        <w:t>Refinitiv</w:t>
      </w:r>
      <w:proofErr w:type="spellEnd"/>
      <w:r w:rsidR="00E451B0" w:rsidRPr="00E451B0">
        <w:rPr>
          <w:rFonts w:eastAsia="Calibri"/>
          <w:lang w:val="uk-UA" w:eastAsia="en-US"/>
        </w:rPr>
        <w:t xml:space="preserve"> </w:t>
      </w:r>
      <w:proofErr w:type="spellStart"/>
      <w:r w:rsidR="00E451B0" w:rsidRPr="00E451B0">
        <w:rPr>
          <w:rFonts w:eastAsia="Calibri"/>
          <w:lang w:val="uk-UA" w:eastAsia="en-US"/>
        </w:rPr>
        <w:t>Holdings</w:t>
      </w:r>
      <w:proofErr w:type="spellEnd"/>
      <w:r w:rsidR="00E451B0" w:rsidRPr="00E451B0">
        <w:rPr>
          <w:rFonts w:eastAsia="Calibri"/>
          <w:lang w:val="uk-UA" w:eastAsia="en-US"/>
        </w:rPr>
        <w:t xml:space="preserve"> </w:t>
      </w:r>
      <w:proofErr w:type="spellStart"/>
      <w:r w:rsidR="00E451B0" w:rsidRPr="00E451B0">
        <w:rPr>
          <w:rFonts w:eastAsia="Calibri"/>
          <w:lang w:val="uk-UA" w:eastAsia="en-US"/>
        </w:rPr>
        <w:t>Limited</w:t>
      </w:r>
      <w:proofErr w:type="spellEnd"/>
      <w:r w:rsidR="00E451B0" w:rsidRPr="00E451B0">
        <w:rPr>
          <w:rFonts w:eastAsia="Calibri"/>
          <w:lang w:val="uk-UA" w:eastAsia="en-US"/>
        </w:rPr>
        <w:t xml:space="preserve">» не буде, і змусить свої підконтрольні компанії прямо чи опосередковано не пропонувати чи продавати будь-які товари, послуги, програмне забезпечення або рішення, які є або можуть слугувати розумними замінниками таких товарів, послуг, програмного забезпечення або рішень, які пропонують будь-які члени Групи </w:t>
      </w:r>
      <w:proofErr w:type="spellStart"/>
      <w:r w:rsidR="00E451B0" w:rsidRPr="00E451B0">
        <w:rPr>
          <w:rFonts w:eastAsia="Calibri"/>
          <w:lang w:val="uk-UA" w:eastAsia="en-US"/>
        </w:rPr>
        <w:t>Refinitiv</w:t>
      </w:r>
      <w:proofErr w:type="spellEnd"/>
      <w:r w:rsidR="00E451B0" w:rsidRPr="00E451B0">
        <w:rPr>
          <w:rFonts w:eastAsia="Calibri"/>
          <w:lang w:val="uk-UA" w:eastAsia="en-US"/>
        </w:rPr>
        <w:t>; та будь-які додатки, розширення, модифікації та заміни таких товарів, послуг, програмного забезпечення або рішень, які мають по суті те саме призначення та сферу застосування, як і зазначені товари, послуги, програмне забезпечення або рішення; або не керувати, заробляти, консультувати або набувати власний капітал або частку голосу будь-якої особи, яка займається будь-якою господарською діяльністю, забороненою відповідно до цього розділу,</w:t>
      </w:r>
    </w:p>
    <w:p w:rsidR="00083AA3" w:rsidRDefault="00E451B0" w:rsidP="00E451B0">
      <w:pPr>
        <w:ind w:firstLine="567"/>
        <w:jc w:val="both"/>
        <w:rPr>
          <w:rFonts w:eastAsia="Calibri"/>
          <w:lang w:val="uk-UA" w:eastAsia="en-US"/>
        </w:rPr>
      </w:pPr>
      <w:r w:rsidRPr="00E451B0">
        <w:rPr>
          <w:rFonts w:eastAsia="Calibri"/>
          <w:lang w:val="uk-UA" w:eastAsia="en-US"/>
        </w:rPr>
        <w:t xml:space="preserve">двох років після завершення, кожна з них не буде, і змусить свої підконтрольні компанії прямо, або опосередковано не вимагати послуг та не працевлаштовуватись </w:t>
      </w:r>
      <w:r w:rsidRPr="00E451B0">
        <w:rPr>
          <w:rFonts w:eastAsia="Calibri"/>
          <w:lang w:val="uk-UA" w:eastAsia="en-US"/>
        </w:rPr>
        <w:lastRenderedPageBreak/>
        <w:t>працівником, консультантом або іншим чином (не викликати та не намагатися викликати відмову від працевлаштування) певних ключових працівників іншої сторони</w:t>
      </w:r>
      <w:r w:rsidR="00003D34">
        <w:rPr>
          <w:rFonts w:eastAsia="Calibri"/>
          <w:lang w:val="uk-UA" w:eastAsia="en-US"/>
        </w:rPr>
        <w:t>»</w:t>
      </w:r>
      <w:r>
        <w:rPr>
          <w:rFonts w:eastAsia="Calibri"/>
          <w:lang w:val="uk-UA" w:eastAsia="en-US"/>
        </w:rPr>
        <w:t>.</w:t>
      </w:r>
    </w:p>
    <w:p w:rsidR="00E451B0" w:rsidRPr="00642896" w:rsidRDefault="00E451B0" w:rsidP="00E451B0">
      <w:pPr>
        <w:ind w:firstLine="567"/>
        <w:jc w:val="both"/>
        <w:rPr>
          <w:color w:val="000000"/>
          <w:lang w:val="uk-UA"/>
        </w:rPr>
      </w:pPr>
    </w:p>
    <w:p w:rsidR="004C128F" w:rsidRPr="000D1C3E" w:rsidRDefault="004B15C6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8E3CEA" w:rsidRDefault="00E93B54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</w:t>
      </w:r>
      <w:r w:rsidR="00690E2A">
        <w:rPr>
          <w:rFonts w:ascii="Times New Roman" w:hAnsi="Times New Roman"/>
          <w:sz w:val="24"/>
          <w:szCs w:val="24"/>
        </w:rPr>
        <w:t xml:space="preserve">                          </w:t>
      </w:r>
      <w:r w:rsidR="00C61BC8" w:rsidRPr="000D1C3E">
        <w:rPr>
          <w:rFonts w:ascii="Times New Roman" w:hAnsi="Times New Roman"/>
          <w:sz w:val="24"/>
          <w:szCs w:val="24"/>
        </w:rPr>
        <w:t xml:space="preserve">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</w:t>
      </w:r>
      <w:r w:rsidR="00690E2A">
        <w:rPr>
          <w:rFonts w:ascii="Times New Roman" w:hAnsi="Times New Roman"/>
          <w:sz w:val="24"/>
          <w:szCs w:val="24"/>
        </w:rPr>
        <w:t xml:space="preserve">  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суб’єктів господарювання, затвердженим розпорядженням Антимонопольного комітету України 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 xml:space="preserve">№ 26-р, зареєстрованим у Міністерстві юстиції України </w:t>
      </w:r>
      <w:r w:rsidR="00ED6794">
        <w:rPr>
          <w:rFonts w:ascii="Times New Roman" w:hAnsi="Times New Roman"/>
          <w:sz w:val="24"/>
          <w:szCs w:val="24"/>
        </w:rPr>
        <w:t xml:space="preserve">                  </w:t>
      </w:r>
      <w:r w:rsidR="00596EC4" w:rsidRPr="000D1C3E">
        <w:rPr>
          <w:rFonts w:ascii="Times New Roman" w:hAnsi="Times New Roman"/>
          <w:sz w:val="24"/>
          <w:szCs w:val="24"/>
        </w:rPr>
        <w:t>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E451B0" w:rsidRPr="00E451B0" w:rsidRDefault="00E451B0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C56B9" w:rsidRPr="000D1C3E" w:rsidRDefault="0011313C" w:rsidP="00E451B0">
      <w:pPr>
        <w:overflowPunct w:val="0"/>
        <w:autoSpaceDE w:val="0"/>
        <w:autoSpaceDN w:val="0"/>
        <w:adjustRightInd w:val="0"/>
        <w:ind w:firstLine="567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E451B0" w:rsidRDefault="000D1C3E" w:rsidP="00E451B0">
      <w:pPr>
        <w:overflowPunct w:val="0"/>
        <w:autoSpaceDE w:val="0"/>
        <w:autoSpaceDN w:val="0"/>
        <w:adjustRightInd w:val="0"/>
        <w:ind w:firstLine="567"/>
        <w:rPr>
          <w:sz w:val="28"/>
          <w:szCs w:val="28"/>
          <w:lang w:val="uk-UA"/>
        </w:rPr>
      </w:pPr>
    </w:p>
    <w:p w:rsidR="0011313C" w:rsidRDefault="00E451B0" w:rsidP="00E451B0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rFonts w:eastAsia="Calibri"/>
          <w:lang w:val="uk-UA" w:eastAsia="en-US"/>
        </w:rPr>
        <w:t>Н</w:t>
      </w:r>
      <w:r w:rsidRPr="00E451B0">
        <w:rPr>
          <w:rFonts w:eastAsia="Calibri"/>
          <w:lang w:val="uk-UA" w:eastAsia="en-US"/>
        </w:rPr>
        <w:t>адати дозвіл компанії «</w:t>
      </w:r>
      <w:proofErr w:type="spellStart"/>
      <w:r w:rsidRPr="00E451B0">
        <w:rPr>
          <w:rFonts w:eastAsia="Calibri"/>
          <w:lang w:val="uk-UA" w:eastAsia="en-US"/>
        </w:rPr>
        <w:t>Refinitiv</w:t>
      </w:r>
      <w:proofErr w:type="spellEnd"/>
      <w:r w:rsidRPr="00E451B0">
        <w:rPr>
          <w:rFonts w:eastAsia="Calibri"/>
          <w:lang w:val="uk-UA" w:eastAsia="en-US"/>
        </w:rPr>
        <w:t xml:space="preserve"> </w:t>
      </w:r>
      <w:proofErr w:type="spellStart"/>
      <w:r w:rsidRPr="00E451B0">
        <w:rPr>
          <w:rFonts w:eastAsia="Calibri"/>
          <w:lang w:val="uk-UA" w:eastAsia="en-US"/>
        </w:rPr>
        <w:t>Holdings</w:t>
      </w:r>
      <w:proofErr w:type="spellEnd"/>
      <w:r w:rsidRPr="00E451B0">
        <w:rPr>
          <w:rFonts w:eastAsia="Calibri"/>
          <w:lang w:val="uk-UA" w:eastAsia="en-US"/>
        </w:rPr>
        <w:t xml:space="preserve"> </w:t>
      </w:r>
      <w:proofErr w:type="spellStart"/>
      <w:r w:rsidRPr="00E451B0">
        <w:rPr>
          <w:rFonts w:eastAsia="Calibri"/>
          <w:lang w:val="uk-UA" w:eastAsia="en-US"/>
        </w:rPr>
        <w:t>Limited</w:t>
      </w:r>
      <w:proofErr w:type="spellEnd"/>
      <w:r w:rsidRPr="00E451B0">
        <w:rPr>
          <w:rFonts w:eastAsia="Calibri"/>
          <w:lang w:val="uk-UA" w:eastAsia="en-US"/>
        </w:rPr>
        <w:t>» (м. Лондон, Великобританія) та компанії «</w:t>
      </w:r>
      <w:proofErr w:type="spellStart"/>
      <w:r w:rsidRPr="00E451B0">
        <w:rPr>
          <w:rFonts w:eastAsia="Calibri"/>
          <w:lang w:val="uk-UA" w:eastAsia="en-US"/>
        </w:rPr>
        <w:t>London</w:t>
      </w:r>
      <w:proofErr w:type="spellEnd"/>
      <w:r w:rsidRPr="00E451B0">
        <w:rPr>
          <w:rFonts w:eastAsia="Calibri"/>
          <w:lang w:val="uk-UA" w:eastAsia="en-US"/>
        </w:rPr>
        <w:t xml:space="preserve"> </w:t>
      </w:r>
      <w:proofErr w:type="spellStart"/>
      <w:r w:rsidRPr="00E451B0">
        <w:rPr>
          <w:rFonts w:eastAsia="Calibri"/>
          <w:lang w:val="uk-UA" w:eastAsia="en-US"/>
        </w:rPr>
        <w:t>Stock</w:t>
      </w:r>
      <w:proofErr w:type="spellEnd"/>
      <w:r w:rsidRPr="00E451B0">
        <w:rPr>
          <w:rFonts w:eastAsia="Calibri"/>
          <w:lang w:val="uk-UA" w:eastAsia="en-US"/>
        </w:rPr>
        <w:t xml:space="preserve"> Exchange </w:t>
      </w:r>
      <w:proofErr w:type="spellStart"/>
      <w:r w:rsidRPr="00E451B0">
        <w:rPr>
          <w:rFonts w:eastAsia="Calibri"/>
          <w:lang w:val="uk-UA" w:eastAsia="en-US"/>
        </w:rPr>
        <w:t>Group</w:t>
      </w:r>
      <w:proofErr w:type="spellEnd"/>
      <w:r w:rsidRPr="00E451B0">
        <w:rPr>
          <w:rFonts w:eastAsia="Calibri"/>
          <w:lang w:val="uk-UA" w:eastAsia="en-US"/>
        </w:rPr>
        <w:t xml:space="preserve"> </w:t>
      </w:r>
      <w:proofErr w:type="spellStart"/>
      <w:r w:rsidRPr="00E451B0">
        <w:rPr>
          <w:rFonts w:eastAsia="Calibri"/>
          <w:lang w:val="uk-UA" w:eastAsia="en-US"/>
        </w:rPr>
        <w:t>plc</w:t>
      </w:r>
      <w:proofErr w:type="spellEnd"/>
      <w:r w:rsidRPr="00E451B0">
        <w:rPr>
          <w:rFonts w:eastAsia="Calibri"/>
          <w:lang w:val="uk-UA" w:eastAsia="en-US"/>
        </w:rPr>
        <w:t xml:space="preserve">» (м. Лондон, Великобританія) на узгоджені дії у вигляді реалізації Положень зміненого та переглянутого договору купівлі-продажу цінних паперів від </w:t>
      </w:r>
      <w:r w:rsidR="00003D34">
        <w:rPr>
          <w:rFonts w:eastAsia="Calibri"/>
          <w:lang w:val="uk-UA" w:eastAsia="en-US"/>
        </w:rPr>
        <w:t>0</w:t>
      </w:r>
      <w:r w:rsidRPr="00E451B0">
        <w:rPr>
          <w:rFonts w:eastAsia="Calibri"/>
          <w:lang w:val="uk-UA" w:eastAsia="en-US"/>
        </w:rPr>
        <w:t xml:space="preserve">1 серпня 2019 року, укладеного між, </w:t>
      </w:r>
      <w:r w:rsidR="00003D34">
        <w:rPr>
          <w:rFonts w:eastAsia="Calibri"/>
          <w:lang w:val="uk-UA" w:eastAsia="en-US"/>
        </w:rPr>
        <w:t>з-</w:t>
      </w:r>
      <w:r w:rsidRPr="00E451B0">
        <w:rPr>
          <w:rFonts w:eastAsia="Calibri"/>
          <w:lang w:val="uk-UA" w:eastAsia="en-US"/>
        </w:rPr>
        <w:t>поміж інших, компаніями «</w:t>
      </w:r>
      <w:proofErr w:type="spellStart"/>
      <w:r w:rsidRPr="00E451B0">
        <w:rPr>
          <w:rFonts w:eastAsia="Calibri"/>
          <w:lang w:val="uk-UA" w:eastAsia="en-US"/>
        </w:rPr>
        <w:t>London</w:t>
      </w:r>
      <w:proofErr w:type="spellEnd"/>
      <w:r w:rsidRPr="00E451B0">
        <w:rPr>
          <w:rFonts w:eastAsia="Calibri"/>
          <w:lang w:val="uk-UA" w:eastAsia="en-US"/>
        </w:rPr>
        <w:t xml:space="preserve"> </w:t>
      </w:r>
      <w:proofErr w:type="spellStart"/>
      <w:r w:rsidRPr="00E451B0">
        <w:rPr>
          <w:rFonts w:eastAsia="Calibri"/>
          <w:lang w:val="uk-UA" w:eastAsia="en-US"/>
        </w:rPr>
        <w:t>Stock</w:t>
      </w:r>
      <w:proofErr w:type="spellEnd"/>
      <w:r w:rsidRPr="00E451B0">
        <w:rPr>
          <w:rFonts w:eastAsia="Calibri"/>
          <w:lang w:val="uk-UA" w:eastAsia="en-US"/>
        </w:rPr>
        <w:t xml:space="preserve"> Exchange </w:t>
      </w:r>
      <w:proofErr w:type="spellStart"/>
      <w:r w:rsidRPr="00E451B0">
        <w:rPr>
          <w:rFonts w:eastAsia="Calibri"/>
          <w:lang w:val="uk-UA" w:eastAsia="en-US"/>
        </w:rPr>
        <w:t>Group</w:t>
      </w:r>
      <w:proofErr w:type="spellEnd"/>
      <w:r w:rsidRPr="00E451B0">
        <w:rPr>
          <w:rFonts w:eastAsia="Calibri"/>
          <w:lang w:val="uk-UA" w:eastAsia="en-US"/>
        </w:rPr>
        <w:t xml:space="preserve"> </w:t>
      </w:r>
      <w:proofErr w:type="spellStart"/>
      <w:r w:rsidRPr="00E451B0">
        <w:rPr>
          <w:rFonts w:eastAsia="Calibri"/>
          <w:lang w:val="uk-UA" w:eastAsia="en-US"/>
        </w:rPr>
        <w:t>plc</w:t>
      </w:r>
      <w:proofErr w:type="spellEnd"/>
      <w:r w:rsidRPr="00E451B0">
        <w:rPr>
          <w:rFonts w:eastAsia="Calibri"/>
          <w:lang w:val="uk-UA" w:eastAsia="en-US"/>
        </w:rPr>
        <w:t>» та «</w:t>
      </w:r>
      <w:proofErr w:type="spellStart"/>
      <w:r w:rsidRPr="00E451B0">
        <w:rPr>
          <w:rFonts w:eastAsia="Calibri"/>
          <w:lang w:val="uk-UA" w:eastAsia="en-US"/>
        </w:rPr>
        <w:t>Refinitiv</w:t>
      </w:r>
      <w:proofErr w:type="spellEnd"/>
      <w:r w:rsidRPr="00E451B0">
        <w:rPr>
          <w:rFonts w:eastAsia="Calibri"/>
          <w:lang w:val="uk-UA" w:eastAsia="en-US"/>
        </w:rPr>
        <w:t xml:space="preserve"> </w:t>
      </w:r>
      <w:proofErr w:type="spellStart"/>
      <w:r w:rsidRPr="00E451B0">
        <w:rPr>
          <w:rFonts w:eastAsia="Calibri"/>
          <w:lang w:val="uk-UA" w:eastAsia="en-US"/>
        </w:rPr>
        <w:t>Holdings</w:t>
      </w:r>
      <w:proofErr w:type="spellEnd"/>
      <w:r w:rsidRPr="00E451B0">
        <w:rPr>
          <w:rFonts w:eastAsia="Calibri"/>
          <w:lang w:val="uk-UA" w:eastAsia="en-US"/>
        </w:rPr>
        <w:t xml:space="preserve"> </w:t>
      </w:r>
      <w:proofErr w:type="spellStart"/>
      <w:r w:rsidRPr="00E451B0">
        <w:rPr>
          <w:rFonts w:eastAsia="Calibri"/>
          <w:lang w:val="uk-UA" w:eastAsia="en-US"/>
        </w:rPr>
        <w:t>Limited</w:t>
      </w:r>
      <w:proofErr w:type="spellEnd"/>
      <w:r w:rsidRPr="00E451B0">
        <w:rPr>
          <w:rFonts w:eastAsia="Calibri"/>
          <w:lang w:val="uk-UA" w:eastAsia="en-US"/>
        </w:rPr>
        <w:t>»</w:t>
      </w:r>
      <w:r w:rsidR="003B4F4E" w:rsidRPr="003B4F4E">
        <w:rPr>
          <w:lang w:val="uk-UA"/>
        </w:rPr>
        <w:t xml:space="preserve"> </w:t>
      </w:r>
      <w:r w:rsidR="003B4F4E">
        <w:rPr>
          <w:rFonts w:eastAsia="Calibri"/>
          <w:lang w:val="uk-UA" w:eastAsia="en-US"/>
        </w:rPr>
        <w:t>щодо</w:t>
      </w:r>
      <w:r w:rsidR="003B4F4E" w:rsidRPr="003B4F4E">
        <w:rPr>
          <w:rFonts w:eastAsia="Calibri"/>
          <w:lang w:val="uk-UA" w:eastAsia="en-US"/>
        </w:rPr>
        <w:t xml:space="preserve"> утримання від конкуренції та заборону переманювання працівників</w:t>
      </w:r>
      <w:r w:rsidRPr="00E451B0">
        <w:rPr>
          <w:rFonts w:eastAsia="Calibri"/>
          <w:lang w:val="uk-UA" w:eastAsia="en-US"/>
        </w:rPr>
        <w:t>, строком на 4 роки.</w:t>
      </w:r>
    </w:p>
    <w:p w:rsidR="006E6E1C" w:rsidRPr="00E451B0" w:rsidRDefault="006E6E1C" w:rsidP="00E451B0">
      <w:pPr>
        <w:tabs>
          <w:tab w:val="left" w:pos="720"/>
        </w:tabs>
        <w:ind w:firstLine="567"/>
        <w:jc w:val="both"/>
        <w:rPr>
          <w:sz w:val="22"/>
          <w:szCs w:val="22"/>
          <w:lang w:val="uk-UA"/>
        </w:rPr>
      </w:pPr>
    </w:p>
    <w:p w:rsidR="00E451B0" w:rsidRPr="00E451B0" w:rsidRDefault="00E451B0" w:rsidP="00B9150A">
      <w:pPr>
        <w:tabs>
          <w:tab w:val="left" w:pos="720"/>
        </w:tabs>
        <w:jc w:val="both"/>
        <w:rPr>
          <w:sz w:val="22"/>
          <w:szCs w:val="22"/>
          <w:lang w:val="uk-UA"/>
        </w:rPr>
      </w:pPr>
    </w:p>
    <w:p w:rsidR="00E451B0" w:rsidRPr="00E451B0" w:rsidRDefault="00E451B0" w:rsidP="00B9150A">
      <w:pPr>
        <w:tabs>
          <w:tab w:val="left" w:pos="720"/>
        </w:tabs>
        <w:jc w:val="both"/>
        <w:rPr>
          <w:sz w:val="22"/>
          <w:szCs w:val="22"/>
          <w:lang w:val="uk-UA"/>
        </w:rPr>
      </w:pPr>
    </w:p>
    <w:p w:rsidR="0011313C" w:rsidRPr="00E451B0" w:rsidRDefault="0011313C" w:rsidP="00B9150A">
      <w:pPr>
        <w:tabs>
          <w:tab w:val="left" w:pos="720"/>
        </w:tabs>
        <w:jc w:val="both"/>
        <w:rPr>
          <w:sz w:val="22"/>
          <w:szCs w:val="22"/>
          <w:lang w:val="uk-UA"/>
        </w:rPr>
      </w:pPr>
    </w:p>
    <w:p w:rsidR="00596EC4" w:rsidRDefault="00261F9C" w:rsidP="00B9150A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Голова Комітету        </w:t>
      </w:r>
      <w:r w:rsidR="00B9150A" w:rsidRPr="00B9150A">
        <w:rPr>
          <w:lang w:val="uk-UA"/>
        </w:rPr>
        <w:t xml:space="preserve">                                                                      </w:t>
      </w:r>
      <w:r w:rsidR="000A54E4">
        <w:rPr>
          <w:lang w:val="uk-UA"/>
        </w:rPr>
        <w:t xml:space="preserve">          </w:t>
      </w:r>
      <w:r w:rsidR="00B9150A" w:rsidRPr="00B9150A">
        <w:rPr>
          <w:lang w:val="uk-UA"/>
        </w:rPr>
        <w:t xml:space="preserve"> </w:t>
      </w:r>
      <w:r>
        <w:rPr>
          <w:lang w:val="uk-UA"/>
        </w:rPr>
        <w:t>Ю. ТЕРЕНТЬЄВ</w:t>
      </w:r>
    </w:p>
    <w:sectPr w:rsidR="00596EC4" w:rsidSect="00003D34"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61" w:rsidRDefault="00A30E61">
      <w:r>
        <w:separator/>
      </w:r>
    </w:p>
  </w:endnote>
  <w:endnote w:type="continuationSeparator" w:id="0">
    <w:p w:rsidR="00A30E61" w:rsidRDefault="00A3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61" w:rsidRDefault="00A30E61">
      <w:r>
        <w:separator/>
      </w:r>
    </w:p>
  </w:footnote>
  <w:footnote w:type="continuationSeparator" w:id="0">
    <w:p w:rsidR="00A30E61" w:rsidRDefault="00A30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90" w:rsidRDefault="002E2090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8204D">
      <w:rPr>
        <w:rStyle w:val="a4"/>
        <w:noProof/>
      </w:rPr>
      <w:t>2</w:t>
    </w:r>
    <w:r>
      <w:rPr>
        <w:rStyle w:val="a4"/>
      </w:rPr>
      <w:fldChar w:fldCharType="end"/>
    </w:r>
  </w:p>
  <w:p w:rsidR="002E2090" w:rsidRDefault="002E2090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3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3D34"/>
    <w:rsid w:val="000040DC"/>
    <w:rsid w:val="00012F0C"/>
    <w:rsid w:val="0001306C"/>
    <w:rsid w:val="00014E06"/>
    <w:rsid w:val="00030AAB"/>
    <w:rsid w:val="0003238D"/>
    <w:rsid w:val="000335F6"/>
    <w:rsid w:val="00054D70"/>
    <w:rsid w:val="00082F13"/>
    <w:rsid w:val="00083679"/>
    <w:rsid w:val="000839CE"/>
    <w:rsid w:val="00083AA3"/>
    <w:rsid w:val="00084FAF"/>
    <w:rsid w:val="000A1320"/>
    <w:rsid w:val="000A54E4"/>
    <w:rsid w:val="000B5B8D"/>
    <w:rsid w:val="000C0D92"/>
    <w:rsid w:val="000C3EF0"/>
    <w:rsid w:val="000D09C1"/>
    <w:rsid w:val="000D0C7E"/>
    <w:rsid w:val="000D1C3E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3675E"/>
    <w:rsid w:val="001414BD"/>
    <w:rsid w:val="00141F0D"/>
    <w:rsid w:val="00146EAD"/>
    <w:rsid w:val="00151DCF"/>
    <w:rsid w:val="00162420"/>
    <w:rsid w:val="00162C96"/>
    <w:rsid w:val="00170C21"/>
    <w:rsid w:val="001726B8"/>
    <w:rsid w:val="001800DD"/>
    <w:rsid w:val="001907F6"/>
    <w:rsid w:val="001911B0"/>
    <w:rsid w:val="00192D91"/>
    <w:rsid w:val="00194EFD"/>
    <w:rsid w:val="001B40BB"/>
    <w:rsid w:val="001B6060"/>
    <w:rsid w:val="001B66E3"/>
    <w:rsid w:val="001C336F"/>
    <w:rsid w:val="001C5093"/>
    <w:rsid w:val="001C6DC3"/>
    <w:rsid w:val="001D2F68"/>
    <w:rsid w:val="001D5D1C"/>
    <w:rsid w:val="001E71BC"/>
    <w:rsid w:val="001E7670"/>
    <w:rsid w:val="001F65A1"/>
    <w:rsid w:val="002007DD"/>
    <w:rsid w:val="0020212C"/>
    <w:rsid w:val="00206249"/>
    <w:rsid w:val="00213CBD"/>
    <w:rsid w:val="002400C9"/>
    <w:rsid w:val="002429FD"/>
    <w:rsid w:val="00253333"/>
    <w:rsid w:val="00261F9C"/>
    <w:rsid w:val="00262C9C"/>
    <w:rsid w:val="00271787"/>
    <w:rsid w:val="00273A1A"/>
    <w:rsid w:val="00273A2F"/>
    <w:rsid w:val="002843C9"/>
    <w:rsid w:val="00285740"/>
    <w:rsid w:val="00292364"/>
    <w:rsid w:val="00294323"/>
    <w:rsid w:val="00296A42"/>
    <w:rsid w:val="002C6146"/>
    <w:rsid w:val="002C64C6"/>
    <w:rsid w:val="002C7331"/>
    <w:rsid w:val="002E2090"/>
    <w:rsid w:val="002E32CD"/>
    <w:rsid w:val="002F260C"/>
    <w:rsid w:val="00301D31"/>
    <w:rsid w:val="00304896"/>
    <w:rsid w:val="003111E3"/>
    <w:rsid w:val="00313AF1"/>
    <w:rsid w:val="003257CA"/>
    <w:rsid w:val="003358B0"/>
    <w:rsid w:val="00341149"/>
    <w:rsid w:val="0034144D"/>
    <w:rsid w:val="00345375"/>
    <w:rsid w:val="00361919"/>
    <w:rsid w:val="00367B77"/>
    <w:rsid w:val="00380482"/>
    <w:rsid w:val="003836A6"/>
    <w:rsid w:val="00391352"/>
    <w:rsid w:val="00396EEF"/>
    <w:rsid w:val="003A49A2"/>
    <w:rsid w:val="003B4F4E"/>
    <w:rsid w:val="003F2C27"/>
    <w:rsid w:val="003F7130"/>
    <w:rsid w:val="004119AA"/>
    <w:rsid w:val="00427171"/>
    <w:rsid w:val="00427E97"/>
    <w:rsid w:val="00430E59"/>
    <w:rsid w:val="004326AC"/>
    <w:rsid w:val="004372E9"/>
    <w:rsid w:val="00445012"/>
    <w:rsid w:val="00446266"/>
    <w:rsid w:val="00446677"/>
    <w:rsid w:val="004475C3"/>
    <w:rsid w:val="0045066B"/>
    <w:rsid w:val="00452206"/>
    <w:rsid w:val="004622DD"/>
    <w:rsid w:val="00464045"/>
    <w:rsid w:val="00486F8F"/>
    <w:rsid w:val="004A3F97"/>
    <w:rsid w:val="004A7FE4"/>
    <w:rsid w:val="004B15C6"/>
    <w:rsid w:val="004B7005"/>
    <w:rsid w:val="004C128F"/>
    <w:rsid w:val="004C56B9"/>
    <w:rsid w:val="004C6658"/>
    <w:rsid w:val="004C757A"/>
    <w:rsid w:val="004E4A67"/>
    <w:rsid w:val="004F1285"/>
    <w:rsid w:val="004F54F6"/>
    <w:rsid w:val="004F621C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2FC8"/>
    <w:rsid w:val="00563AC4"/>
    <w:rsid w:val="00564355"/>
    <w:rsid w:val="00572B5A"/>
    <w:rsid w:val="005737E5"/>
    <w:rsid w:val="00581874"/>
    <w:rsid w:val="005828BE"/>
    <w:rsid w:val="00590245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E00F5"/>
    <w:rsid w:val="005E2D99"/>
    <w:rsid w:val="005F156E"/>
    <w:rsid w:val="005F79BC"/>
    <w:rsid w:val="0060144F"/>
    <w:rsid w:val="00607403"/>
    <w:rsid w:val="00615505"/>
    <w:rsid w:val="0063228E"/>
    <w:rsid w:val="0063541D"/>
    <w:rsid w:val="0064143C"/>
    <w:rsid w:val="00642896"/>
    <w:rsid w:val="0064470F"/>
    <w:rsid w:val="00654D67"/>
    <w:rsid w:val="006611BA"/>
    <w:rsid w:val="00661E45"/>
    <w:rsid w:val="00666183"/>
    <w:rsid w:val="00670171"/>
    <w:rsid w:val="0067098E"/>
    <w:rsid w:val="00670E74"/>
    <w:rsid w:val="00673942"/>
    <w:rsid w:val="006828D9"/>
    <w:rsid w:val="00684841"/>
    <w:rsid w:val="00690E2A"/>
    <w:rsid w:val="00691A71"/>
    <w:rsid w:val="00692DE4"/>
    <w:rsid w:val="006A4728"/>
    <w:rsid w:val="006A70A9"/>
    <w:rsid w:val="006B2ACD"/>
    <w:rsid w:val="006B438D"/>
    <w:rsid w:val="006D0A7B"/>
    <w:rsid w:val="006D7F4C"/>
    <w:rsid w:val="006E6E1C"/>
    <w:rsid w:val="00701AF6"/>
    <w:rsid w:val="00705EB6"/>
    <w:rsid w:val="007067DD"/>
    <w:rsid w:val="00717F17"/>
    <w:rsid w:val="00730B75"/>
    <w:rsid w:val="00744E49"/>
    <w:rsid w:val="00750605"/>
    <w:rsid w:val="00766964"/>
    <w:rsid w:val="007A7190"/>
    <w:rsid w:val="007B01CF"/>
    <w:rsid w:val="007C25A1"/>
    <w:rsid w:val="007C6810"/>
    <w:rsid w:val="007C7451"/>
    <w:rsid w:val="007D081A"/>
    <w:rsid w:val="007D6344"/>
    <w:rsid w:val="007E0A26"/>
    <w:rsid w:val="007F3177"/>
    <w:rsid w:val="007F5B59"/>
    <w:rsid w:val="007F7720"/>
    <w:rsid w:val="008066BB"/>
    <w:rsid w:val="008209DF"/>
    <w:rsid w:val="00825A4E"/>
    <w:rsid w:val="00827AE9"/>
    <w:rsid w:val="0083126B"/>
    <w:rsid w:val="00831EB6"/>
    <w:rsid w:val="008516CB"/>
    <w:rsid w:val="008519B5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30FD"/>
    <w:rsid w:val="008C3D89"/>
    <w:rsid w:val="008C7E10"/>
    <w:rsid w:val="008D7158"/>
    <w:rsid w:val="008E2C38"/>
    <w:rsid w:val="008E3CEA"/>
    <w:rsid w:val="008E4FB9"/>
    <w:rsid w:val="009127B3"/>
    <w:rsid w:val="0093047A"/>
    <w:rsid w:val="00930D98"/>
    <w:rsid w:val="00940C0A"/>
    <w:rsid w:val="00975F72"/>
    <w:rsid w:val="00984909"/>
    <w:rsid w:val="009856BB"/>
    <w:rsid w:val="00996539"/>
    <w:rsid w:val="009B137E"/>
    <w:rsid w:val="009D1AD9"/>
    <w:rsid w:val="009E4FE7"/>
    <w:rsid w:val="009F5229"/>
    <w:rsid w:val="00A058D1"/>
    <w:rsid w:val="00A071D4"/>
    <w:rsid w:val="00A12AD6"/>
    <w:rsid w:val="00A248A5"/>
    <w:rsid w:val="00A273E5"/>
    <w:rsid w:val="00A30E61"/>
    <w:rsid w:val="00A53A1F"/>
    <w:rsid w:val="00A62353"/>
    <w:rsid w:val="00A7202E"/>
    <w:rsid w:val="00A9645C"/>
    <w:rsid w:val="00AA1F8E"/>
    <w:rsid w:val="00AA4720"/>
    <w:rsid w:val="00AB1CBC"/>
    <w:rsid w:val="00AB5CBD"/>
    <w:rsid w:val="00AD4EA1"/>
    <w:rsid w:val="00AE1C2C"/>
    <w:rsid w:val="00AF55BB"/>
    <w:rsid w:val="00B000E5"/>
    <w:rsid w:val="00B00766"/>
    <w:rsid w:val="00B07B0D"/>
    <w:rsid w:val="00B1257D"/>
    <w:rsid w:val="00B13037"/>
    <w:rsid w:val="00B15603"/>
    <w:rsid w:val="00B1750D"/>
    <w:rsid w:val="00B218CA"/>
    <w:rsid w:val="00B21A9C"/>
    <w:rsid w:val="00B23EF9"/>
    <w:rsid w:val="00B25DAB"/>
    <w:rsid w:val="00B32FB6"/>
    <w:rsid w:val="00B37802"/>
    <w:rsid w:val="00B4070F"/>
    <w:rsid w:val="00B534D6"/>
    <w:rsid w:val="00B540A7"/>
    <w:rsid w:val="00B60F15"/>
    <w:rsid w:val="00B6287A"/>
    <w:rsid w:val="00B70FB3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5AFF"/>
    <w:rsid w:val="00BF6EB1"/>
    <w:rsid w:val="00C07D90"/>
    <w:rsid w:val="00C175BE"/>
    <w:rsid w:val="00C53F5F"/>
    <w:rsid w:val="00C61BC8"/>
    <w:rsid w:val="00C659EC"/>
    <w:rsid w:val="00C662BB"/>
    <w:rsid w:val="00C66D00"/>
    <w:rsid w:val="00C73F98"/>
    <w:rsid w:val="00C8204D"/>
    <w:rsid w:val="00C90918"/>
    <w:rsid w:val="00C9367E"/>
    <w:rsid w:val="00C944D4"/>
    <w:rsid w:val="00C94BE8"/>
    <w:rsid w:val="00CA0961"/>
    <w:rsid w:val="00CB09F2"/>
    <w:rsid w:val="00CE0D1C"/>
    <w:rsid w:val="00CE4307"/>
    <w:rsid w:val="00CF2286"/>
    <w:rsid w:val="00D00D74"/>
    <w:rsid w:val="00D15243"/>
    <w:rsid w:val="00D20A23"/>
    <w:rsid w:val="00D31948"/>
    <w:rsid w:val="00D367FD"/>
    <w:rsid w:val="00D44607"/>
    <w:rsid w:val="00D50309"/>
    <w:rsid w:val="00D73A9A"/>
    <w:rsid w:val="00D92146"/>
    <w:rsid w:val="00D969D5"/>
    <w:rsid w:val="00DB2760"/>
    <w:rsid w:val="00DB63AF"/>
    <w:rsid w:val="00DE2046"/>
    <w:rsid w:val="00DE2E0F"/>
    <w:rsid w:val="00DE572F"/>
    <w:rsid w:val="00DE7F40"/>
    <w:rsid w:val="00DF5A52"/>
    <w:rsid w:val="00E12C3C"/>
    <w:rsid w:val="00E139F3"/>
    <w:rsid w:val="00E1716F"/>
    <w:rsid w:val="00E17500"/>
    <w:rsid w:val="00E21B2E"/>
    <w:rsid w:val="00E23C83"/>
    <w:rsid w:val="00E42982"/>
    <w:rsid w:val="00E451B0"/>
    <w:rsid w:val="00E462CD"/>
    <w:rsid w:val="00E47CAE"/>
    <w:rsid w:val="00E538E3"/>
    <w:rsid w:val="00E559D4"/>
    <w:rsid w:val="00E562A0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90C9D"/>
    <w:rsid w:val="00E9147D"/>
    <w:rsid w:val="00E93B54"/>
    <w:rsid w:val="00EA025C"/>
    <w:rsid w:val="00EA0D9B"/>
    <w:rsid w:val="00EA151F"/>
    <w:rsid w:val="00EA1FD2"/>
    <w:rsid w:val="00EA2F68"/>
    <w:rsid w:val="00EA6DC0"/>
    <w:rsid w:val="00EB21A2"/>
    <w:rsid w:val="00EB2A9B"/>
    <w:rsid w:val="00EB45F2"/>
    <w:rsid w:val="00EC2A0C"/>
    <w:rsid w:val="00EC7DE3"/>
    <w:rsid w:val="00ED2C29"/>
    <w:rsid w:val="00ED3ED5"/>
    <w:rsid w:val="00ED65B2"/>
    <w:rsid w:val="00ED6794"/>
    <w:rsid w:val="00ED786D"/>
    <w:rsid w:val="00EE7354"/>
    <w:rsid w:val="00EF02A3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B1D"/>
    <w:rsid w:val="00F45064"/>
    <w:rsid w:val="00F47B1A"/>
    <w:rsid w:val="00F60C08"/>
    <w:rsid w:val="00F642ED"/>
    <w:rsid w:val="00F657CE"/>
    <w:rsid w:val="00F65B6A"/>
    <w:rsid w:val="00F7605E"/>
    <w:rsid w:val="00F84826"/>
    <w:rsid w:val="00F87908"/>
    <w:rsid w:val="00F951CB"/>
    <w:rsid w:val="00FB43EC"/>
    <w:rsid w:val="00FC269C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24BFE-A182-470A-A7D4-60DAF1C2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Пользователь Windows</cp:lastModifiedBy>
  <cp:revision>2</cp:revision>
  <cp:lastPrinted>2020-04-14T15:14:00Z</cp:lastPrinted>
  <dcterms:created xsi:type="dcterms:W3CDTF">2020-04-15T15:05:00Z</dcterms:created>
  <dcterms:modified xsi:type="dcterms:W3CDTF">2020-04-15T15:05:00Z</dcterms:modified>
</cp:coreProperties>
</file>