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E1C" w:rsidRDefault="00442E1C" w:rsidP="00442E1C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pt" o:ole="" filled="t">
            <v:fill color2="black"/>
            <v:imagedata r:id="rId7" o:title=""/>
          </v:shape>
          <o:OLEObject Type="Embed" ProgID="Word.Picture.8" ShapeID="_x0000_i1025" DrawAspect="Content" ObjectID="_1782194158" r:id="rId8"/>
        </w:object>
      </w:r>
    </w:p>
    <w:p w:rsidR="00442E1C" w:rsidRDefault="00442E1C" w:rsidP="00442E1C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442E1C" w:rsidRDefault="00442E1C" w:rsidP="00442E1C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442E1C" w:rsidRDefault="00442E1C" w:rsidP="00442E1C">
      <w:pPr>
        <w:jc w:val="center"/>
        <w:rPr>
          <w:b/>
          <w:szCs w:val="28"/>
        </w:rPr>
      </w:pPr>
    </w:p>
    <w:p w:rsidR="00442E1C" w:rsidRDefault="00442E1C" w:rsidP="00442E1C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442E1C" w:rsidRDefault="00442E1C" w:rsidP="00442E1C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42E1C" w:rsidRPr="00442E1C" w:rsidTr="00442E1C">
        <w:trPr>
          <w:trHeight w:val="101"/>
        </w:trPr>
        <w:tc>
          <w:tcPr>
            <w:tcW w:w="3190" w:type="dxa"/>
            <w:hideMark/>
          </w:tcPr>
          <w:p w:rsidR="00442E1C" w:rsidRPr="00442E1C" w:rsidRDefault="00442E1C" w:rsidP="00442E1C">
            <w:r w:rsidRPr="00442E1C">
              <w:t>08.07.2024</w:t>
            </w:r>
          </w:p>
        </w:tc>
        <w:tc>
          <w:tcPr>
            <w:tcW w:w="3190" w:type="dxa"/>
            <w:hideMark/>
          </w:tcPr>
          <w:p w:rsidR="00442E1C" w:rsidRPr="00442E1C" w:rsidRDefault="00442E1C" w:rsidP="00442E1C">
            <w:r w:rsidRPr="00442E1C">
              <w:t>м.Кривий Ріг</w:t>
            </w:r>
          </w:p>
        </w:tc>
        <w:tc>
          <w:tcPr>
            <w:tcW w:w="3190" w:type="dxa"/>
            <w:hideMark/>
          </w:tcPr>
          <w:p w:rsidR="00442E1C" w:rsidRPr="00442E1C" w:rsidRDefault="00442E1C" w:rsidP="00B37048">
            <w:pPr>
              <w:jc w:val="center"/>
            </w:pPr>
            <w:r w:rsidRPr="00442E1C">
              <w:t>№</w:t>
            </w:r>
            <w:r w:rsidR="00B37048">
              <w:t>660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ВІДПОВІДАЛЬ-НІСТЮ «КЕРУЮЧА КОМПАНІЯ «СМАРТБУД-КР»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C55929">
        <w:rPr>
          <w:szCs w:val="28"/>
        </w:rPr>
        <w:t xml:space="preserve">ю: вул. </w:t>
      </w:r>
      <w:r w:rsidR="00C55929" w:rsidRPr="00C55929">
        <w:rPr>
          <w:szCs w:val="28"/>
        </w:rPr>
        <w:t>Калантая</w:t>
      </w:r>
      <w:r w:rsidR="001D27DD">
        <w:rPr>
          <w:szCs w:val="28"/>
        </w:rPr>
        <w:t>, буд.</w:t>
      </w:r>
      <w:r w:rsidR="00C55929" w:rsidRPr="00C55929">
        <w:rPr>
          <w:szCs w:val="28"/>
        </w:rPr>
        <w:t xml:space="preserve"> 8</w:t>
      </w:r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C55929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C55929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C55929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B37048" w:rsidRPr="004570E5" w:rsidRDefault="00B37048" w:rsidP="00B37048">
      <w:pPr>
        <w:ind w:left="5670"/>
        <w:rPr>
          <w:lang w:val="ru-RU"/>
        </w:rPr>
      </w:pPr>
      <w:r>
        <w:rPr>
          <w:lang w:val="ru-RU"/>
        </w:rPr>
        <w:t>08.07.2024 №</w:t>
      </w:r>
      <w:r>
        <w:t>660</w:t>
      </w:r>
    </w:p>
    <w:p w:rsidR="004C0211" w:rsidRPr="00E45DCC" w:rsidRDefault="004C0211" w:rsidP="004C0211">
      <w:pPr>
        <w:ind w:left="5670"/>
        <w:rPr>
          <w:lang w:val="ru-RU"/>
        </w:rPr>
      </w:pPr>
    </w:p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C55929" w:rsidRDefault="004C0211" w:rsidP="00C55929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bookmarkStart w:id="0" w:name="_GoBack"/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C55929" w:rsidRDefault="00F03F8C" w:rsidP="00C55929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A51679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18282F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Ірина КОНОПЛЕНКО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C5592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19752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уповноважена особа за довіреністю ТОВАРИСТ-ВА З ОБМЕЖЕНОЮ ВІДПОВІДАЛЬНІСТЮ «КЕРУЮЧА КОМПАНІЯ «СМАРТБУД-КР», головний інженер ТОВ «КК «СМАРТБУД-КР»,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C55929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</w:t>
            </w:r>
            <w:r w:rsidR="0018282F" w:rsidRPr="00797D75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18282F" w:rsidRPr="00A9734F">
              <w:rPr>
                <w:szCs w:val="28"/>
              </w:rPr>
              <w:t xml:space="preserve"> відділу</w:t>
            </w:r>
            <w:r w:rsidR="0018282F">
              <w:rPr>
                <w:szCs w:val="28"/>
              </w:rPr>
              <w:t xml:space="preserve"> житлово-комунально</w:t>
            </w:r>
            <w:r>
              <w:rPr>
                <w:szCs w:val="28"/>
              </w:rPr>
              <w:t>-</w:t>
            </w:r>
            <w:r w:rsidR="0018282F">
              <w:rPr>
                <w:szCs w:val="28"/>
              </w:rPr>
              <w:t>го господарства виконкому районної в місті ради</w:t>
            </w:r>
          </w:p>
        </w:tc>
      </w:tr>
      <w:bookmarkEnd w:id="0"/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662E2" w:rsidRDefault="00C55929" w:rsidP="001379C8">
      <w:r>
        <w:t>Керуючий справами</w:t>
      </w:r>
    </w:p>
    <w:p w:rsidR="0008443B" w:rsidRDefault="00C55929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</w:t>
      </w:r>
    </w:p>
    <w:p w:rsidR="001379C8" w:rsidRDefault="001379C8" w:rsidP="001379C8">
      <w:r>
        <w:tab/>
      </w:r>
      <w:r>
        <w:tab/>
      </w:r>
      <w:r>
        <w:tab/>
      </w:r>
      <w:r>
        <w:tab/>
      </w:r>
      <w:r w:rsidR="0008443B">
        <w:t xml:space="preserve">            </w:t>
      </w:r>
      <w:r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398" w:rsidRDefault="00B96398" w:rsidP="000F2D45">
      <w:r>
        <w:separator/>
      </w:r>
    </w:p>
  </w:endnote>
  <w:endnote w:type="continuationSeparator" w:id="1">
    <w:p w:rsidR="00B96398" w:rsidRDefault="00B96398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398" w:rsidRDefault="00B96398" w:rsidP="000F2D45">
      <w:r>
        <w:separator/>
      </w:r>
    </w:p>
  </w:footnote>
  <w:footnote w:type="continuationSeparator" w:id="1">
    <w:p w:rsidR="00B96398" w:rsidRDefault="00B96398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2E1C"/>
    <w:rsid w:val="00444E61"/>
    <w:rsid w:val="0045071E"/>
    <w:rsid w:val="00487F00"/>
    <w:rsid w:val="00497FC8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4E37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37048"/>
    <w:rsid w:val="00B60208"/>
    <w:rsid w:val="00B6115D"/>
    <w:rsid w:val="00B657E6"/>
    <w:rsid w:val="00B924D8"/>
    <w:rsid w:val="00B93FC2"/>
    <w:rsid w:val="00B95D40"/>
    <w:rsid w:val="00B96398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55929"/>
    <w:rsid w:val="00C61872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D70DC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42F3D"/>
    <w:rsid w:val="00D558F9"/>
    <w:rsid w:val="00D56807"/>
    <w:rsid w:val="00D645AA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2024-06-11T06:13:00Z</cp:lastPrinted>
  <dcterms:created xsi:type="dcterms:W3CDTF">2024-07-08T11:51:00Z</dcterms:created>
  <dcterms:modified xsi:type="dcterms:W3CDTF">2024-07-11T06:09:00Z</dcterms:modified>
</cp:coreProperties>
</file>