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364" w:rsidRDefault="00265F09" w:rsidP="005C3364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                                                </w:t>
      </w:r>
      <w:r w:rsidR="005C3364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                       проект № 1276</w:t>
      </w:r>
    </w:p>
    <w:p w:rsidR="005C3364" w:rsidRDefault="005C3364" w:rsidP="005C3364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5C3364" w:rsidRDefault="005C3364" w:rsidP="005C336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5C3364" w:rsidRDefault="005C3364" w:rsidP="005C336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5C3364" w:rsidRDefault="005C3364" w:rsidP="005C336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>ПРОЄКТ РІШЕННЯ №</w:t>
      </w:r>
    </w:p>
    <w:p w:rsidR="005C3364" w:rsidRDefault="00265F09" w:rsidP="005C33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  <w:r w:rsidR="005C336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</w:t>
      </w:r>
    </w:p>
    <w:p w:rsidR="005C3364" w:rsidRDefault="005C3364" w:rsidP="005C3364">
      <w:pPr>
        <w:spacing w:after="0" w:line="240" w:lineRule="auto"/>
        <w:ind w:right="-574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5C33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C3364">
        <w:rPr>
          <w:rFonts w:ascii="Times New Roman" w:hAnsi="Times New Roman" w:cs="Times New Roman"/>
          <w:sz w:val="26"/>
          <w:szCs w:val="26"/>
          <w:u w:val="single"/>
          <w:lang w:val="uk-UA"/>
        </w:rPr>
        <w:t>29  травня  2024 року</w:t>
      </w:r>
      <w:r w:rsidRPr="005C3364"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>35 сесія  8 скликання</w:t>
      </w:r>
    </w:p>
    <w:p w:rsidR="005C3364" w:rsidRDefault="005C3364" w:rsidP="005C336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м.Гнівань</w:t>
      </w:r>
      <w:proofErr w:type="spellEnd"/>
    </w:p>
    <w:p w:rsidR="005C3364" w:rsidRDefault="005C3364" w:rsidP="005C3364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5C3364" w:rsidRDefault="005C3364" w:rsidP="005C3364">
      <w:pPr>
        <w:pStyle w:val="Standard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  надання  дозволу на  укладення  договорів</w:t>
      </w:r>
    </w:p>
    <w:p w:rsidR="005C3364" w:rsidRDefault="005C3364" w:rsidP="005C3364">
      <w:pPr>
        <w:pStyle w:val="Standard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встановлення земельних сервітутів на земельні</w:t>
      </w:r>
    </w:p>
    <w:p w:rsidR="005C3364" w:rsidRDefault="005C3364" w:rsidP="005C3364">
      <w:pPr>
        <w:pStyle w:val="Standard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ділянки комунальної власності для розміщення</w:t>
      </w:r>
    </w:p>
    <w:p w:rsidR="005C3364" w:rsidRDefault="005C3364" w:rsidP="005C3364">
      <w:pPr>
        <w:pStyle w:val="Standard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тимчасових споруд торгівельного призначення,</w:t>
      </w:r>
    </w:p>
    <w:p w:rsidR="005C3364" w:rsidRDefault="005C3364" w:rsidP="005C3364">
      <w:pPr>
        <w:pStyle w:val="Standard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для здійснення підприємницької  діяльності</w:t>
      </w:r>
    </w:p>
    <w:p w:rsidR="005C3364" w:rsidRDefault="005C3364" w:rsidP="005C3364">
      <w:pPr>
        <w:pStyle w:val="Standard"/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5C3364" w:rsidRDefault="005C3364" w:rsidP="005C3364">
      <w:pPr>
        <w:pStyle w:val="Standard"/>
        <w:spacing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Відповідно   ст. 26, 33 Закону  України "Про місцеве самоврядування   в  Україні"</w:t>
      </w:r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розглянувши  заяву  фізичної особи -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підприєм</w:t>
      </w:r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>ця</w:t>
      </w:r>
      <w:r w:rsidR="00FC16A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proofErr w:type="spellStart"/>
      <w:r w:rsidR="00FC16A1">
        <w:rPr>
          <w:rFonts w:ascii="Times New Roman" w:hAnsi="Times New Roman" w:cs="Times New Roman"/>
          <w:color w:val="000000"/>
          <w:sz w:val="26"/>
          <w:szCs w:val="26"/>
          <w:lang w:val="uk-UA"/>
        </w:rPr>
        <w:t>Дацюка</w:t>
      </w:r>
      <w:proofErr w:type="spellEnd"/>
      <w:r w:rsidR="00FC16A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В.Ю.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, з проханням про укладення договору на користування земельною</w:t>
      </w:r>
      <w:r w:rsidR="006822B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ділянкою по вул. Соборна – Європейська (ринок)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 на  якій  розміщено тимчасову споруду торгівельного призначення для здійснення підприємницької діяльності,   керуючись ст.ст. 12, 122, Глава 16  Право земельного сервітуту Земельного Кодексу України, Наказом Міністерства регіонального розвитку,  будівництва та житлово-комунального господарства України» № 244 </w:t>
      </w:r>
      <w:r w:rsidR="006822B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від 21.10.2011 року «Про затвердження Порядку розміщення тимчасових споруд для провадження підприємницької діяльності»,   міська рада ВИРІШИЛА:                                                                                                        </w:t>
      </w:r>
    </w:p>
    <w:p w:rsidR="005C3364" w:rsidRDefault="005C3364" w:rsidP="005C336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1. Нада</w:t>
      </w:r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>ти дозвіл на укладення строкового договору встановлення земельного сервітуту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на </w:t>
      </w:r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платне  користування земельною  ділянкою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комунальної </w:t>
      </w:r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власності,  на якій знаходяться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об'єкти  благоустрою, комунальні дороги, вулиця Соборна, для розміщення тимчасових споруд торгівельного призначення наступним громадянам:      </w:t>
      </w:r>
    </w:p>
    <w:p w:rsidR="005C3364" w:rsidRDefault="005C3364" w:rsidP="005C3364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</w:t>
      </w:r>
    </w:p>
    <w:tbl>
      <w:tblPr>
        <w:tblW w:w="9924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2551"/>
        <w:gridCol w:w="993"/>
        <w:gridCol w:w="2834"/>
        <w:gridCol w:w="852"/>
      </w:tblGrid>
      <w:tr w:rsidR="005C3364" w:rsidTr="005C336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Прізвище, ім'я, по батькові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Юридична адреса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сервітуарія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Площа з/д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Місце розташування земельної ділянки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При мітка</w:t>
            </w:r>
          </w:p>
        </w:tc>
      </w:tr>
      <w:tr w:rsidR="005C3364" w:rsidTr="005C336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2                       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4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5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6</w:t>
            </w:r>
          </w:p>
        </w:tc>
      </w:tr>
      <w:tr w:rsidR="005C3364" w:rsidTr="005C336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lang w:val="uk-UA" w:eastAsia="uk-UA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lang w:val="uk-UA" w:eastAsia="uk-UA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lang w:val="uk-UA" w:eastAsia="uk-UA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lang w:val="uk-UA" w:eastAsia="uk-UA"/>
              </w:rPr>
            </w:pPr>
          </w:p>
        </w:tc>
      </w:tr>
      <w:tr w:rsidR="005C3364" w:rsidRPr="00FC16A1" w:rsidTr="005C336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FC16A1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Дацюк</w:t>
            </w:r>
            <w:proofErr w:type="spellEnd"/>
          </w:p>
          <w:p w:rsidR="005C3364" w:rsidRDefault="00FC16A1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Віктор Юрійо</w:t>
            </w:r>
            <w:r w:rsidR="005C3364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вич                                      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FC16A1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м.Гнівань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 вул.Європейська</w:t>
            </w:r>
            <w:r w:rsidR="005C3364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6,0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по вул. Соборн</w:t>
            </w:r>
            <w:r w:rsidR="006822B3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а – Європейська (ринок)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364" w:rsidRDefault="005C336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5C3364" w:rsidRDefault="005C3364" w:rsidP="005C336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C3364" w:rsidRDefault="005C3364" w:rsidP="005C336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2. Доручити юридичному відділу Гніванськ</w:t>
      </w:r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>ої міської ради укласти договір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строкового земельного сервітуту платного користування земельною ділянкою  з вищезазначеними громадянами терміном на один рік.                                                                      </w:t>
      </w:r>
    </w:p>
    <w:p w:rsidR="005C3364" w:rsidRDefault="005C3364" w:rsidP="005C336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3.  Встановити </w:t>
      </w:r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>плату за користування земельною ділянкою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комунальної власності на умовах встановленого строкового платного земельного сервітуту у розмірі 12 % нормативно-грошової оцінки одиниці площі земельної ділянки, встановленої відповідно до технічної документації з нормативно-грошової оцінки міста Гнівань.</w:t>
      </w:r>
    </w:p>
    <w:p w:rsidR="005C3364" w:rsidRDefault="005C3364" w:rsidP="005C336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4.  Зобов'язати громадян</w:t>
      </w:r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ина користувача – </w:t>
      </w:r>
      <w:proofErr w:type="spellStart"/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>сервітуарія</w:t>
      </w:r>
      <w:proofErr w:type="spellEnd"/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утримувати земельну ділянку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 належному санітарному стані, привести у відповідний стан зовнішній вигляд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lastRenderedPageBreak/>
        <w:t xml:space="preserve">тимчасової споруди за прикладом встановлених тимчасових  споруд з головного фасаду, що по вулиці Соборній.  </w:t>
      </w:r>
    </w:p>
    <w:p w:rsidR="005C3364" w:rsidRDefault="005C3364" w:rsidP="005C336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5. Попередити громадян</w:t>
      </w:r>
      <w:r w:rsidR="00AE7994">
        <w:rPr>
          <w:rFonts w:ascii="Times New Roman" w:hAnsi="Times New Roman" w:cs="Times New Roman"/>
          <w:color w:val="000000"/>
          <w:sz w:val="26"/>
          <w:szCs w:val="26"/>
          <w:lang w:val="uk-UA"/>
        </w:rPr>
        <w:t>ина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про те, що в разі несплати плати за користування ділянкою, утримання її у незадовільному санітарному стані, невиконання вимог п.5 рішення, а також невиконання вимог Закону України «Про відходи», Податкового та Земельного Кодексів міська рада залишає за собою право розірвання договорів сервітуту та демонтаж тимчасової споруди в установленому законодавством порядку.</w:t>
      </w:r>
    </w:p>
    <w:p w:rsidR="005C3364" w:rsidRDefault="005C3364" w:rsidP="005C336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6. Контроль за виконанням даного рішення покласти на відділ з земельних та житлово-комунальних питань.</w:t>
      </w:r>
    </w:p>
    <w:p w:rsidR="005C3364" w:rsidRDefault="005C3364" w:rsidP="00265F09">
      <w:pPr>
        <w:pStyle w:val="Standard"/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7.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Берещук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М.В.)</w:t>
      </w:r>
    </w:p>
    <w:p w:rsidR="00265F09" w:rsidRDefault="00265F09" w:rsidP="00265F09">
      <w:pPr>
        <w:pStyle w:val="Standard"/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bookmarkStart w:id="0" w:name="_GoBack"/>
      <w:bookmarkEnd w:id="0"/>
    </w:p>
    <w:p w:rsidR="005C3364" w:rsidRDefault="005C3364" w:rsidP="005C3364">
      <w:pPr>
        <w:pStyle w:val="Standard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Міський голова                                                                                 Володимир КУЛЕШОВ</w:t>
      </w:r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C3364"/>
    <w:rsid w:val="00007BD9"/>
    <w:rsid w:val="00044682"/>
    <w:rsid w:val="000D7B16"/>
    <w:rsid w:val="00127915"/>
    <w:rsid w:val="0015081B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65F09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C3364"/>
    <w:rsid w:val="005E770E"/>
    <w:rsid w:val="005F1FE7"/>
    <w:rsid w:val="005F64BC"/>
    <w:rsid w:val="00616B19"/>
    <w:rsid w:val="006214D5"/>
    <w:rsid w:val="006576E5"/>
    <w:rsid w:val="00673860"/>
    <w:rsid w:val="006822B3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AE7994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CE3852"/>
    <w:rsid w:val="00D3458A"/>
    <w:rsid w:val="00D57C79"/>
    <w:rsid w:val="00D81A38"/>
    <w:rsid w:val="00DD113E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C16A1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B54B9C"/>
  <w15:docId w15:val="{F3A4C4D6-A1EE-4F34-9C37-C3D2C964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364"/>
    <w:pPr>
      <w:widowControl w:val="0"/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widowControl/>
      <w:suppressAutoHyphens w:val="0"/>
      <w:autoSpaceDN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widowControl/>
      <w:suppressAutoHyphens w:val="0"/>
      <w:autoSpaceDN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widowControl/>
      <w:suppressAutoHyphens w:val="0"/>
      <w:autoSpaceDN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Standard">
    <w:name w:val="Standard"/>
    <w:rsid w:val="005C3364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C33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364"/>
    <w:rPr>
      <w:rFonts w:ascii="Tahoma" w:eastAsia="SimSun" w:hAnsi="Tahoma" w:cs="Tahoma"/>
      <w:kern w:val="3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3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dcterms:created xsi:type="dcterms:W3CDTF">2024-05-22T10:28:00Z</dcterms:created>
  <dcterms:modified xsi:type="dcterms:W3CDTF">2024-05-23T11:32:00Z</dcterms:modified>
</cp:coreProperties>
</file>