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26A6" w:rsidRPr="00A65D71" w:rsidRDefault="005222FB" w:rsidP="009926A6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9926A6" w:rsidRPr="009926A6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.5pt" o:ole="" fillcolor="window">
            <v:imagedata r:id="rId5" o:title=""/>
          </v:shape>
          <o:OLEObject Type="Embed" ProgID="PBrush" ShapeID="_x0000_i1025" DrawAspect="Content" ObjectID="_1746012147" r:id="rId6"/>
        </w:object>
      </w:r>
      <w:r w:rsidR="00A65D7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проект № 905</w:t>
      </w:r>
    </w:p>
    <w:p w:rsidR="009926A6" w:rsidRPr="009926A6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gramStart"/>
      <w:r w:rsidRPr="009926A6">
        <w:rPr>
          <w:rFonts w:ascii="Times New Roman" w:hAnsi="Times New Roman" w:cs="Times New Roman"/>
          <w:b/>
          <w:sz w:val="24"/>
          <w:szCs w:val="24"/>
        </w:rPr>
        <w:t>У  К</w:t>
      </w:r>
      <w:proofErr w:type="gramEnd"/>
      <w:r w:rsidRPr="009926A6">
        <w:rPr>
          <w:rFonts w:ascii="Times New Roman" w:hAnsi="Times New Roman" w:cs="Times New Roman"/>
          <w:b/>
          <w:sz w:val="24"/>
          <w:szCs w:val="24"/>
        </w:rPr>
        <w:t xml:space="preserve">  Р  А  Ї  Н  А</w:t>
      </w:r>
    </w:p>
    <w:p w:rsidR="009926A6" w:rsidRPr="009926A6" w:rsidRDefault="009926A6" w:rsidP="009926A6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926A6" w:rsidRPr="009926A6" w:rsidRDefault="009926A6" w:rsidP="009926A6">
      <w:pPr>
        <w:spacing w:after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926A6">
        <w:rPr>
          <w:rFonts w:ascii="Times New Roman" w:hAnsi="Times New Roman" w:cs="Times New Roman"/>
          <w:b/>
          <w:sz w:val="24"/>
          <w:szCs w:val="24"/>
        </w:rPr>
        <w:t>ТИВРІВСЬКОГО    РАЙОНУ  ВІННИЦЬКОЇ    ОБЛАСТІ</w:t>
      </w:r>
    </w:p>
    <w:p w:rsidR="009926A6" w:rsidRPr="009926A6" w:rsidRDefault="00534941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Line 2" o:spid="_x0000_s1027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9926A6" w:rsidRPr="009926A6" w:rsidRDefault="009926A6" w:rsidP="009926A6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sz w:val="24"/>
          <w:szCs w:val="24"/>
        </w:rPr>
        <w:t xml:space="preserve">П Р О Е К Т  Р І Ш Е Н </w:t>
      </w:r>
      <w:proofErr w:type="spellStart"/>
      <w:r w:rsidRPr="009926A6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9926A6">
        <w:rPr>
          <w:rFonts w:ascii="Times New Roman" w:hAnsi="Times New Roman" w:cs="Times New Roman"/>
          <w:sz w:val="24"/>
          <w:szCs w:val="24"/>
        </w:rPr>
        <w:t xml:space="preserve"> Я  №</w:t>
      </w:r>
    </w:p>
    <w:p w:rsidR="009926A6" w:rsidRPr="009926A6" w:rsidRDefault="009926A6" w:rsidP="009926A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Pr="009926A6">
        <w:rPr>
          <w:rFonts w:ascii="Times New Roman" w:hAnsi="Times New Roman" w:cs="Times New Roman"/>
          <w:b/>
          <w:sz w:val="24"/>
          <w:szCs w:val="24"/>
          <w:lang w:val="uk-UA"/>
        </w:rPr>
        <w:t>23</w:t>
      </w:r>
      <w:r w:rsidRPr="009926A6">
        <w:rPr>
          <w:rFonts w:ascii="Times New Roman" w:hAnsi="Times New Roman" w:cs="Times New Roman"/>
          <w:b/>
          <w:sz w:val="24"/>
          <w:szCs w:val="24"/>
        </w:rPr>
        <w:t xml:space="preserve"> року</w:t>
      </w:r>
      <w:r w:rsidRPr="009926A6">
        <w:rPr>
          <w:rFonts w:ascii="Times New Roman" w:hAnsi="Times New Roman" w:cs="Times New Roman"/>
          <w:b/>
          <w:sz w:val="24"/>
          <w:szCs w:val="24"/>
        </w:rPr>
        <w:tab/>
      </w:r>
      <w:r w:rsidR="005222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</w:t>
      </w:r>
      <w:r w:rsidR="00DE187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25</w:t>
      </w:r>
      <w:r w:rsidR="005222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926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hAnsi="Times New Roman" w:cs="Times New Roman"/>
          <w:b/>
          <w:sz w:val="24"/>
          <w:szCs w:val="24"/>
        </w:rPr>
        <w:t>сесія</w:t>
      </w:r>
      <w:proofErr w:type="spellEnd"/>
      <w:r w:rsidR="005222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9926A6">
        <w:rPr>
          <w:rFonts w:ascii="Times New Roman" w:hAnsi="Times New Roman" w:cs="Times New Roman"/>
          <w:b/>
          <w:sz w:val="24"/>
          <w:szCs w:val="24"/>
          <w:lang w:val="uk-UA"/>
        </w:rPr>
        <w:t>8</w:t>
      </w:r>
      <w:r w:rsidR="005222F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proofErr w:type="spellStart"/>
      <w:r w:rsidRPr="009926A6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D1230D" w:rsidRPr="00A65D71" w:rsidRDefault="00D1230D" w:rsidP="00D1230D">
      <w:pPr>
        <w:tabs>
          <w:tab w:val="left" w:pos="-2410"/>
          <w:tab w:val="left" w:pos="-1985"/>
          <w:tab w:val="left" w:pos="-1843"/>
        </w:tabs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1230D" w:rsidRPr="00A65D71" w:rsidRDefault="00DE187E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bookmarkStart w:id="0" w:name="_GoBack"/>
      <w:r w:rsidRPr="00A65D71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Про внесення змін до </w:t>
      </w:r>
      <w:r w:rsidR="00E67279" w:rsidRPr="00A65D71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Програми</w:t>
      </w:r>
      <w:r w:rsidRPr="00A65D71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="008D5708" w:rsidRPr="00A65D71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розвитку </w:t>
      </w:r>
    </w:p>
    <w:p w:rsidR="00D1230D" w:rsidRPr="00A65D71" w:rsidRDefault="00A65D71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A65D71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>з</w:t>
      </w:r>
      <w:r w:rsidR="008D5708" w:rsidRPr="00A65D71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>емельних відносин</w:t>
      </w:r>
      <w:r w:rsidR="00DE187E" w:rsidRPr="00A65D71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 </w:t>
      </w:r>
      <w:r w:rsidR="00E67279" w:rsidRPr="00A65D71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Гніванської міської </w:t>
      </w:r>
    </w:p>
    <w:p w:rsidR="00E67279" w:rsidRPr="00A65D71" w:rsidRDefault="00E67279" w:rsidP="00D1230D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</w:pPr>
      <w:r w:rsidRPr="00A65D71">
        <w:rPr>
          <w:rFonts w:ascii="Times New Roman" w:hAnsi="Times New Roman" w:cs="Times New Roman"/>
          <w:color w:val="000000" w:themeColor="text1"/>
          <w:spacing w:val="7"/>
          <w:sz w:val="24"/>
          <w:szCs w:val="24"/>
          <w:lang w:val="uk-UA"/>
        </w:rPr>
        <w:t xml:space="preserve">територіальної громади </w:t>
      </w:r>
      <w:r w:rsidR="00933803" w:rsidRPr="00A65D71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uk-UA"/>
        </w:rPr>
        <w:t>на 2023</w:t>
      </w:r>
      <w:r w:rsidRPr="00A65D71">
        <w:rPr>
          <w:rFonts w:ascii="Times New Roman" w:hAnsi="Times New Roman" w:cs="Times New Roman"/>
          <w:color w:val="000000" w:themeColor="text1"/>
          <w:spacing w:val="3"/>
          <w:sz w:val="24"/>
          <w:szCs w:val="24"/>
          <w:lang w:val="uk-UA"/>
        </w:rPr>
        <w:t xml:space="preserve">-2024 роки </w:t>
      </w:r>
    </w:p>
    <w:bookmarkEnd w:id="0"/>
    <w:p w:rsidR="00D1230D" w:rsidRPr="00A65D71" w:rsidRDefault="00D1230D" w:rsidP="00F0676B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</w:pPr>
    </w:p>
    <w:p w:rsidR="00E67279" w:rsidRPr="00A65D71" w:rsidRDefault="00E67279" w:rsidP="00E67279">
      <w:pPr>
        <w:shd w:val="clear" w:color="auto" w:fill="FFFFFF"/>
        <w:ind w:left="17" w:right="17" w:firstLine="71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65D71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 xml:space="preserve">Відповідно до п.22 </w:t>
      </w:r>
      <w:r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ст.26, ст.59 ч.1,2,3, Закону України “Про місцеве самоврядування в Україні”, </w:t>
      </w:r>
      <w:r w:rsidR="00DE187E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 зв</w:t>
      </w:r>
      <w:r w:rsidR="005B46BC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'</w:t>
      </w:r>
      <w:r w:rsidR="00DE187E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язку з виникненням необхідності виконання додаткових заходів щодо </w:t>
      </w:r>
      <w:r w:rsidR="009926A6" w:rsidRPr="00A65D71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розвитку земельних відносин Гніванської міської територі</w:t>
      </w:r>
      <w:r w:rsidR="00DE187E" w:rsidRPr="00A65D71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альної громади</w:t>
      </w:r>
      <w:r w:rsidRPr="00A65D71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, </w:t>
      </w:r>
      <w:r w:rsidR="005B46BC" w:rsidRPr="00A65D71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а саме </w:t>
      </w:r>
      <w:r w:rsidR="005B46BC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виконання робіт з проведення незалежної оцінки земельної ділянки для розміщення, будівництва, експлуатації та обслуговування будівель і споруд об'єктів передачі енергетичної енергії площею 0,0400 га, що розташована в м. Гнівань по вул. Соборна,43, яка планується до продажу гр. Романенко С.М. в сумі 7500 грн., розроблення  технічної документації із землеустрою щодо інвентаризації земель комунальної власності під польовими дорогами, які розташовані в масивах земель сільськогосподарського призначення на території Гніванської МТГ в сумі 86 250,00 грн., Розроблення проекту із землеустрою щодо встановлення (зміна) меж населеного пункту села </w:t>
      </w:r>
      <w:proofErr w:type="spellStart"/>
      <w:r w:rsidR="005B46BC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Рижавка</w:t>
      </w:r>
      <w:proofErr w:type="spellEnd"/>
      <w:r w:rsidR="005B46BC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 сумі 58 800,00 грн.,  </w:t>
      </w:r>
      <w:r w:rsidR="00DE187E" w:rsidRPr="00A65D71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керуючись </w:t>
      </w:r>
      <w:r w:rsidR="009926A6" w:rsidRPr="00A65D71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Земельним Кодексом України</w:t>
      </w:r>
      <w:r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,</w:t>
      </w:r>
      <w:r w:rsidR="009926A6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Законом України «Про землеустрій</w:t>
      </w:r>
      <w:r w:rsidRPr="00A65D71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 xml:space="preserve">, </w:t>
      </w:r>
      <w:r w:rsidR="009926A6" w:rsidRPr="00A65D71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керуючись ст.19, 20, 22, 23</w:t>
      </w:r>
      <w:r w:rsidR="00F0676B" w:rsidRPr="00A65D71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>,91</w:t>
      </w:r>
      <w:r w:rsidR="009926A6" w:rsidRPr="00A65D71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Бюджетного Кодексу України</w:t>
      </w:r>
      <w:r w:rsidR="00DE187E" w:rsidRPr="00A65D71">
        <w:rPr>
          <w:rFonts w:ascii="Times New Roman" w:hAnsi="Times New Roman" w:cs="Times New Roman"/>
          <w:color w:val="000000"/>
          <w:spacing w:val="5"/>
          <w:sz w:val="24"/>
          <w:szCs w:val="24"/>
          <w:lang w:val="uk-UA"/>
        </w:rPr>
        <w:t xml:space="preserve"> </w:t>
      </w:r>
      <w:r w:rsidRPr="00A65D71">
        <w:rPr>
          <w:rFonts w:ascii="Times New Roman" w:hAnsi="Times New Roman" w:cs="Times New Roman"/>
          <w:color w:val="000000" w:themeColor="text1"/>
          <w:spacing w:val="5"/>
          <w:sz w:val="24"/>
          <w:szCs w:val="24"/>
          <w:lang w:val="uk-UA"/>
        </w:rPr>
        <w:t xml:space="preserve"> </w:t>
      </w:r>
      <w:r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Гніванська  міська рада</w:t>
      </w:r>
      <w:r w:rsidR="005B46BC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A65D7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/>
        </w:rPr>
        <w:t>ВИРІШИЛА</w:t>
      </w:r>
      <w:r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:</w:t>
      </w:r>
    </w:p>
    <w:p w:rsidR="00D1230D" w:rsidRPr="00A65D71" w:rsidRDefault="00D1230D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1230D" w:rsidRPr="00A65D71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</w:t>
      </w:r>
      <w:r w:rsidR="00E67279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1. </w:t>
      </w:r>
      <w:r w:rsidR="005B46BC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="00DE187E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нести наступні зміни до </w:t>
      </w:r>
      <w:r w:rsidR="00DE187E" w:rsidRPr="00A65D71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Програми</w:t>
      </w:r>
      <w:r w:rsidR="009926A6" w:rsidRPr="00A65D71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 xml:space="preserve"> розвитку земельних відносин Гніванської міської територіальної громади на 2023-2024 </w:t>
      </w:r>
      <w:r w:rsidR="00DE187E" w:rsidRPr="00A65D71">
        <w:rPr>
          <w:rFonts w:ascii="Times New Roman" w:hAnsi="Times New Roman" w:cs="Times New Roman"/>
          <w:color w:val="000000" w:themeColor="text1"/>
          <w:spacing w:val="13"/>
          <w:sz w:val="24"/>
          <w:szCs w:val="24"/>
          <w:lang w:val="uk-UA"/>
        </w:rPr>
        <w:t>роки :</w:t>
      </w:r>
    </w:p>
    <w:p w:rsidR="009926A6" w:rsidRPr="00A65D71" w:rsidRDefault="00F0676B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</w:t>
      </w:r>
      <w:r w:rsidR="006547A6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Пункт </w:t>
      </w:r>
      <w:r w:rsidR="00DE187E" w:rsidRPr="00A65D71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6  </w:t>
      </w:r>
      <w:proofErr w:type="spellStart"/>
      <w:r w:rsidR="006547A6" w:rsidRPr="00A65D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Основн</w:t>
      </w:r>
      <w:r w:rsidR="006547A6" w:rsidRPr="00A65D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их</w:t>
      </w:r>
      <w:proofErr w:type="spellEnd"/>
      <w:r w:rsidR="006547A6" w:rsidRPr="00A65D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заход</w:t>
      </w:r>
      <w:proofErr w:type="spellStart"/>
      <w:r w:rsidR="006547A6" w:rsidRPr="00A65D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>ів</w:t>
      </w:r>
      <w:proofErr w:type="spellEnd"/>
      <w:r w:rsidR="00DE187E" w:rsidRPr="00A65D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 w:rsidR="00DE187E" w:rsidRPr="00A65D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Програми</w:t>
      </w:r>
      <w:proofErr w:type="spellEnd"/>
      <w:r w:rsidR="00DE187E" w:rsidRPr="00A65D7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uk-UA"/>
        </w:rPr>
        <w:t xml:space="preserve"> </w:t>
      </w:r>
      <w:r w:rsidR="00DE187E" w:rsidRPr="00A65D71">
        <w:rPr>
          <w:rFonts w:ascii="Times New Roman" w:hAnsi="Times New Roman" w:cs="Times New Roman"/>
          <w:sz w:val="28"/>
          <w:szCs w:val="28"/>
        </w:rPr>
        <w:t>на 2022-2024 роки</w:t>
      </w:r>
      <w:r w:rsidR="00DE187E" w:rsidRPr="00A65D7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547A6" w:rsidRPr="00A65D71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підпунктами </w:t>
      </w:r>
      <w:r w:rsidR="00DE187E" w:rsidRPr="00A65D71">
        <w:rPr>
          <w:rFonts w:ascii="Times New Roman" w:hAnsi="Times New Roman" w:cs="Times New Roman"/>
          <w:sz w:val="28"/>
          <w:szCs w:val="28"/>
          <w:lang w:val="uk-UA"/>
        </w:rPr>
        <w:t xml:space="preserve"> 11</w:t>
      </w:r>
      <w:r w:rsidR="006154AB" w:rsidRPr="00A65D71">
        <w:rPr>
          <w:rFonts w:ascii="Times New Roman" w:hAnsi="Times New Roman" w:cs="Times New Roman"/>
          <w:sz w:val="28"/>
          <w:szCs w:val="28"/>
          <w:lang w:val="uk-UA"/>
        </w:rPr>
        <w:t>,12,13,14</w:t>
      </w:r>
      <w:r w:rsidR="00DE187E" w:rsidRPr="00A65D71">
        <w:rPr>
          <w:rFonts w:ascii="Times New Roman" w:hAnsi="Times New Roman" w:cs="Times New Roman"/>
          <w:sz w:val="28"/>
          <w:szCs w:val="28"/>
          <w:lang w:val="uk-UA"/>
        </w:rPr>
        <w:t xml:space="preserve">  за змістом:</w:t>
      </w:r>
    </w:p>
    <w:p w:rsidR="00DE187E" w:rsidRPr="00DE187E" w:rsidRDefault="00DE187E" w:rsidP="009926A6">
      <w:pPr>
        <w:shd w:val="clear" w:color="auto" w:fill="FFFFFF"/>
        <w:ind w:right="1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4110"/>
        <w:gridCol w:w="2393"/>
        <w:gridCol w:w="2393"/>
      </w:tblGrid>
      <w:tr w:rsidR="00DE187E" w:rsidTr="00DE187E">
        <w:tc>
          <w:tcPr>
            <w:tcW w:w="675" w:type="dxa"/>
          </w:tcPr>
          <w:p w:rsidR="00DE187E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№ п/п</w:t>
            </w:r>
          </w:p>
        </w:tc>
        <w:tc>
          <w:tcPr>
            <w:tcW w:w="4110" w:type="dxa"/>
          </w:tcPr>
          <w:p w:rsidR="00DE187E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Зміст заходу</w:t>
            </w:r>
          </w:p>
        </w:tc>
        <w:tc>
          <w:tcPr>
            <w:tcW w:w="2393" w:type="dxa"/>
          </w:tcPr>
          <w:p w:rsidR="00DE187E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2023 р.</w:t>
            </w:r>
            <w:r w:rsidR="004E658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  <w:tc>
          <w:tcPr>
            <w:tcW w:w="2393" w:type="dxa"/>
          </w:tcPr>
          <w:p w:rsidR="00DE187E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Розмір запланованого фінансування на 2024 р.</w:t>
            </w:r>
            <w:r w:rsidR="004E6588">
              <w:rPr>
                <w:color w:val="000000" w:themeColor="text1"/>
                <w:sz w:val="24"/>
                <w:szCs w:val="24"/>
                <w:lang w:val="uk-UA"/>
              </w:rPr>
              <w:t xml:space="preserve"> (грн.)</w:t>
            </w:r>
          </w:p>
        </w:tc>
      </w:tr>
      <w:tr w:rsidR="00DE187E" w:rsidTr="00DE187E">
        <w:tc>
          <w:tcPr>
            <w:tcW w:w="675" w:type="dxa"/>
          </w:tcPr>
          <w:p w:rsidR="00DE187E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11.</w:t>
            </w:r>
          </w:p>
        </w:tc>
        <w:tc>
          <w:tcPr>
            <w:tcW w:w="4110" w:type="dxa"/>
          </w:tcPr>
          <w:p w:rsidR="00DE187E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Виконання робіт з проведення незалежної оцінки земельної ділянки для розміщення, будівництва, експлуатації та обслуговування</w:t>
            </w:r>
            <w:r w:rsidR="004E6588">
              <w:rPr>
                <w:color w:val="000000" w:themeColor="text1"/>
                <w:sz w:val="24"/>
                <w:szCs w:val="24"/>
                <w:lang w:val="uk-UA"/>
              </w:rPr>
              <w:t xml:space="preserve"> </w:t>
            </w:r>
            <w:r w:rsidR="004E6588"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будівель і споруд об'єктів передачі енергетичної енергії площею 0,040</w:t>
            </w:r>
            <w:r w:rsidR="005B46BC">
              <w:rPr>
                <w:color w:val="000000" w:themeColor="text1"/>
                <w:sz w:val="24"/>
                <w:szCs w:val="24"/>
                <w:lang w:val="uk-UA"/>
              </w:rPr>
              <w:t>0</w:t>
            </w:r>
            <w:r w:rsidR="004E6588">
              <w:rPr>
                <w:color w:val="000000" w:themeColor="text1"/>
                <w:sz w:val="24"/>
                <w:szCs w:val="24"/>
                <w:lang w:val="uk-UA"/>
              </w:rPr>
              <w:t xml:space="preserve"> га, що розташована в м. </w:t>
            </w:r>
            <w:proofErr w:type="spellStart"/>
            <w:r w:rsidR="004E6588">
              <w:rPr>
                <w:color w:val="000000" w:themeColor="text1"/>
                <w:sz w:val="24"/>
                <w:szCs w:val="24"/>
                <w:lang w:val="uk-UA"/>
              </w:rPr>
              <w:t>Гніваань</w:t>
            </w:r>
            <w:proofErr w:type="spellEnd"/>
            <w:r w:rsidR="004E6588">
              <w:rPr>
                <w:color w:val="000000" w:themeColor="text1"/>
                <w:sz w:val="24"/>
                <w:szCs w:val="24"/>
                <w:lang w:val="uk-UA"/>
              </w:rPr>
              <w:t xml:space="preserve"> по вул. Соборна,43, яка планується до продажу </w:t>
            </w:r>
            <w:proofErr w:type="spellStart"/>
            <w:r w:rsidR="004E6588">
              <w:rPr>
                <w:color w:val="000000" w:themeColor="text1"/>
                <w:sz w:val="24"/>
                <w:szCs w:val="24"/>
                <w:lang w:val="uk-UA"/>
              </w:rPr>
              <w:t>гр.Романенко</w:t>
            </w:r>
            <w:proofErr w:type="spellEnd"/>
            <w:r w:rsidR="004E6588">
              <w:rPr>
                <w:color w:val="000000" w:themeColor="text1"/>
                <w:sz w:val="24"/>
                <w:szCs w:val="24"/>
                <w:lang w:val="uk-UA"/>
              </w:rPr>
              <w:t xml:space="preserve"> С.М.</w:t>
            </w:r>
          </w:p>
        </w:tc>
        <w:tc>
          <w:tcPr>
            <w:tcW w:w="2393" w:type="dxa"/>
          </w:tcPr>
          <w:p w:rsidR="00DE187E" w:rsidRDefault="004E6588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7500,00</w:t>
            </w:r>
          </w:p>
        </w:tc>
        <w:tc>
          <w:tcPr>
            <w:tcW w:w="2393" w:type="dxa"/>
          </w:tcPr>
          <w:p w:rsidR="00DE187E" w:rsidRDefault="00DE187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4E6588" w:rsidRPr="00743DAE" w:rsidTr="00DE187E">
        <w:tc>
          <w:tcPr>
            <w:tcW w:w="675" w:type="dxa"/>
          </w:tcPr>
          <w:p w:rsidR="004E6588" w:rsidRDefault="004E6588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lastRenderedPageBreak/>
              <w:t>12.</w:t>
            </w:r>
          </w:p>
        </w:tc>
        <w:tc>
          <w:tcPr>
            <w:tcW w:w="4110" w:type="dxa"/>
          </w:tcPr>
          <w:p w:rsidR="004E6588" w:rsidRDefault="00743DA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Розроблення  технічної документації із землеустрою щодо інвентаризації земель комунальної власності під польовими дорогами, які розташовані в масивах земель сільськогосподарського призначення на території Гніванської МТГ</w:t>
            </w:r>
          </w:p>
        </w:tc>
        <w:tc>
          <w:tcPr>
            <w:tcW w:w="2393" w:type="dxa"/>
          </w:tcPr>
          <w:p w:rsidR="004E6588" w:rsidRDefault="00743DA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86 250,00 </w:t>
            </w:r>
          </w:p>
        </w:tc>
        <w:tc>
          <w:tcPr>
            <w:tcW w:w="2393" w:type="dxa"/>
          </w:tcPr>
          <w:p w:rsidR="004E6588" w:rsidRDefault="004E6588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743DAE" w:rsidRPr="00743DAE" w:rsidTr="00DE187E">
        <w:tc>
          <w:tcPr>
            <w:tcW w:w="675" w:type="dxa"/>
          </w:tcPr>
          <w:p w:rsidR="00743DAE" w:rsidRDefault="00743DA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13.</w:t>
            </w:r>
          </w:p>
        </w:tc>
        <w:tc>
          <w:tcPr>
            <w:tcW w:w="4110" w:type="dxa"/>
          </w:tcPr>
          <w:p w:rsidR="00743DAE" w:rsidRDefault="00743DA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 xml:space="preserve">Розроблення проекту із землеустрою щодо встановлення (зміна) меж населеного пункту села </w:t>
            </w:r>
            <w:proofErr w:type="spellStart"/>
            <w:r>
              <w:rPr>
                <w:color w:val="000000" w:themeColor="text1"/>
                <w:sz w:val="24"/>
                <w:szCs w:val="24"/>
                <w:lang w:val="uk-UA"/>
              </w:rPr>
              <w:t>Рижавка</w:t>
            </w:r>
            <w:proofErr w:type="spellEnd"/>
          </w:p>
        </w:tc>
        <w:tc>
          <w:tcPr>
            <w:tcW w:w="2393" w:type="dxa"/>
          </w:tcPr>
          <w:p w:rsidR="00743DAE" w:rsidRDefault="00743DA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58 800,00</w:t>
            </w:r>
          </w:p>
        </w:tc>
        <w:tc>
          <w:tcPr>
            <w:tcW w:w="2393" w:type="dxa"/>
          </w:tcPr>
          <w:p w:rsidR="00743DAE" w:rsidRDefault="00743DAE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  <w:tr w:rsidR="006154AB" w:rsidRPr="00743DAE" w:rsidTr="00DE187E">
        <w:tc>
          <w:tcPr>
            <w:tcW w:w="675" w:type="dxa"/>
          </w:tcPr>
          <w:p w:rsidR="006154AB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14.</w:t>
            </w:r>
          </w:p>
        </w:tc>
        <w:tc>
          <w:tcPr>
            <w:tcW w:w="4110" w:type="dxa"/>
          </w:tcPr>
          <w:p w:rsidR="006154AB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2393" w:type="dxa"/>
          </w:tcPr>
          <w:p w:rsidR="006154AB" w:rsidRDefault="005B46BC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color w:val="000000" w:themeColor="text1"/>
                <w:sz w:val="24"/>
                <w:szCs w:val="24"/>
                <w:lang w:val="uk-UA"/>
              </w:rPr>
              <w:t>2300724,00</w:t>
            </w:r>
          </w:p>
        </w:tc>
        <w:tc>
          <w:tcPr>
            <w:tcW w:w="2393" w:type="dxa"/>
          </w:tcPr>
          <w:p w:rsidR="006154AB" w:rsidRDefault="006154AB" w:rsidP="009926A6">
            <w:pPr>
              <w:ind w:right="17"/>
              <w:jc w:val="both"/>
              <w:rPr>
                <w:color w:val="000000" w:themeColor="text1"/>
                <w:sz w:val="24"/>
                <w:szCs w:val="24"/>
                <w:lang w:val="uk-UA"/>
              </w:rPr>
            </w:pPr>
          </w:p>
        </w:tc>
      </w:tr>
    </w:tbl>
    <w:p w:rsidR="005B46BC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B46BC" w:rsidRPr="006547A6" w:rsidRDefault="005B46BC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547A6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54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4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547A6">
        <w:rPr>
          <w:rFonts w:ascii="Times New Roman" w:hAnsi="Times New Roman" w:cs="Times New Roman"/>
          <w:sz w:val="24"/>
          <w:szCs w:val="24"/>
          <w:lang w:val="uk-UA"/>
        </w:rPr>
        <w:t>В  п</w:t>
      </w:r>
      <w:r w:rsidRPr="006547A6">
        <w:rPr>
          <w:rFonts w:ascii="Times New Roman" w:hAnsi="Times New Roman" w:cs="Times New Roman"/>
          <w:sz w:val="24"/>
          <w:szCs w:val="24"/>
          <w:lang w:val="uk-UA"/>
        </w:rPr>
        <w:t>аспорт</w:t>
      </w:r>
      <w:r w:rsidR="006547A6">
        <w:rPr>
          <w:rFonts w:ascii="Times New Roman" w:hAnsi="Times New Roman" w:cs="Times New Roman"/>
          <w:sz w:val="24"/>
          <w:szCs w:val="24"/>
          <w:lang w:val="uk-UA"/>
        </w:rPr>
        <w:t xml:space="preserve">і </w:t>
      </w:r>
      <w:r w:rsidRPr="006547A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6547A6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6547A6">
        <w:rPr>
          <w:rFonts w:ascii="Times New Roman" w:hAnsi="Times New Roman" w:cs="Times New Roman"/>
          <w:sz w:val="24"/>
          <w:szCs w:val="24"/>
          <w:lang w:val="uk-UA"/>
        </w:rPr>
        <w:t xml:space="preserve"> розвитку земельних відносин Гніванської міської ради </w:t>
      </w:r>
      <w:r w:rsidR="006547A6">
        <w:rPr>
          <w:rFonts w:ascii="Times New Roman" w:hAnsi="Times New Roman" w:cs="Times New Roman"/>
          <w:sz w:val="24"/>
          <w:szCs w:val="24"/>
          <w:lang w:val="uk-UA"/>
        </w:rPr>
        <w:t xml:space="preserve">пункт 7 </w:t>
      </w:r>
      <w:r w:rsidRPr="006547A6">
        <w:rPr>
          <w:rFonts w:ascii="Times New Roman" w:hAnsi="Times New Roman" w:cs="Times New Roman"/>
          <w:sz w:val="24"/>
          <w:szCs w:val="24"/>
          <w:lang w:val="uk-UA"/>
        </w:rPr>
        <w:t>викласти в наступній редакції</w:t>
      </w:r>
      <w:r w:rsidR="006547A6">
        <w:rPr>
          <w:rFonts w:ascii="Times New Roman" w:hAnsi="Times New Roman" w:cs="Times New Roman"/>
          <w:sz w:val="24"/>
          <w:szCs w:val="24"/>
          <w:lang w:val="uk-UA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5B46BC" w:rsidRPr="009926A6" w:rsidTr="00C13C4A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B46BC" w:rsidRPr="009926A6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9926A6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46BC" w:rsidRPr="009926A6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2023 р. –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uk-UA"/>
              </w:rPr>
              <w:t xml:space="preserve">230 724,00 </w:t>
            </w: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  <w:p w:rsidR="005B46BC" w:rsidRPr="009926A6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2024 р. – </w:t>
            </w:r>
            <w:r w:rsidRPr="009926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605200,00 </w:t>
            </w: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5B46BC" w:rsidRPr="009926A6" w:rsidRDefault="005B46BC" w:rsidP="00C13C4A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</w:p>
        </w:tc>
      </w:tr>
    </w:tbl>
    <w:p w:rsidR="005B46BC" w:rsidRPr="006547A6" w:rsidRDefault="006547A6" w:rsidP="005B46BC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</w:pPr>
      <w:r>
        <w:rPr>
          <w:rStyle w:val="a4"/>
          <w:rFonts w:ascii="Times New Roman" w:eastAsia="Arial" w:hAnsi="Times New Roman" w:cs="Times New Roman"/>
          <w:color w:val="FF0000"/>
          <w:sz w:val="24"/>
          <w:szCs w:val="24"/>
          <w:lang w:val="uk-UA"/>
        </w:rPr>
        <w:t xml:space="preserve">   </w:t>
      </w:r>
      <w:r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2. Відповідальність за виконання </w:t>
      </w:r>
      <w:proofErr w:type="spellStart"/>
      <w:r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прогріми</w:t>
      </w:r>
      <w:proofErr w:type="spellEnd"/>
      <w:r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покласти на відділ з земельних та житлово-комунальних питань </w:t>
      </w:r>
      <w:proofErr w:type="spellStart"/>
      <w:r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>Роваіську</w:t>
      </w:r>
      <w:proofErr w:type="spellEnd"/>
      <w:r w:rsidRPr="006547A6">
        <w:rPr>
          <w:rStyle w:val="a4"/>
          <w:rFonts w:ascii="Times New Roman" w:eastAsia="Arial" w:hAnsi="Times New Roman" w:cs="Times New Roman"/>
          <w:b w:val="0"/>
          <w:sz w:val="24"/>
          <w:szCs w:val="24"/>
          <w:lang w:val="uk-UA"/>
        </w:rPr>
        <w:t xml:space="preserve"> В.Д.</w:t>
      </w:r>
    </w:p>
    <w:p w:rsidR="00E67279" w:rsidRPr="009926A6" w:rsidRDefault="009926A6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3</w:t>
      </w:r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. Контроль за виконанням даного рішення покласти на постійну комісію</w:t>
      </w:r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proofErr w:type="spellStart"/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пам</w:t>
      </w:r>
      <w:proofErr w:type="spellEnd"/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</w:rPr>
        <w:t>’</w:t>
      </w:r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яток, історичного середовища та благоустрою (</w:t>
      </w:r>
      <w:proofErr w:type="spellStart"/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>Берещук</w:t>
      </w:r>
      <w:proofErr w:type="spellEnd"/>
      <w:r w:rsidR="00E67279" w:rsidRPr="009926A6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М.В.).</w:t>
      </w:r>
    </w:p>
    <w:p w:rsidR="00E67279" w:rsidRPr="009926A6" w:rsidRDefault="00E67279" w:rsidP="00E67279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67279" w:rsidRPr="009926A6" w:rsidRDefault="00E67279" w:rsidP="00E67279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Міський голова          </w:t>
      </w:r>
      <w:r w:rsidR="009926A6"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</w:t>
      </w:r>
      <w:r w:rsidR="00F0676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</w:t>
      </w:r>
      <w:r w:rsidR="009926A6"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Володимир КУЛЕШОВ</w:t>
      </w:r>
    </w:p>
    <w:p w:rsidR="009926A6" w:rsidRPr="009926A6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926A6" w:rsidRPr="009926A6" w:rsidRDefault="009926A6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1230D" w:rsidRDefault="00D1230D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D1230D" w:rsidRPr="009926A6" w:rsidRDefault="00D1230D" w:rsidP="00E67279">
      <w:pPr>
        <w:spacing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67279" w:rsidRPr="009926A6" w:rsidRDefault="009926A6" w:rsidP="00F0676B">
      <w:pPr>
        <w:spacing w:after="0"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</w:t>
      </w:r>
      <w:r w:rsidR="00F0676B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</w:t>
      </w:r>
      <w:r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ДОДАТОК 1</w:t>
      </w:r>
    </w:p>
    <w:p w:rsidR="009926A6" w:rsidRPr="009926A6" w:rsidRDefault="009926A6" w:rsidP="00F0676B">
      <w:pPr>
        <w:spacing w:after="0"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Затверджено рішенням</w:t>
      </w:r>
    </w:p>
    <w:p w:rsidR="009926A6" w:rsidRPr="009926A6" w:rsidRDefault="009926A6" w:rsidP="00F0676B">
      <w:pPr>
        <w:spacing w:after="0"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21 сесії 8 скликання </w:t>
      </w:r>
    </w:p>
    <w:p w:rsidR="009926A6" w:rsidRPr="009926A6" w:rsidRDefault="009926A6" w:rsidP="00F0676B">
      <w:pPr>
        <w:spacing w:after="0"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                 від __________2023 р. №____</w:t>
      </w:r>
    </w:p>
    <w:p w:rsidR="009926A6" w:rsidRPr="009926A6" w:rsidRDefault="009926A6" w:rsidP="00F0676B">
      <w:pPr>
        <w:spacing w:after="0" w:line="20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E67279" w:rsidRPr="009926A6" w:rsidRDefault="00E67279" w:rsidP="00F0676B">
      <w:pPr>
        <w:spacing w:after="0" w:line="204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E67279" w:rsidRPr="009926A6" w:rsidRDefault="00E67279" w:rsidP="00E67279">
      <w:pPr>
        <w:spacing w:line="204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</w:p>
    <w:p w:rsidR="00AF1FCE" w:rsidRPr="005222FB" w:rsidRDefault="00AF1FCE" w:rsidP="00721C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/>
        </w:rPr>
      </w:pPr>
      <w:r w:rsidRPr="005222F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ПРОГРАМА</w:t>
      </w:r>
    </w:p>
    <w:p w:rsidR="00AC2BCD" w:rsidRPr="009926A6" w:rsidRDefault="00F0676B" w:rsidP="00721C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              </w:t>
      </w:r>
      <w:r w:rsidR="00FE7A8F" w:rsidRPr="00522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Р</w:t>
      </w:r>
      <w:r w:rsidR="00AF1FCE" w:rsidRPr="00522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озвитку</w:t>
      </w:r>
      <w:r w:rsidR="00FE7A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AF1FCE" w:rsidRPr="00522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земельних</w:t>
      </w:r>
      <w:r w:rsidR="00FE7A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AF1FCE" w:rsidRPr="00522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відносин</w:t>
      </w:r>
      <w:r w:rsidR="00FE7A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00208F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Гніванської</w:t>
      </w:r>
      <w:r w:rsidR="00FE7A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00208F" w:rsidRPr="00522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міської</w:t>
      </w:r>
      <w:r w:rsidR="00FE7A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r w:rsidR="0000208F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територіальної громади</w:t>
      </w:r>
    </w:p>
    <w:p w:rsidR="00AF1FCE" w:rsidRPr="005222FB" w:rsidRDefault="00AF1FCE" w:rsidP="00721C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522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lastRenderedPageBreak/>
        <w:t>на 202</w:t>
      </w:r>
      <w:r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3</w:t>
      </w:r>
      <w:r w:rsidRPr="00522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-202</w:t>
      </w:r>
      <w:r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4</w:t>
      </w:r>
      <w:r w:rsidRPr="00522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роки</w:t>
      </w:r>
    </w:p>
    <w:p w:rsidR="00721C35" w:rsidRPr="005222FB" w:rsidRDefault="00721C35" w:rsidP="00721C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</w:pPr>
    </w:p>
    <w:p w:rsidR="00AF1FCE" w:rsidRPr="005222FB" w:rsidRDefault="00AF1FCE" w:rsidP="00721C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522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ВСТУП</w:t>
      </w:r>
    </w:p>
    <w:p w:rsidR="00AF1FCE" w:rsidRPr="005222FB" w:rsidRDefault="00AF1FCE" w:rsidP="005C3215">
      <w:pPr>
        <w:shd w:val="clear" w:color="auto" w:fill="FFFFFF"/>
        <w:spacing w:before="273" w:after="273" w:line="240" w:lineRule="auto"/>
        <w:ind w:left="-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 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Програма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розвитку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земельних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відносин та охорони земель 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Гніванської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міської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територіальної громади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на 202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-202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роки (далі – Програма) розроблена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згідно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із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Земельним та Бюджетним кодексами України, Законами України «Про землеустрій», «Про охорону земель», «Про оцінку земель», «Про Державний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земельний кадастр», з метою здійснення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заходів для створення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ефективного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механізму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регулювання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земельних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відносин та управління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земельними ресурсами, раціонального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використання та охорони земель, розвитку ринку землі та ведення Державного земельного кадастру.</w:t>
      </w:r>
    </w:p>
    <w:p w:rsidR="00AF1FCE" w:rsidRPr="009926A6" w:rsidRDefault="00AF1FCE" w:rsidP="005C3215">
      <w:pPr>
        <w:shd w:val="clear" w:color="auto" w:fill="FFFFFF"/>
        <w:spacing w:before="273" w:after="273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Результатом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виконання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Програми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має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стати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підвищення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ефективності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раціонального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використання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земель 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Гніванської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міської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територіальної громади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F1FCE" w:rsidRPr="00933803" w:rsidRDefault="00AF1FCE" w:rsidP="005C3215">
      <w:pPr>
        <w:shd w:val="clear" w:color="auto" w:fill="FFFFFF"/>
        <w:spacing w:before="273" w:after="273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Разом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іззростанням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інвестиційного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виробничого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потенціалів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як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самостійного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фактору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економічного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зростання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буде завершено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здійснення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більш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важливих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заходів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і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завдань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необхідних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для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подальшого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розвитку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відносин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гарантування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права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власності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та права </w:t>
      </w:r>
      <w:proofErr w:type="spellStart"/>
      <w:proofErr w:type="gramStart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користування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 на</w:t>
      </w:r>
      <w:proofErr w:type="gram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землю</w:t>
      </w:r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Гніванської </w:t>
      </w:r>
      <w:r w:rsidRPr="00933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міської ради.</w:t>
      </w:r>
    </w:p>
    <w:p w:rsidR="00AF1FCE" w:rsidRPr="00933803" w:rsidRDefault="00FE7A8F" w:rsidP="00AC2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                                                          </w:t>
      </w:r>
      <w:r w:rsidR="00AF1FCE" w:rsidRPr="0093380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1. Мета Програми</w:t>
      </w:r>
    </w:p>
    <w:p w:rsidR="00721C35" w:rsidRPr="00933803" w:rsidRDefault="00AF1FCE" w:rsidP="00721C35">
      <w:pPr>
        <w:shd w:val="clear" w:color="auto" w:fill="FFFFFF"/>
        <w:spacing w:after="273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33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Основною метою Програми є:</w:t>
      </w:r>
    </w:p>
    <w:p w:rsidR="00AF1FCE" w:rsidRPr="00933803" w:rsidRDefault="002523E9" w:rsidP="00721C35">
      <w:pPr>
        <w:shd w:val="clear" w:color="auto" w:fill="FFFFFF"/>
        <w:spacing w:after="2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- </w:t>
      </w:r>
      <w:r w:rsidR="00AF1FCE" w:rsidRPr="00933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здійснення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F1FCE" w:rsidRPr="00933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заходів для створення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F1FCE" w:rsidRPr="00933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ефективного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F1FCE" w:rsidRPr="00933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механізму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F1FCE" w:rsidRPr="00933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регулювання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F1FCE" w:rsidRPr="00933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земельних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F1FCE" w:rsidRPr="00933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відносин та управління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F1FCE" w:rsidRPr="00933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земельними ресурсами, раціонального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AF1FCE" w:rsidRPr="009338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використання та охорони земель, розвитку ринку землі;</w:t>
      </w:r>
    </w:p>
    <w:p w:rsidR="00721C35" w:rsidRDefault="002523E9" w:rsidP="005C3215">
      <w:pPr>
        <w:widowControl w:val="0"/>
        <w:autoSpaceDE w:val="0"/>
        <w:autoSpaceDN w:val="0"/>
        <w:adjustRightInd w:val="0"/>
        <w:spacing w:line="216" w:lineRule="auto"/>
        <w:ind w:left="-14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    - </w:t>
      </w:r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забезпечення ефективного використання земельних ресурсів, створення оптимальних умов для суттєвого збільшення соціального, інвестиційного і виробничого потенціалів землі, зростання її економічної цінності.</w:t>
      </w:r>
    </w:p>
    <w:p w:rsidR="0000208F" w:rsidRPr="00721C35" w:rsidRDefault="00FE7A8F" w:rsidP="005C3215">
      <w:pPr>
        <w:widowControl w:val="0"/>
        <w:autoSpaceDE w:val="0"/>
        <w:autoSpaceDN w:val="0"/>
        <w:adjustRightInd w:val="0"/>
        <w:spacing w:line="216" w:lineRule="auto"/>
        <w:ind w:left="-142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="0000208F" w:rsidRPr="00721C35">
        <w:rPr>
          <w:rFonts w:ascii="Times New Roman" w:hAnsi="Times New Roman" w:cs="Times New Roman"/>
          <w:b/>
          <w:sz w:val="28"/>
          <w:szCs w:val="28"/>
        </w:rPr>
        <w:t>2.П</w:t>
      </w:r>
      <w:proofErr w:type="spellStart"/>
      <w:r w:rsidR="0000208F" w:rsidRPr="00721C35">
        <w:rPr>
          <w:rFonts w:ascii="Times New Roman" w:hAnsi="Times New Roman" w:cs="Times New Roman"/>
          <w:b/>
          <w:sz w:val="28"/>
          <w:szCs w:val="28"/>
          <w:lang w:val="uk-UA"/>
        </w:rPr>
        <w:t>аспорт</w:t>
      </w:r>
      <w:proofErr w:type="spellEnd"/>
    </w:p>
    <w:p w:rsidR="0000208F" w:rsidRPr="009926A6" w:rsidRDefault="0000208F" w:rsidP="00AC2BCD">
      <w:pPr>
        <w:widowControl w:val="0"/>
        <w:autoSpaceDE w:val="0"/>
        <w:autoSpaceDN w:val="0"/>
        <w:adjustRightInd w:val="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b/>
          <w:sz w:val="24"/>
          <w:szCs w:val="24"/>
          <w:lang w:val="uk-UA"/>
        </w:rPr>
        <w:t xml:space="preserve">2. Паспорт </w:t>
      </w:r>
      <w:proofErr w:type="spellStart"/>
      <w:r w:rsidRPr="009926A6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="00FE7A8F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926A6">
        <w:rPr>
          <w:rFonts w:ascii="Times New Roman" w:hAnsi="Times New Roman" w:cs="Times New Roman"/>
          <w:b/>
          <w:sz w:val="24"/>
          <w:szCs w:val="24"/>
          <w:lang w:val="uk-UA"/>
        </w:rPr>
        <w:t>розвитку земельних відносин Гніванської міської ради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29"/>
        <w:gridCol w:w="4365"/>
        <w:gridCol w:w="4672"/>
      </w:tblGrid>
      <w:tr w:rsidR="0000208F" w:rsidRPr="009926A6" w:rsidTr="00786C5E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і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розробник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Гніванської  міськоїради, відділ з земельних та житлово-комунальних питань, відділ містобудування та архітектури</w:t>
            </w:r>
          </w:p>
        </w:tc>
      </w:tr>
      <w:tr w:rsidR="0000208F" w:rsidRPr="005222FB" w:rsidTr="00786C5E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Відповідальний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виконавець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5222FB" w:rsidRDefault="005222FB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відділ з земельних та житлово-комунальних питань апарату </w:t>
            </w:r>
            <w:r w:rsidR="0000208F"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Гніванської міськоїради, фізичні та юридичні особи</w:t>
            </w:r>
          </w:p>
        </w:tc>
      </w:tr>
      <w:tr w:rsidR="0000208F" w:rsidRPr="00A65D71" w:rsidTr="00786C5E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9926A6" w:rsidRDefault="005222FB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з земельних та житлово-комунальних питань апарату </w:t>
            </w: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0208F"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Гніванської  міської ради, відділ з земельних та житлово-комунальних питань, відділ містобудування та архітектури</w:t>
            </w:r>
          </w:p>
        </w:tc>
      </w:tr>
      <w:tr w:rsidR="0000208F" w:rsidRPr="009926A6" w:rsidTr="00786C5E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 xml:space="preserve">Строк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23-2024 </w:t>
            </w: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</w:tr>
      <w:tr w:rsidR="0000208F" w:rsidRPr="009926A6" w:rsidTr="00786C5E">
        <w:trPr>
          <w:trHeight w:val="1365"/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926A6">
              <w:rPr>
                <w:rFonts w:ascii="Times New Roman" w:hAnsi="Times New Roman" w:cs="Times New Roman"/>
                <w:bCs/>
                <w:sz w:val="24"/>
                <w:szCs w:val="24"/>
              </w:rPr>
              <w:t>Джерела</w:t>
            </w:r>
            <w:proofErr w:type="spellEnd"/>
            <w:r w:rsidR="005222FB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bCs/>
                <w:sz w:val="24"/>
                <w:szCs w:val="24"/>
              </w:rPr>
              <w:t>фінансування</w:t>
            </w:r>
            <w:proofErr w:type="spellEnd"/>
            <w:r w:rsidRPr="009926A6">
              <w:rPr>
                <w:rFonts w:ascii="Times New Roman" w:hAnsi="Times New Roman" w:cs="Times New Roman"/>
                <w:bCs/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9926A6" w:rsidRDefault="0000208F" w:rsidP="00BB3B9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Кошти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місцевого </w:t>
            </w: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 xml:space="preserve"> бюджету</w:t>
            </w: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державного бюджету, кошти фізичних та юридичних осіб,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інш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іджерела</w:t>
            </w:r>
            <w:proofErr w:type="spellEnd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, не заборонен</w:t>
            </w:r>
            <w:r w:rsidR="00BB3B9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законодавством</w:t>
            </w:r>
            <w:proofErr w:type="spellEnd"/>
          </w:p>
        </w:tc>
      </w:tr>
      <w:tr w:rsidR="0000208F" w:rsidRPr="009926A6" w:rsidTr="00786C5E">
        <w:trPr>
          <w:jc w:val="center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="005222F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926A6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0208F" w:rsidRPr="009926A6" w:rsidRDefault="00911DFE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2023</w:t>
            </w:r>
            <w:r w:rsidR="0000208F"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– </w:t>
            </w:r>
            <w:r w:rsidR="002523E9" w:rsidRPr="009926A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294100,00</w:t>
            </w:r>
            <w:r w:rsidR="0000208F" w:rsidRPr="009926A6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  <w:p w:rsidR="0000208F" w:rsidRPr="009926A6" w:rsidRDefault="00AC2BCD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2024</w:t>
            </w:r>
            <w:r w:rsidR="0000208F"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р. – </w:t>
            </w:r>
            <w:r w:rsidR="00E67279" w:rsidRPr="009926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605200</w:t>
            </w:r>
            <w:r w:rsidR="002523E9" w:rsidRPr="009926A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,00 </w:t>
            </w:r>
            <w:r w:rsidR="0000208F" w:rsidRPr="009926A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  <w:p w:rsidR="0000208F" w:rsidRPr="009926A6" w:rsidRDefault="0000208F" w:rsidP="00AC2BCD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  <w:lang w:val="uk-UA"/>
              </w:rPr>
            </w:pPr>
          </w:p>
        </w:tc>
      </w:tr>
    </w:tbl>
    <w:p w:rsidR="0000208F" w:rsidRPr="009926A6" w:rsidRDefault="0000208F" w:rsidP="00AC2BCD">
      <w:pPr>
        <w:widowControl w:val="0"/>
        <w:autoSpaceDE w:val="0"/>
        <w:autoSpaceDN w:val="0"/>
        <w:adjustRightInd w:val="0"/>
        <w:spacing w:line="216" w:lineRule="auto"/>
        <w:jc w:val="both"/>
        <w:rPr>
          <w:rStyle w:val="a4"/>
          <w:rFonts w:ascii="Times New Roman" w:eastAsia="Arial" w:hAnsi="Times New Roman" w:cs="Times New Roman"/>
          <w:color w:val="FF0000"/>
          <w:sz w:val="24"/>
          <w:szCs w:val="24"/>
        </w:rPr>
      </w:pPr>
    </w:p>
    <w:p w:rsidR="00AF1FCE" w:rsidRPr="009926A6" w:rsidRDefault="00FE7A8F" w:rsidP="00AC2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                                               </w:t>
      </w:r>
      <w:r w:rsidR="0000208F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3</w:t>
      </w:r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proofErr w:type="spellStart"/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Основні</w:t>
      </w:r>
      <w:proofErr w:type="spellEnd"/>
      <w:r w:rsidR="00522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завдання</w:t>
      </w:r>
      <w:proofErr w:type="spellEnd"/>
      <w:r w:rsidR="005222F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програми</w:t>
      </w:r>
      <w:proofErr w:type="spellEnd"/>
    </w:p>
    <w:p w:rsidR="0000208F" w:rsidRPr="009926A6" w:rsidRDefault="00AF1FCE" w:rsidP="00AC2BCD">
      <w:pPr>
        <w:shd w:val="clear" w:color="auto" w:fill="FFFFFF"/>
        <w:spacing w:before="273" w:after="2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У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Програмі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визначені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основні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завдання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земельної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реформи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.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Програма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</w:t>
      </w:r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є</w:t>
      </w:r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сприяти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активізації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процессу</w:t>
      </w:r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загального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розвитку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відносин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докорінно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поліпшити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охорону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00208F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00208F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ресурсів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0208F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Гніванської</w:t>
      </w:r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00208F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міської</w:t>
      </w:r>
      <w:proofErr w:type="spellEnd"/>
      <w:r w:rsidR="0000208F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Територіальної громади:</w:t>
      </w:r>
    </w:p>
    <w:p w:rsidR="00AF1FCE" w:rsidRPr="009926A6" w:rsidRDefault="005222FB" w:rsidP="00AC2BCD">
      <w:pPr>
        <w:shd w:val="clear" w:color="auto" w:fill="FFFFFF"/>
        <w:spacing w:before="273" w:after="2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роведення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аналізу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стану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використання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охорони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земель</w:t>
      </w:r>
      <w:r w:rsidR="0000208F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="0000208F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території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0208F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Гніванської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00208F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міської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00208F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територіальної громади</w:t>
      </w:r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F1FCE" w:rsidRPr="009926A6" w:rsidRDefault="005222FB" w:rsidP="00AC2BCD">
      <w:pPr>
        <w:numPr>
          <w:ilvl w:val="0"/>
          <w:numId w:val="1"/>
        </w:numPr>
        <w:shd w:val="clear" w:color="auto" w:fill="FFFFFF"/>
        <w:spacing w:before="146" w:after="146" w:line="240" w:lineRule="auto"/>
        <w:ind w:left="456" w:right="45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</w:t>
      </w:r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роведення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інвентаризації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земель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усіх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форм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власності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AF1FCE" w:rsidRPr="009926A6" w:rsidRDefault="005222FB" w:rsidP="00AC2BCD">
      <w:pPr>
        <w:numPr>
          <w:ilvl w:val="0"/>
          <w:numId w:val="1"/>
        </w:numPr>
        <w:shd w:val="clear" w:color="auto" w:fill="FFFFFF"/>
        <w:spacing w:before="146" w:after="146" w:line="240" w:lineRule="auto"/>
        <w:ind w:left="456"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</w:t>
      </w:r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озробка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проектів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встановлення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зміни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меж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населених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пунктів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Гніванської міської територіальної громади</w:t>
      </w:r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AF1FCE" w:rsidRPr="009926A6" w:rsidRDefault="00AF1FCE" w:rsidP="00AC2BCD">
      <w:pPr>
        <w:numPr>
          <w:ilvl w:val="0"/>
          <w:numId w:val="1"/>
        </w:numPr>
        <w:shd w:val="clear" w:color="auto" w:fill="FFFFFF"/>
        <w:spacing w:before="146" w:after="146" w:line="240" w:lineRule="auto"/>
        <w:ind w:left="456" w:right="45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proofErr w:type="gram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оновлення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 планово</w:t>
      </w:r>
      <w:proofErr w:type="gram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картографічних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матеріалів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AF1FCE" w:rsidRPr="009926A6" w:rsidRDefault="00AF1FCE" w:rsidP="00AC2BCD">
      <w:pPr>
        <w:numPr>
          <w:ilvl w:val="0"/>
          <w:numId w:val="1"/>
        </w:numPr>
        <w:shd w:val="clear" w:color="auto" w:fill="FFFFFF"/>
        <w:spacing w:before="146" w:after="146" w:line="240" w:lineRule="auto"/>
        <w:ind w:left="456"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запровадження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ефективних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механізмів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ринку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у тому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числі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торгів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у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формі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аукціону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AF1FCE" w:rsidRPr="009926A6" w:rsidRDefault="00AF1FCE" w:rsidP="00AC2BCD">
      <w:pPr>
        <w:numPr>
          <w:ilvl w:val="0"/>
          <w:numId w:val="1"/>
        </w:numPr>
        <w:shd w:val="clear" w:color="auto" w:fill="FFFFFF"/>
        <w:spacing w:before="146" w:after="146" w:line="240" w:lineRule="auto"/>
        <w:ind w:left="456"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робіт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 нормативно-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грошовоїоцінки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земель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населених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пунктів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Гніванс</w:t>
      </w:r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ької міської територіальної гро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м</w:t>
      </w:r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ди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AF1FCE" w:rsidRPr="009926A6" w:rsidRDefault="00AF1FCE" w:rsidP="00AC2BCD">
      <w:pPr>
        <w:numPr>
          <w:ilvl w:val="0"/>
          <w:numId w:val="1"/>
        </w:numPr>
        <w:shd w:val="clear" w:color="auto" w:fill="FFFFFF"/>
        <w:spacing w:before="146" w:after="146" w:line="240" w:lineRule="auto"/>
        <w:ind w:left="456"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експертно-грошових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оцінок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ділянок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щопідлягають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продажу;</w:t>
      </w:r>
    </w:p>
    <w:p w:rsidR="00AF1FCE" w:rsidRPr="009926A6" w:rsidRDefault="00AF1FCE" w:rsidP="00AC2BCD">
      <w:pPr>
        <w:numPr>
          <w:ilvl w:val="0"/>
          <w:numId w:val="1"/>
        </w:numPr>
        <w:shd w:val="clear" w:color="auto" w:fill="FFFFFF"/>
        <w:spacing w:before="146" w:after="146" w:line="240" w:lineRule="auto"/>
        <w:ind w:left="456"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виготовлення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проектів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землеустрою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відведення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ділянок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комунальної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власності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AF1FCE" w:rsidRPr="009926A6" w:rsidRDefault="00AF1FCE" w:rsidP="00AC2BCD">
      <w:pPr>
        <w:numPr>
          <w:ilvl w:val="0"/>
          <w:numId w:val="1"/>
        </w:numPr>
        <w:shd w:val="clear" w:color="auto" w:fill="FFFFFF"/>
        <w:spacing w:before="146" w:after="146" w:line="240" w:lineRule="auto"/>
        <w:ind w:left="456"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виготовлення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технічних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документацій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із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встановлення-відновлення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меж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ділянок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комунальної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власності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AF1FCE" w:rsidRPr="009926A6" w:rsidRDefault="00AF1FCE" w:rsidP="00AC2BCD">
      <w:pPr>
        <w:numPr>
          <w:ilvl w:val="0"/>
          <w:numId w:val="1"/>
        </w:numPr>
        <w:shd w:val="clear" w:color="auto" w:fill="FFFFFF"/>
        <w:tabs>
          <w:tab w:val="left" w:pos="9356"/>
        </w:tabs>
        <w:spacing w:before="146" w:after="146" w:line="240" w:lineRule="auto"/>
        <w:ind w:left="456"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інвентаризації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польових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проектних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)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доріг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реєстрація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права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комунальної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власності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польові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дороги та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заключення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договорів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оренди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із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орендарями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земельних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часток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(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паїв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);</w:t>
      </w:r>
    </w:p>
    <w:p w:rsidR="00E84138" w:rsidRPr="009926A6" w:rsidRDefault="00AF1FCE" w:rsidP="00AC2BCD">
      <w:pPr>
        <w:numPr>
          <w:ilvl w:val="0"/>
          <w:numId w:val="1"/>
        </w:numPr>
        <w:shd w:val="clear" w:color="auto" w:fill="FFFFFF"/>
        <w:tabs>
          <w:tab w:val="left" w:pos="9355"/>
        </w:tabs>
        <w:spacing w:before="146" w:after="146" w:line="240" w:lineRule="auto"/>
        <w:ind w:left="456"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розроблення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проектів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землеустрою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</w:t>
      </w:r>
      <w:proofErr w:type="spellEnd"/>
      <w:r w:rsidR="005222F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відведення земельних ділянок в комплексі з водними об’єктами, які </w:t>
      </w:r>
      <w:r w:rsidR="00E84138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передбачаються до надання в оренду.</w:t>
      </w:r>
    </w:p>
    <w:p w:rsidR="00AF1FCE" w:rsidRPr="009926A6" w:rsidRDefault="00AF1FCE" w:rsidP="00AC2BCD">
      <w:pPr>
        <w:numPr>
          <w:ilvl w:val="0"/>
          <w:numId w:val="1"/>
        </w:numPr>
        <w:shd w:val="clear" w:color="auto" w:fill="FFFFFF"/>
        <w:spacing w:before="146" w:after="146" w:line="240" w:lineRule="auto"/>
        <w:ind w:left="456"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встановлення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меж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прибережних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захисних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смуг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для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забезпечення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раціонального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використання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природоохоронної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території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 режимом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обмеженої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господарської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діяльності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AF1FCE" w:rsidRPr="009926A6" w:rsidRDefault="00E84138" w:rsidP="00AC2BCD">
      <w:pPr>
        <w:numPr>
          <w:ilvl w:val="0"/>
          <w:numId w:val="1"/>
        </w:numPr>
        <w:shd w:val="clear" w:color="auto" w:fill="FFFFFF"/>
        <w:spacing w:before="146" w:after="146" w:line="240" w:lineRule="auto"/>
        <w:ind w:left="456" w:right="-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виявлення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самовільно зайнятих земель та залучення до оподаткування, шляхом застосування судочинства</w:t>
      </w:r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;</w:t>
      </w:r>
    </w:p>
    <w:p w:rsidR="00AF1FCE" w:rsidRPr="009926A6" w:rsidRDefault="00FE7A8F" w:rsidP="00AC2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                             </w:t>
      </w:r>
      <w:r w:rsidR="0000208F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</w:t>
      </w:r>
      <w:r w:rsidR="0000208F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4</w:t>
      </w:r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proofErr w:type="spellStart"/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Очікувані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результати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програми</w:t>
      </w:r>
      <w:proofErr w:type="spellEnd"/>
    </w:p>
    <w:p w:rsidR="00AF1FCE" w:rsidRPr="009926A6" w:rsidRDefault="00AF1FCE" w:rsidP="00AC2BCD">
      <w:pPr>
        <w:shd w:val="clear" w:color="auto" w:fill="FFFFFF"/>
        <w:spacing w:before="273" w:after="2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lastRenderedPageBreak/>
        <w:t xml:space="preserve">    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Передбачені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Програмою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заходи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</w:t>
      </w:r>
      <w:r w:rsidR="00E84138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анується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E84138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здійснити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E84138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протягом</w:t>
      </w:r>
      <w:proofErr w:type="spellEnd"/>
      <w:r w:rsidR="00E84138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202</w:t>
      </w:r>
      <w:r w:rsidR="00E84138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3</w:t>
      </w:r>
      <w:r w:rsidR="00E84138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–202</w:t>
      </w:r>
      <w:r w:rsidR="00E84138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4</w:t>
      </w:r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років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F1FCE" w:rsidRPr="009926A6" w:rsidRDefault="00AF1FCE" w:rsidP="00AC2BCD">
      <w:pPr>
        <w:shd w:val="clear" w:color="auto" w:fill="FFFFFF"/>
        <w:spacing w:before="273" w:after="2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  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Проведення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робіт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пов'язаних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розробкою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проектів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землеустрою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технічних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proofErr w:type="gram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документацій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населених</w:t>
      </w:r>
      <w:proofErr w:type="spellEnd"/>
      <w:proofErr w:type="gram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пунктів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міської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ради,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дасть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змогу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упорядкувати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відомості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земельні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ділянки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і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землекористувачів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вирішувати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питання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забудови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планування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і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зонування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створити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реальний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банк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даних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про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ринокземлі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F1FCE" w:rsidRPr="009926A6" w:rsidRDefault="00AF1FCE" w:rsidP="00AC2BCD">
      <w:pPr>
        <w:shd w:val="clear" w:color="auto" w:fill="FFFFFF"/>
        <w:spacing w:before="273" w:after="2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  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Також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роботи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пов’язані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оновленням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меж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населених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пунктів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встановленням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прибережних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захисних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смуг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дадуть</w:t>
      </w:r>
      <w:proofErr w:type="spellEnd"/>
      <w:r w:rsidR="008B2D1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можливість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остаточно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визначити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компетенцію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міської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ради в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частині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розпорядження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землями,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сприятимуть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належному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оподаткуванню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територій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додатковим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бюджетним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надходженням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а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також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забезпечать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подальше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впорядкування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територій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із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визначенням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перспектив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розвитку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proofErr w:type="gram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міської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громади</w:t>
      </w:r>
      <w:proofErr w:type="spellEnd"/>
      <w:proofErr w:type="gram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F1FCE" w:rsidRPr="009926A6" w:rsidRDefault="00E84138" w:rsidP="00AC2BCD">
      <w:pPr>
        <w:shd w:val="clear" w:color="auto" w:fill="FFFFFF"/>
        <w:spacing w:before="273" w:after="2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    В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цілому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по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Гніванській територіальній </w:t>
      </w:r>
      <w:proofErr w:type="gram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громаді</w:t>
      </w:r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 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збільшиться</w:t>
      </w:r>
      <w:proofErr w:type="spellEnd"/>
      <w:proofErr w:type="gram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надходження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коштів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 бюджету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сплати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земельного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податку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оренди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землі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зокрема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буде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забезпечено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проведенням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своєчасним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оновлення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м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грошової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оцінки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дозволить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збільшити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бюджетні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надходження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плати за землю   а 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разом з тим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це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стане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гарантією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стабільного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наповнення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місцевого</w:t>
      </w:r>
      <w:proofErr w:type="spellEnd"/>
      <w:r w:rsidR="00AF1FCE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бюджету.</w:t>
      </w:r>
    </w:p>
    <w:p w:rsidR="00AF1FCE" w:rsidRPr="009926A6" w:rsidRDefault="0000208F" w:rsidP="00AC2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>5</w:t>
      </w:r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proofErr w:type="spellStart"/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Фінансове</w:t>
      </w:r>
      <w:proofErr w:type="spellEnd"/>
      <w:r w:rsidR="00FE7A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забезпечення</w:t>
      </w:r>
      <w:proofErr w:type="spellEnd"/>
      <w:r w:rsidR="00FE7A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виконання</w:t>
      </w:r>
      <w:proofErr w:type="spellEnd"/>
      <w:r w:rsidR="00FE7A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="00AF1FCE"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програми</w:t>
      </w:r>
      <w:proofErr w:type="spellEnd"/>
    </w:p>
    <w:p w:rsidR="00AF1FCE" w:rsidRPr="009926A6" w:rsidRDefault="00AF1FCE" w:rsidP="00AC2BCD">
      <w:pPr>
        <w:shd w:val="clear" w:color="auto" w:fill="FFFFFF"/>
        <w:spacing w:before="273" w:after="273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Фінансування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Програми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здійснюється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за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рахунок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:</w:t>
      </w:r>
    </w:p>
    <w:p w:rsidR="00AF1FCE" w:rsidRPr="009926A6" w:rsidRDefault="00AF1FCE" w:rsidP="00AC2BCD">
      <w:pPr>
        <w:numPr>
          <w:ilvl w:val="0"/>
          <w:numId w:val="2"/>
        </w:numPr>
        <w:shd w:val="clear" w:color="auto" w:fill="FFFFFF"/>
        <w:spacing w:before="146" w:after="146" w:line="240" w:lineRule="auto"/>
        <w:ind w:left="456" w:right="45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коштів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місцевого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бюджету;</w:t>
      </w:r>
    </w:p>
    <w:p w:rsidR="00AF1FCE" w:rsidRPr="009926A6" w:rsidRDefault="00AF1FCE" w:rsidP="00AC2BCD">
      <w:pPr>
        <w:numPr>
          <w:ilvl w:val="0"/>
          <w:numId w:val="2"/>
        </w:numPr>
        <w:shd w:val="clear" w:color="auto" w:fill="FFFFFF"/>
        <w:spacing w:before="146" w:after="146" w:line="240" w:lineRule="auto"/>
        <w:ind w:left="456" w:right="45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інших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джерел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які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не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заборонені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чиним</w:t>
      </w:r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законодавством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F1FCE" w:rsidRPr="009926A6" w:rsidRDefault="00AF1FCE" w:rsidP="00AC2BCD">
      <w:pPr>
        <w:shd w:val="clear" w:color="auto" w:fill="FFFFFF"/>
        <w:spacing w:before="273" w:after="2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план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основних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заходів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необхідний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обсяг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фінансування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щодо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реалізації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Програми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затверджується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рі</w:t>
      </w:r>
      <w:r w:rsidR="00E84138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шенням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E84138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Гніванської міської ради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F1FCE" w:rsidRPr="009926A6" w:rsidRDefault="00AF1FCE" w:rsidP="00AC2BCD">
      <w:pPr>
        <w:shd w:val="clear" w:color="auto" w:fill="FFFFFF"/>
        <w:spacing w:before="273" w:after="273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    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Головними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розпорядниками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бюджетних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коштів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з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виконання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заходів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Програми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є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виконавчий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комітет</w:t>
      </w:r>
      <w:proofErr w:type="spellEnd"/>
      <w:r w:rsidR="00FE7A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proofErr w:type="spellStart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міської</w:t>
      </w:r>
      <w:proofErr w:type="spellEnd"/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ради</w:t>
      </w:r>
      <w:r w:rsidR="00235939"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/>
        </w:rPr>
        <w:t>.</w:t>
      </w:r>
      <w:r w:rsidRPr="009926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BB3B93" w:rsidRDefault="00AF1FCE" w:rsidP="00AC2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926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                                   </w:t>
      </w:r>
    </w:p>
    <w:p w:rsidR="00BB3B93" w:rsidRDefault="00BB3B93" w:rsidP="00AC2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BB3B93" w:rsidRDefault="00BB3B93" w:rsidP="00AC2B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00208F" w:rsidRPr="00230FCD" w:rsidRDefault="00235939" w:rsidP="00BB3B9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F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6.</w:t>
      </w:r>
      <w:proofErr w:type="spellStart"/>
      <w:r w:rsidR="00AF1FCE" w:rsidRPr="00230F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Основні</w:t>
      </w:r>
      <w:proofErr w:type="spellEnd"/>
      <w:r w:rsidR="00AF1FCE" w:rsidRPr="00230F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заходи </w:t>
      </w:r>
      <w:proofErr w:type="spellStart"/>
      <w:r w:rsidR="00AF1FCE" w:rsidRPr="00230FC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Програми</w:t>
      </w:r>
      <w:proofErr w:type="spellEnd"/>
      <w:r w:rsidR="00FE7A8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00208F" w:rsidRPr="00230FCD">
        <w:rPr>
          <w:rFonts w:ascii="Times New Roman" w:hAnsi="Times New Roman" w:cs="Times New Roman"/>
          <w:b/>
          <w:sz w:val="28"/>
          <w:szCs w:val="28"/>
        </w:rPr>
        <w:t>на 2022-2024 роки</w:t>
      </w:r>
    </w:p>
    <w:p w:rsidR="0000208F" w:rsidRPr="009926A6" w:rsidRDefault="0000208F" w:rsidP="00AC2BCD">
      <w:pPr>
        <w:pStyle w:val="HTML0"/>
        <w:spacing w:line="21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5103"/>
        <w:gridCol w:w="1843"/>
        <w:gridCol w:w="1843"/>
      </w:tblGrid>
      <w:tr w:rsidR="00235939" w:rsidRPr="009926A6" w:rsidTr="00230FCD">
        <w:tc>
          <w:tcPr>
            <w:tcW w:w="675" w:type="dxa"/>
          </w:tcPr>
          <w:p w:rsidR="00235939" w:rsidRPr="00230FCD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№ заходу</w:t>
            </w:r>
          </w:p>
        </w:tc>
        <w:tc>
          <w:tcPr>
            <w:tcW w:w="5103" w:type="dxa"/>
          </w:tcPr>
          <w:p w:rsidR="00BB3B93" w:rsidRPr="00230FCD" w:rsidRDefault="00BB3B93" w:rsidP="00BB3B93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939" w:rsidRPr="00230FCD" w:rsidRDefault="00235939" w:rsidP="00BB3B93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1843" w:type="dxa"/>
          </w:tcPr>
          <w:p w:rsidR="00235939" w:rsidRPr="00230FCD" w:rsidRDefault="00235939" w:rsidP="00230F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 xml:space="preserve">Розмір запланованого </w:t>
            </w:r>
            <w:r w:rsidR="00230FCD">
              <w:rPr>
                <w:rFonts w:ascii="Times New Roman" w:hAnsi="Times New Roman"/>
                <w:sz w:val="24"/>
                <w:szCs w:val="24"/>
              </w:rPr>
              <w:t>ф</w:t>
            </w:r>
            <w:r w:rsidRPr="00230FCD">
              <w:rPr>
                <w:rFonts w:ascii="Times New Roman" w:hAnsi="Times New Roman"/>
                <w:sz w:val="24"/>
                <w:szCs w:val="24"/>
              </w:rPr>
              <w:t>інансування у 2023 році</w:t>
            </w:r>
          </w:p>
        </w:tc>
        <w:tc>
          <w:tcPr>
            <w:tcW w:w="1843" w:type="dxa"/>
          </w:tcPr>
          <w:p w:rsidR="00235939" w:rsidRPr="00230FCD" w:rsidRDefault="00235939" w:rsidP="00230FCD">
            <w:pPr>
              <w:pStyle w:val="HTML0"/>
              <w:tabs>
                <w:tab w:val="clear" w:pos="916"/>
                <w:tab w:val="left" w:pos="2160"/>
              </w:tabs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 xml:space="preserve">Розмір запланованого </w:t>
            </w:r>
            <w:r w:rsidR="00230FCD">
              <w:rPr>
                <w:rFonts w:ascii="Times New Roman" w:hAnsi="Times New Roman"/>
                <w:sz w:val="24"/>
                <w:szCs w:val="24"/>
              </w:rPr>
              <w:t>ф</w:t>
            </w:r>
            <w:r w:rsidRPr="00230FCD">
              <w:rPr>
                <w:rFonts w:ascii="Times New Roman" w:hAnsi="Times New Roman"/>
                <w:sz w:val="24"/>
                <w:szCs w:val="24"/>
              </w:rPr>
              <w:t>інансування у 2024 році</w:t>
            </w:r>
          </w:p>
        </w:tc>
      </w:tr>
      <w:tr w:rsidR="00235939" w:rsidRPr="009926A6" w:rsidTr="00230FCD">
        <w:tc>
          <w:tcPr>
            <w:tcW w:w="675" w:type="dxa"/>
          </w:tcPr>
          <w:p w:rsidR="00235939" w:rsidRPr="00230FCD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</w:tcPr>
          <w:p w:rsidR="00235939" w:rsidRPr="00BB3B93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B93">
              <w:rPr>
                <w:rFonts w:ascii="Times New Roman" w:hAnsi="Times New Roman"/>
                <w:sz w:val="24"/>
                <w:szCs w:val="24"/>
              </w:rPr>
              <w:t xml:space="preserve">Розроблення проекту із землеустрою щодо встановлення меж населеного пункту </w:t>
            </w:r>
            <w:proofErr w:type="spellStart"/>
            <w:r w:rsidRPr="00BB3B93">
              <w:rPr>
                <w:rFonts w:ascii="Times New Roman" w:hAnsi="Times New Roman"/>
                <w:sz w:val="24"/>
                <w:szCs w:val="24"/>
              </w:rPr>
              <w:t>с.Потоки</w:t>
            </w:r>
            <w:proofErr w:type="spellEnd"/>
            <w:r w:rsidRPr="00BB3B93">
              <w:rPr>
                <w:rFonts w:ascii="Times New Roman" w:hAnsi="Times New Roman"/>
                <w:sz w:val="24"/>
                <w:szCs w:val="24"/>
              </w:rPr>
              <w:t xml:space="preserve">, Вінницького </w:t>
            </w:r>
            <w:proofErr w:type="spellStart"/>
            <w:r w:rsidRPr="00BB3B93">
              <w:rPr>
                <w:rFonts w:ascii="Times New Roman" w:hAnsi="Times New Roman"/>
                <w:sz w:val="24"/>
                <w:szCs w:val="24"/>
              </w:rPr>
              <w:t>району,Вінницької</w:t>
            </w:r>
            <w:proofErr w:type="spellEnd"/>
            <w:r w:rsidRPr="00BB3B93">
              <w:rPr>
                <w:rFonts w:ascii="Times New Roman" w:hAnsi="Times New Roman"/>
                <w:sz w:val="24"/>
                <w:szCs w:val="24"/>
              </w:rPr>
              <w:t xml:space="preserve"> області</w:t>
            </w:r>
          </w:p>
        </w:tc>
        <w:tc>
          <w:tcPr>
            <w:tcW w:w="1843" w:type="dxa"/>
          </w:tcPr>
          <w:p w:rsidR="00235939" w:rsidRPr="00230FCD" w:rsidRDefault="00235939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939" w:rsidRPr="00230FCD" w:rsidRDefault="00911DFE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235200,00</w:t>
            </w:r>
          </w:p>
        </w:tc>
      </w:tr>
      <w:tr w:rsidR="00235939" w:rsidRPr="009926A6" w:rsidTr="00230FCD">
        <w:tc>
          <w:tcPr>
            <w:tcW w:w="675" w:type="dxa"/>
          </w:tcPr>
          <w:p w:rsidR="00235939" w:rsidRPr="00230FCD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:rsidR="00235939" w:rsidRPr="00BB3B93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B93">
              <w:rPr>
                <w:rFonts w:ascii="Times New Roman" w:hAnsi="Times New Roman"/>
                <w:sz w:val="24"/>
                <w:szCs w:val="24"/>
              </w:rPr>
              <w:t xml:space="preserve">Розроблення проекту із землеустрою щодо встановлення меж населеного пункту </w:t>
            </w:r>
            <w:proofErr w:type="spellStart"/>
            <w:r w:rsidRPr="00BB3B93">
              <w:rPr>
                <w:rFonts w:ascii="Times New Roman" w:hAnsi="Times New Roman"/>
                <w:sz w:val="24"/>
                <w:szCs w:val="24"/>
              </w:rPr>
              <w:t>с.Рижавка</w:t>
            </w:r>
            <w:proofErr w:type="spellEnd"/>
            <w:r w:rsidRPr="00BB3B93">
              <w:rPr>
                <w:rFonts w:ascii="Times New Roman" w:hAnsi="Times New Roman"/>
                <w:sz w:val="24"/>
                <w:szCs w:val="24"/>
              </w:rPr>
              <w:t xml:space="preserve">, Вінницького </w:t>
            </w:r>
            <w:proofErr w:type="spellStart"/>
            <w:r w:rsidRPr="00BB3B93">
              <w:rPr>
                <w:rFonts w:ascii="Times New Roman" w:hAnsi="Times New Roman"/>
                <w:sz w:val="24"/>
                <w:szCs w:val="24"/>
              </w:rPr>
              <w:t>району,Вінницької</w:t>
            </w:r>
            <w:proofErr w:type="spellEnd"/>
            <w:r w:rsidRPr="00BB3B93">
              <w:rPr>
                <w:rFonts w:ascii="Times New Roman" w:hAnsi="Times New Roman"/>
                <w:sz w:val="24"/>
                <w:szCs w:val="24"/>
              </w:rPr>
              <w:t xml:space="preserve"> області</w:t>
            </w: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939" w:rsidRPr="00230FCD" w:rsidRDefault="00235939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58800,00</w:t>
            </w:r>
          </w:p>
        </w:tc>
        <w:tc>
          <w:tcPr>
            <w:tcW w:w="1843" w:type="dxa"/>
          </w:tcPr>
          <w:p w:rsidR="00235939" w:rsidRPr="00230FCD" w:rsidRDefault="00235939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939" w:rsidRPr="009926A6" w:rsidTr="00230FCD">
        <w:tc>
          <w:tcPr>
            <w:tcW w:w="675" w:type="dxa"/>
          </w:tcPr>
          <w:p w:rsidR="00235939" w:rsidRPr="00230FCD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</w:tcPr>
          <w:p w:rsidR="00235939" w:rsidRPr="00BB3B93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B93">
              <w:rPr>
                <w:rFonts w:ascii="Times New Roman" w:hAnsi="Times New Roman"/>
                <w:sz w:val="24"/>
                <w:szCs w:val="24"/>
              </w:rPr>
              <w:t xml:space="preserve">Розроблення проекту із землеустрою щодо встановлення меж населеного пункту </w:t>
            </w:r>
            <w:proofErr w:type="spellStart"/>
            <w:r w:rsidRPr="00BB3B93">
              <w:rPr>
                <w:rFonts w:ascii="Times New Roman" w:hAnsi="Times New Roman"/>
                <w:sz w:val="24"/>
                <w:szCs w:val="24"/>
              </w:rPr>
              <w:t>с.</w:t>
            </w:r>
            <w:r w:rsidR="00DC1F1E" w:rsidRPr="00BB3B93">
              <w:rPr>
                <w:rFonts w:ascii="Times New Roman" w:hAnsi="Times New Roman"/>
                <w:sz w:val="24"/>
                <w:szCs w:val="24"/>
              </w:rPr>
              <w:t>Борсків</w:t>
            </w:r>
            <w:proofErr w:type="spellEnd"/>
            <w:r w:rsidRPr="00BB3B93">
              <w:rPr>
                <w:rFonts w:ascii="Times New Roman" w:hAnsi="Times New Roman"/>
                <w:sz w:val="24"/>
                <w:szCs w:val="24"/>
              </w:rPr>
              <w:t xml:space="preserve">, Вінницького </w:t>
            </w:r>
            <w:proofErr w:type="spellStart"/>
            <w:r w:rsidRPr="00BB3B93">
              <w:rPr>
                <w:rFonts w:ascii="Times New Roman" w:hAnsi="Times New Roman"/>
                <w:sz w:val="24"/>
                <w:szCs w:val="24"/>
              </w:rPr>
              <w:t>району,Вінницької</w:t>
            </w:r>
            <w:proofErr w:type="spellEnd"/>
            <w:r w:rsidRPr="00BB3B93">
              <w:rPr>
                <w:rFonts w:ascii="Times New Roman" w:hAnsi="Times New Roman"/>
                <w:sz w:val="24"/>
                <w:szCs w:val="24"/>
              </w:rPr>
              <w:t xml:space="preserve"> області</w:t>
            </w: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939" w:rsidRPr="00230FCD" w:rsidRDefault="00DC1F1E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88200,00</w:t>
            </w:r>
          </w:p>
        </w:tc>
        <w:tc>
          <w:tcPr>
            <w:tcW w:w="1843" w:type="dxa"/>
          </w:tcPr>
          <w:p w:rsidR="00235939" w:rsidRPr="00230FCD" w:rsidRDefault="00235939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939" w:rsidRPr="009926A6" w:rsidTr="00230FCD">
        <w:tc>
          <w:tcPr>
            <w:tcW w:w="675" w:type="dxa"/>
          </w:tcPr>
          <w:p w:rsidR="00235939" w:rsidRPr="00230FCD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103" w:type="dxa"/>
          </w:tcPr>
          <w:p w:rsidR="00235939" w:rsidRPr="00BB3B93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3B93">
              <w:rPr>
                <w:rFonts w:ascii="Times New Roman" w:hAnsi="Times New Roman"/>
                <w:sz w:val="24"/>
                <w:szCs w:val="24"/>
              </w:rPr>
              <w:t>Розроблення проекту із землеустрою щодо встановленн</w:t>
            </w:r>
            <w:r w:rsidR="00DC1F1E" w:rsidRPr="00BB3B93">
              <w:rPr>
                <w:rFonts w:ascii="Times New Roman" w:hAnsi="Times New Roman"/>
                <w:sz w:val="24"/>
                <w:szCs w:val="24"/>
              </w:rPr>
              <w:t xml:space="preserve">я меж населеного пункту </w:t>
            </w:r>
            <w:proofErr w:type="spellStart"/>
            <w:r w:rsidR="00DC1F1E" w:rsidRPr="00BB3B93">
              <w:rPr>
                <w:rFonts w:ascii="Times New Roman" w:hAnsi="Times New Roman"/>
                <w:sz w:val="24"/>
                <w:szCs w:val="24"/>
              </w:rPr>
              <w:t>с.Маянів</w:t>
            </w:r>
            <w:proofErr w:type="spellEnd"/>
            <w:r w:rsidRPr="00BB3B93">
              <w:rPr>
                <w:rFonts w:ascii="Times New Roman" w:hAnsi="Times New Roman"/>
                <w:sz w:val="24"/>
                <w:szCs w:val="24"/>
              </w:rPr>
              <w:t xml:space="preserve">, Вінницького </w:t>
            </w:r>
            <w:proofErr w:type="spellStart"/>
            <w:r w:rsidRPr="00BB3B93">
              <w:rPr>
                <w:rFonts w:ascii="Times New Roman" w:hAnsi="Times New Roman"/>
                <w:sz w:val="24"/>
                <w:szCs w:val="24"/>
              </w:rPr>
              <w:t>району,Вінницької</w:t>
            </w:r>
            <w:proofErr w:type="spellEnd"/>
            <w:r w:rsidRPr="00BB3B93">
              <w:rPr>
                <w:rFonts w:ascii="Times New Roman" w:hAnsi="Times New Roman"/>
                <w:sz w:val="24"/>
                <w:szCs w:val="24"/>
              </w:rPr>
              <w:t xml:space="preserve"> області</w:t>
            </w: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939" w:rsidRPr="00230FCD" w:rsidRDefault="00DC1F1E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68600,00</w:t>
            </w:r>
          </w:p>
        </w:tc>
        <w:tc>
          <w:tcPr>
            <w:tcW w:w="1843" w:type="dxa"/>
          </w:tcPr>
          <w:p w:rsidR="00235939" w:rsidRPr="00230FCD" w:rsidRDefault="00235939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939" w:rsidRPr="009926A6" w:rsidTr="00230FCD">
        <w:tc>
          <w:tcPr>
            <w:tcW w:w="675" w:type="dxa"/>
          </w:tcPr>
          <w:p w:rsidR="00235939" w:rsidRPr="00230FCD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</w:tcPr>
          <w:p w:rsidR="00235939" w:rsidRPr="009926A6" w:rsidRDefault="00DC1F1E" w:rsidP="00AC2BCD">
            <w:pPr>
              <w:spacing w:line="216" w:lineRule="auto"/>
              <w:jc w:val="both"/>
              <w:rPr>
                <w:sz w:val="24"/>
                <w:szCs w:val="24"/>
                <w:lang w:val="uk-UA"/>
              </w:rPr>
            </w:pPr>
            <w:r w:rsidRPr="009926A6">
              <w:rPr>
                <w:sz w:val="24"/>
                <w:szCs w:val="24"/>
                <w:lang w:val="uk-UA"/>
              </w:rPr>
              <w:t>Розроблення проекту із землеустрою щодо відведення земельної ділянки в комунальну власність під автомобільною дорогою комунальної власності вул.</w:t>
            </w:r>
            <w:r w:rsidR="00911DFE" w:rsidRPr="009926A6">
              <w:rPr>
                <w:sz w:val="24"/>
                <w:szCs w:val="24"/>
                <w:lang w:val="uk-UA"/>
              </w:rPr>
              <w:t xml:space="preserve">                                                                                      Довженка  м.                                                                                                                                                                                         Гнівань, Вінницько</w:t>
            </w:r>
            <w:r w:rsidRPr="009926A6">
              <w:rPr>
                <w:sz w:val="24"/>
                <w:szCs w:val="24"/>
                <w:lang w:val="uk-UA"/>
              </w:rPr>
              <w:t>ї області,Вінницького району</w:t>
            </w: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939" w:rsidRPr="005B46BC" w:rsidRDefault="00DC1F1E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6BC">
              <w:rPr>
                <w:rFonts w:ascii="Times New Roman" w:hAnsi="Times New Roman"/>
                <w:b/>
                <w:sz w:val="24"/>
                <w:szCs w:val="24"/>
              </w:rPr>
              <w:t>39000,00</w:t>
            </w:r>
          </w:p>
          <w:p w:rsidR="00235939" w:rsidRPr="00230FCD" w:rsidRDefault="00235939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5939" w:rsidRPr="00230FCD" w:rsidRDefault="00235939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5939" w:rsidRPr="009926A6" w:rsidTr="00230FCD">
        <w:tc>
          <w:tcPr>
            <w:tcW w:w="675" w:type="dxa"/>
          </w:tcPr>
          <w:p w:rsidR="00235939" w:rsidRPr="00230FCD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</w:tcPr>
          <w:p w:rsidR="00235939" w:rsidRPr="009926A6" w:rsidRDefault="00DC1F1E" w:rsidP="00AC2BCD">
            <w:pPr>
              <w:spacing w:line="216" w:lineRule="auto"/>
              <w:jc w:val="both"/>
              <w:rPr>
                <w:sz w:val="24"/>
                <w:szCs w:val="24"/>
                <w:lang w:val="uk-UA"/>
              </w:rPr>
            </w:pPr>
            <w:r w:rsidRPr="009926A6">
              <w:rPr>
                <w:sz w:val="24"/>
                <w:szCs w:val="24"/>
                <w:lang w:val="uk-UA"/>
              </w:rPr>
              <w:t>Розроблення проекту із землеустрою щодо відведення земельної ділянки в комплексі з водним об’єктом, який розташований з</w:t>
            </w:r>
            <w:r w:rsidR="00911DFE" w:rsidRPr="009926A6">
              <w:rPr>
                <w:sz w:val="24"/>
                <w:szCs w:val="24"/>
                <w:lang w:val="uk-UA"/>
              </w:rPr>
              <w:t xml:space="preserve">а межами населеного пункту с. </w:t>
            </w:r>
            <w:proofErr w:type="spellStart"/>
            <w:r w:rsidR="00911DFE" w:rsidRPr="009926A6">
              <w:rPr>
                <w:sz w:val="24"/>
                <w:szCs w:val="24"/>
                <w:lang w:val="uk-UA"/>
              </w:rPr>
              <w:t>Вор</w:t>
            </w:r>
            <w:r w:rsidRPr="009926A6">
              <w:rPr>
                <w:sz w:val="24"/>
                <w:szCs w:val="24"/>
                <w:lang w:val="uk-UA"/>
              </w:rPr>
              <w:t>ошилівка</w:t>
            </w:r>
            <w:proofErr w:type="spellEnd"/>
            <w:r w:rsidRPr="009926A6">
              <w:rPr>
                <w:sz w:val="24"/>
                <w:szCs w:val="24"/>
                <w:lang w:val="uk-UA"/>
              </w:rPr>
              <w:t xml:space="preserve">, Вінницького району, Вінницької області  в комунальну власність </w:t>
            </w: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5939" w:rsidRPr="005B46BC" w:rsidRDefault="00DC1F1E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6BC">
              <w:rPr>
                <w:rFonts w:ascii="Times New Roman" w:hAnsi="Times New Roman"/>
                <w:b/>
                <w:sz w:val="24"/>
                <w:szCs w:val="24"/>
              </w:rPr>
              <w:t>5000,00</w:t>
            </w:r>
          </w:p>
        </w:tc>
        <w:tc>
          <w:tcPr>
            <w:tcW w:w="1843" w:type="dxa"/>
          </w:tcPr>
          <w:p w:rsidR="00235939" w:rsidRPr="00230FCD" w:rsidRDefault="00235939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DFE" w:rsidRPr="009926A6" w:rsidTr="00230FCD">
        <w:tc>
          <w:tcPr>
            <w:tcW w:w="675" w:type="dxa"/>
          </w:tcPr>
          <w:p w:rsidR="00911DFE" w:rsidRPr="00230FCD" w:rsidRDefault="00911DFE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</w:tcPr>
          <w:p w:rsidR="00911DFE" w:rsidRPr="009926A6" w:rsidRDefault="00911DFE" w:rsidP="00AC2BCD">
            <w:pPr>
              <w:spacing w:line="216" w:lineRule="auto"/>
              <w:jc w:val="both"/>
              <w:rPr>
                <w:sz w:val="24"/>
                <w:szCs w:val="24"/>
                <w:lang w:val="uk-UA"/>
              </w:rPr>
            </w:pPr>
            <w:r w:rsidRPr="009926A6">
              <w:rPr>
                <w:sz w:val="24"/>
                <w:szCs w:val="24"/>
                <w:lang w:val="uk-UA"/>
              </w:rPr>
              <w:t>Виконання звіту з експертної грошової оцінки земельної ділянки площею 0,0150 га, кадастровий номер 0524510500:01:005:0141, яка розташована в м. Гнівань по вул. Подільській,1, Вінницької області, Вінницького району</w:t>
            </w: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DFE" w:rsidRPr="005B46BC" w:rsidRDefault="00911DFE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6BC">
              <w:rPr>
                <w:rFonts w:ascii="Times New Roman" w:hAnsi="Times New Roman"/>
                <w:b/>
                <w:sz w:val="24"/>
                <w:szCs w:val="24"/>
              </w:rPr>
              <w:t>6000,00</w:t>
            </w:r>
          </w:p>
        </w:tc>
        <w:tc>
          <w:tcPr>
            <w:tcW w:w="1843" w:type="dxa"/>
          </w:tcPr>
          <w:p w:rsidR="00911DFE" w:rsidRPr="00230FCD" w:rsidRDefault="00911DFE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1DFE" w:rsidRPr="009926A6" w:rsidTr="00230FCD">
        <w:tc>
          <w:tcPr>
            <w:tcW w:w="675" w:type="dxa"/>
          </w:tcPr>
          <w:p w:rsidR="00911DFE" w:rsidRPr="00230FCD" w:rsidRDefault="00911DFE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:rsidR="00911DFE" w:rsidRPr="009926A6" w:rsidRDefault="00911DFE" w:rsidP="00AC2BCD">
            <w:pPr>
              <w:spacing w:line="216" w:lineRule="auto"/>
              <w:jc w:val="both"/>
              <w:rPr>
                <w:sz w:val="24"/>
                <w:szCs w:val="24"/>
                <w:lang w:val="uk-UA"/>
              </w:rPr>
            </w:pPr>
            <w:r w:rsidRPr="009926A6">
              <w:rPr>
                <w:sz w:val="24"/>
                <w:szCs w:val="24"/>
                <w:lang w:val="uk-UA"/>
              </w:rPr>
              <w:t>Виконання звіту з експертної грошової оцінки</w:t>
            </w:r>
            <w:r w:rsidR="004D66E6" w:rsidRPr="009926A6">
              <w:rPr>
                <w:sz w:val="24"/>
                <w:szCs w:val="24"/>
                <w:lang w:val="uk-UA"/>
              </w:rPr>
              <w:t xml:space="preserve"> земельної ділянки площею 0,0300</w:t>
            </w:r>
            <w:r w:rsidRPr="009926A6">
              <w:rPr>
                <w:sz w:val="24"/>
                <w:szCs w:val="24"/>
                <w:lang w:val="uk-UA"/>
              </w:rPr>
              <w:t xml:space="preserve"> га, яка розташована в м. </w:t>
            </w:r>
            <w:r w:rsidR="004D66E6" w:rsidRPr="009926A6">
              <w:rPr>
                <w:sz w:val="24"/>
                <w:szCs w:val="24"/>
                <w:lang w:val="uk-UA"/>
              </w:rPr>
              <w:t>Гнівань по вул. Соборній,43</w:t>
            </w:r>
            <w:r w:rsidRPr="009926A6">
              <w:rPr>
                <w:sz w:val="24"/>
                <w:szCs w:val="24"/>
                <w:lang w:val="uk-UA"/>
              </w:rPr>
              <w:t>, Вінницької області, Вінницького району</w:t>
            </w: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11DFE" w:rsidRPr="005B46BC" w:rsidRDefault="004D66E6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6BC">
              <w:rPr>
                <w:rFonts w:ascii="Times New Roman" w:hAnsi="Times New Roman"/>
                <w:b/>
                <w:sz w:val="24"/>
                <w:szCs w:val="24"/>
              </w:rPr>
              <w:t>7500,00</w:t>
            </w:r>
          </w:p>
        </w:tc>
        <w:tc>
          <w:tcPr>
            <w:tcW w:w="1843" w:type="dxa"/>
          </w:tcPr>
          <w:p w:rsidR="00911DFE" w:rsidRPr="00230FCD" w:rsidRDefault="00911DFE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C2BCD" w:rsidRPr="009926A6" w:rsidTr="00230FCD">
        <w:tc>
          <w:tcPr>
            <w:tcW w:w="675" w:type="dxa"/>
          </w:tcPr>
          <w:p w:rsidR="00AC2BCD" w:rsidRPr="00230FCD" w:rsidRDefault="00AC2BCD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103" w:type="dxa"/>
          </w:tcPr>
          <w:p w:rsidR="00AC2BCD" w:rsidRPr="009926A6" w:rsidRDefault="00AC2BCD" w:rsidP="00AC2BCD">
            <w:pPr>
              <w:spacing w:line="216" w:lineRule="auto"/>
              <w:jc w:val="both"/>
              <w:rPr>
                <w:sz w:val="24"/>
                <w:szCs w:val="24"/>
                <w:lang w:val="uk-UA"/>
              </w:rPr>
            </w:pPr>
            <w:r w:rsidRPr="009926A6">
              <w:rPr>
                <w:sz w:val="24"/>
                <w:szCs w:val="24"/>
                <w:lang w:val="uk-UA"/>
              </w:rPr>
              <w:t>Надання послуг з проектно-вишукувальних робіт, а також виготовлення проекту із землеустрою (заборгованість за 2022 рік)</w:t>
            </w: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C2BCD" w:rsidRPr="005B46BC" w:rsidRDefault="00AC2B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B46BC">
              <w:rPr>
                <w:rFonts w:ascii="Times New Roman" w:hAnsi="Times New Roman"/>
                <w:b/>
                <w:sz w:val="24"/>
                <w:szCs w:val="24"/>
              </w:rPr>
              <w:t>21000,00</w:t>
            </w:r>
          </w:p>
        </w:tc>
        <w:tc>
          <w:tcPr>
            <w:tcW w:w="1843" w:type="dxa"/>
          </w:tcPr>
          <w:p w:rsidR="00AC2BCD" w:rsidRPr="00230FCD" w:rsidRDefault="00AC2B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23E9" w:rsidRPr="009926A6" w:rsidTr="00230FCD">
        <w:tc>
          <w:tcPr>
            <w:tcW w:w="675" w:type="dxa"/>
          </w:tcPr>
          <w:p w:rsidR="002523E9" w:rsidRPr="00230FCD" w:rsidRDefault="002523E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103" w:type="dxa"/>
          </w:tcPr>
          <w:p w:rsidR="002523E9" w:rsidRPr="009926A6" w:rsidRDefault="002523E9" w:rsidP="00AC2BCD">
            <w:pPr>
              <w:spacing w:line="216" w:lineRule="auto"/>
              <w:jc w:val="both"/>
              <w:rPr>
                <w:sz w:val="24"/>
                <w:szCs w:val="24"/>
                <w:lang w:val="uk-UA"/>
              </w:rPr>
            </w:pPr>
            <w:r w:rsidRPr="009926A6">
              <w:rPr>
                <w:sz w:val="24"/>
                <w:szCs w:val="24"/>
                <w:lang w:val="uk-UA"/>
              </w:rPr>
              <w:t xml:space="preserve">Виготовлення технічної документації щодо нормативно-грошової оцінки населений пунктів Гніванської міської територіальної громади міста Гнівань, сіл </w:t>
            </w:r>
            <w:proofErr w:type="spellStart"/>
            <w:r w:rsidRPr="009926A6">
              <w:rPr>
                <w:sz w:val="24"/>
                <w:szCs w:val="24"/>
                <w:lang w:val="uk-UA"/>
              </w:rPr>
              <w:t>Могилівка</w:t>
            </w:r>
            <w:proofErr w:type="spellEnd"/>
            <w:r w:rsidRPr="009926A6">
              <w:rPr>
                <w:sz w:val="24"/>
                <w:szCs w:val="24"/>
                <w:lang w:val="uk-UA"/>
              </w:rPr>
              <w:t xml:space="preserve">, Демидівка, Потоки, </w:t>
            </w:r>
            <w:proofErr w:type="spellStart"/>
            <w:r w:rsidRPr="009926A6">
              <w:rPr>
                <w:sz w:val="24"/>
                <w:szCs w:val="24"/>
                <w:lang w:val="uk-UA"/>
              </w:rPr>
              <w:t>Рижавка</w:t>
            </w:r>
            <w:proofErr w:type="spellEnd"/>
            <w:r w:rsidRPr="009926A6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926A6">
              <w:rPr>
                <w:sz w:val="24"/>
                <w:szCs w:val="24"/>
                <w:lang w:val="uk-UA"/>
              </w:rPr>
              <w:t>Маянів</w:t>
            </w:r>
            <w:proofErr w:type="spellEnd"/>
            <w:r w:rsidRPr="009926A6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Pr="009926A6">
              <w:rPr>
                <w:sz w:val="24"/>
                <w:szCs w:val="24"/>
                <w:lang w:val="uk-UA"/>
              </w:rPr>
              <w:t>Борсків</w:t>
            </w:r>
            <w:proofErr w:type="spellEnd"/>
          </w:p>
        </w:tc>
        <w:tc>
          <w:tcPr>
            <w:tcW w:w="1843" w:type="dxa"/>
          </w:tcPr>
          <w:p w:rsidR="002523E9" w:rsidRPr="00230FCD" w:rsidRDefault="002523E9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523E9" w:rsidRPr="00230FCD" w:rsidRDefault="00E67279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sz w:val="24"/>
                <w:szCs w:val="24"/>
              </w:rPr>
              <w:t>370000,00</w:t>
            </w:r>
          </w:p>
        </w:tc>
      </w:tr>
      <w:tr w:rsidR="00235939" w:rsidRPr="009926A6" w:rsidTr="00230FCD">
        <w:trPr>
          <w:trHeight w:val="360"/>
        </w:trPr>
        <w:tc>
          <w:tcPr>
            <w:tcW w:w="675" w:type="dxa"/>
          </w:tcPr>
          <w:p w:rsidR="00235939" w:rsidRPr="009926A6" w:rsidRDefault="00235939" w:rsidP="00AC2BCD">
            <w:pPr>
              <w:pStyle w:val="HTML0"/>
              <w:spacing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230FCD" w:rsidRDefault="00230FCD" w:rsidP="00AC2BCD">
            <w:pPr>
              <w:spacing w:line="216" w:lineRule="auto"/>
              <w:jc w:val="both"/>
              <w:rPr>
                <w:sz w:val="24"/>
                <w:szCs w:val="24"/>
                <w:lang w:val="uk-UA"/>
              </w:rPr>
            </w:pPr>
          </w:p>
          <w:p w:rsidR="00235939" w:rsidRPr="009926A6" w:rsidRDefault="00235939" w:rsidP="00AC2BCD">
            <w:pPr>
              <w:spacing w:line="216" w:lineRule="auto"/>
              <w:jc w:val="both"/>
              <w:rPr>
                <w:sz w:val="24"/>
                <w:szCs w:val="24"/>
                <w:lang w:val="uk-UA"/>
              </w:rPr>
            </w:pPr>
            <w:r w:rsidRPr="009926A6">
              <w:rPr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35939" w:rsidRPr="00230FCD" w:rsidRDefault="005B46BC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78 174,00</w:t>
            </w:r>
          </w:p>
        </w:tc>
        <w:tc>
          <w:tcPr>
            <w:tcW w:w="1843" w:type="dxa"/>
          </w:tcPr>
          <w:p w:rsidR="00230FCD" w:rsidRDefault="00230FCD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35939" w:rsidRPr="00230FCD" w:rsidRDefault="00E67279" w:rsidP="00230FCD">
            <w:pPr>
              <w:pStyle w:val="HTML0"/>
              <w:spacing w:line="21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0FC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605200,00</w:t>
            </w:r>
          </w:p>
        </w:tc>
      </w:tr>
    </w:tbl>
    <w:p w:rsidR="00C74127" w:rsidRPr="009926A6" w:rsidRDefault="009926A6" w:rsidP="00AC2BCD">
      <w:pPr>
        <w:shd w:val="clear" w:color="auto" w:fill="FFFFFF"/>
        <w:spacing w:before="273" w:after="273" w:line="240" w:lineRule="auto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926A6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Секретар міської ради                                                                       Андрій ВИСІДАЛКО</w:t>
      </w:r>
    </w:p>
    <w:sectPr w:rsidR="00C74127" w:rsidRPr="009926A6" w:rsidSect="00825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228A9"/>
    <w:multiLevelType w:val="multilevel"/>
    <w:tmpl w:val="0254C6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474962"/>
    <w:multiLevelType w:val="hybridMultilevel"/>
    <w:tmpl w:val="B3C89208"/>
    <w:lvl w:ilvl="0" w:tplc="4BCE822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96FC5"/>
    <w:multiLevelType w:val="multilevel"/>
    <w:tmpl w:val="4D123E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1FCE"/>
    <w:rsid w:val="0000208F"/>
    <w:rsid w:val="00114CAF"/>
    <w:rsid w:val="00230FCD"/>
    <w:rsid w:val="00235939"/>
    <w:rsid w:val="002523E9"/>
    <w:rsid w:val="00311862"/>
    <w:rsid w:val="004973CE"/>
    <w:rsid w:val="004D66E6"/>
    <w:rsid w:val="004E6588"/>
    <w:rsid w:val="005222FB"/>
    <w:rsid w:val="00534941"/>
    <w:rsid w:val="005B25EC"/>
    <w:rsid w:val="005B46BC"/>
    <w:rsid w:val="005C3215"/>
    <w:rsid w:val="006154AB"/>
    <w:rsid w:val="006547A6"/>
    <w:rsid w:val="00721C35"/>
    <w:rsid w:val="00743DAE"/>
    <w:rsid w:val="00792E84"/>
    <w:rsid w:val="00825530"/>
    <w:rsid w:val="008B2D10"/>
    <w:rsid w:val="008D5708"/>
    <w:rsid w:val="00911DFE"/>
    <w:rsid w:val="00933803"/>
    <w:rsid w:val="009926A6"/>
    <w:rsid w:val="00A65D71"/>
    <w:rsid w:val="00AC2BCD"/>
    <w:rsid w:val="00AF1FCE"/>
    <w:rsid w:val="00BA699D"/>
    <w:rsid w:val="00BB3B93"/>
    <w:rsid w:val="00C74127"/>
    <w:rsid w:val="00D1230D"/>
    <w:rsid w:val="00DC1F1E"/>
    <w:rsid w:val="00DE187E"/>
    <w:rsid w:val="00E67279"/>
    <w:rsid w:val="00E84138"/>
    <w:rsid w:val="00F0676B"/>
    <w:rsid w:val="00F7668B"/>
    <w:rsid w:val="00FE7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11D4459"/>
  <w15:docId w15:val="{D2814893-F9C2-4AF6-BAFF-C865ED40F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5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1F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AF1FCE"/>
    <w:rPr>
      <w:b/>
      <w:bCs/>
    </w:rPr>
  </w:style>
  <w:style w:type="table" w:styleId="a5">
    <w:name w:val="Table Grid"/>
    <w:basedOn w:val="a1"/>
    <w:uiPriority w:val="59"/>
    <w:rsid w:val="000020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TML">
    <w:name w:val="Стандартный HTML Знак"/>
    <w:link w:val="HTML0"/>
    <w:locked/>
    <w:rsid w:val="0000208F"/>
    <w:rPr>
      <w:rFonts w:ascii="Courier New" w:hAnsi="Courier New"/>
      <w:lang w:val="uk-UA" w:eastAsia="uk-UA"/>
    </w:rPr>
  </w:style>
  <w:style w:type="paragraph" w:styleId="HTML0">
    <w:name w:val="HTML Preformatted"/>
    <w:basedOn w:val="a"/>
    <w:link w:val="HTML"/>
    <w:rsid w:val="000020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lang w:val="uk-UA" w:eastAsia="uk-UA"/>
    </w:rPr>
  </w:style>
  <w:style w:type="character" w:customStyle="1" w:styleId="HTML1">
    <w:name w:val="Стандартний HTML Знак1"/>
    <w:basedOn w:val="a0"/>
    <w:uiPriority w:val="99"/>
    <w:semiHidden/>
    <w:rsid w:val="0000208F"/>
    <w:rPr>
      <w:rFonts w:ascii="Consolas" w:hAnsi="Consolas"/>
      <w:sz w:val="20"/>
      <w:szCs w:val="20"/>
    </w:rPr>
  </w:style>
  <w:style w:type="paragraph" w:styleId="a6">
    <w:name w:val="List Paragraph"/>
    <w:basedOn w:val="a"/>
    <w:uiPriority w:val="34"/>
    <w:qFormat/>
    <w:rsid w:val="000020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385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1830</Words>
  <Characters>10431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18</cp:revision>
  <dcterms:created xsi:type="dcterms:W3CDTF">2023-03-27T07:18:00Z</dcterms:created>
  <dcterms:modified xsi:type="dcterms:W3CDTF">2023-05-19T11:36:00Z</dcterms:modified>
</cp:coreProperties>
</file>