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52" w:rsidRPr="00CD0D52" w:rsidRDefault="00CD0D52" w:rsidP="00A7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52">
        <w:rPr>
          <w:rFonts w:ascii="Times New Roman" w:hAnsi="Times New Roman" w:cs="Times New Roman"/>
          <w:b/>
          <w:sz w:val="28"/>
          <w:szCs w:val="28"/>
        </w:rPr>
        <w:t xml:space="preserve">Узагальнені результати аналізу ефективності бюджетних програм </w:t>
      </w:r>
    </w:p>
    <w:p w:rsidR="00CD0D52" w:rsidRPr="00A56C67" w:rsidRDefault="00322C5D" w:rsidP="00A7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C67">
        <w:rPr>
          <w:rFonts w:ascii="Times New Roman" w:hAnsi="Times New Roman" w:cs="Times New Roman"/>
          <w:b/>
          <w:sz w:val="28"/>
          <w:szCs w:val="28"/>
        </w:rPr>
        <w:t>станом на 20</w:t>
      </w:r>
      <w:r w:rsidR="006470ED">
        <w:rPr>
          <w:rFonts w:ascii="Times New Roman" w:hAnsi="Times New Roman" w:cs="Times New Roman"/>
          <w:b/>
          <w:sz w:val="28"/>
          <w:szCs w:val="28"/>
        </w:rPr>
        <w:t>20</w:t>
      </w:r>
      <w:r w:rsidR="00524761">
        <w:rPr>
          <w:rFonts w:ascii="Times New Roman" w:hAnsi="Times New Roman" w:cs="Times New Roman"/>
          <w:b/>
          <w:sz w:val="28"/>
          <w:szCs w:val="28"/>
        </w:rPr>
        <w:t xml:space="preserve"> рі</w:t>
      </w:r>
      <w:r w:rsidR="00CD0D52" w:rsidRPr="00A56C67">
        <w:rPr>
          <w:rFonts w:ascii="Times New Roman" w:hAnsi="Times New Roman" w:cs="Times New Roman"/>
          <w:b/>
          <w:sz w:val="28"/>
          <w:szCs w:val="28"/>
        </w:rPr>
        <w:t>к</w:t>
      </w:r>
    </w:p>
    <w:p w:rsidR="00CD0D52" w:rsidRDefault="00CD0D52" w:rsidP="003E5E55">
      <w:pPr>
        <w:spacing w:after="0" w:line="240" w:lineRule="auto"/>
        <w:rPr>
          <w:rFonts w:ascii="Times New Roman" w:hAnsi="Times New Roman"/>
          <w:sz w:val="20"/>
        </w:rPr>
      </w:pPr>
      <w:r w:rsidRPr="00CD0D52">
        <w:rPr>
          <w:rFonts w:ascii="Times New Roman" w:hAnsi="Times New Roman"/>
          <w:sz w:val="28"/>
          <w:szCs w:val="28"/>
        </w:rPr>
        <w:t xml:space="preserve">    1. </w:t>
      </w:r>
      <w:r w:rsidRPr="00CD0D52">
        <w:rPr>
          <w:rFonts w:ascii="Times New Roman" w:hAnsi="Times New Roman"/>
          <w:sz w:val="28"/>
          <w:szCs w:val="28"/>
          <w:u w:val="single"/>
        </w:rPr>
        <w:t>____</w:t>
      </w:r>
      <w:r w:rsidRPr="00CD0D52">
        <w:rPr>
          <w:rFonts w:ascii="Times New Roman" w:hAnsi="Times New Roman"/>
          <w:b/>
          <w:i/>
          <w:sz w:val="28"/>
          <w:szCs w:val="28"/>
          <w:u w:val="single"/>
        </w:rPr>
        <w:t>0</w:t>
      </w:r>
      <w:r w:rsidR="00325A9C">
        <w:rPr>
          <w:rFonts w:ascii="Times New Roman" w:hAnsi="Times New Roman"/>
          <w:b/>
          <w:i/>
          <w:sz w:val="28"/>
          <w:szCs w:val="28"/>
          <w:u w:val="single"/>
        </w:rPr>
        <w:t>20</w:t>
      </w:r>
      <w:r w:rsidR="006B28AC">
        <w:rPr>
          <w:rFonts w:ascii="Times New Roman" w:hAnsi="Times New Roman"/>
          <w:b/>
          <w:i/>
          <w:sz w:val="28"/>
          <w:szCs w:val="28"/>
          <w:u w:val="single"/>
        </w:rPr>
        <w:t>0000</w:t>
      </w:r>
      <w:r w:rsidRPr="00CD0D52">
        <w:rPr>
          <w:rFonts w:ascii="Times New Roman" w:hAnsi="Times New Roman"/>
          <w:b/>
          <w:i/>
          <w:sz w:val="28"/>
          <w:szCs w:val="28"/>
          <w:u w:val="single"/>
        </w:rPr>
        <w:t>_________  Виконком Інгулецької районної у місті ради</w:t>
      </w:r>
      <w:r w:rsidRPr="00CD0D52">
        <w:rPr>
          <w:rFonts w:ascii="Times New Roman" w:hAnsi="Times New Roman"/>
          <w:szCs w:val="28"/>
          <w:u w:val="single"/>
        </w:rPr>
        <w:t xml:space="preserve">  </w:t>
      </w:r>
      <w:r w:rsidRPr="00CD0D52">
        <w:rPr>
          <w:rFonts w:ascii="Times New Roman" w:hAnsi="Times New Roman"/>
          <w:szCs w:val="28"/>
        </w:rPr>
        <w:br/>
        <w:t xml:space="preserve">        </w:t>
      </w:r>
      <w:r w:rsidRPr="00CD0D52">
        <w:rPr>
          <w:rFonts w:ascii="Times New Roman" w:hAnsi="Times New Roman"/>
          <w:sz w:val="20"/>
        </w:rPr>
        <w:t xml:space="preserve">         (КПКВК МБ)                             (найменування головного розпорядника)</w:t>
      </w:r>
    </w:p>
    <w:p w:rsidR="006E4112" w:rsidRPr="00970478" w:rsidRDefault="00CD0D52" w:rsidP="003E5E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0478">
        <w:rPr>
          <w:rFonts w:ascii="Times New Roman" w:hAnsi="Times New Roman"/>
          <w:sz w:val="24"/>
          <w:szCs w:val="24"/>
        </w:rPr>
        <w:t xml:space="preserve">      2. Результати аналізу ефективності</w:t>
      </w:r>
    </w:p>
    <w:tbl>
      <w:tblPr>
        <w:tblStyle w:val="a4"/>
        <w:tblW w:w="0" w:type="auto"/>
        <w:tblLook w:val="04A0"/>
      </w:tblPr>
      <w:tblGrid>
        <w:gridCol w:w="496"/>
        <w:gridCol w:w="1059"/>
        <w:gridCol w:w="8226"/>
        <w:gridCol w:w="1558"/>
        <w:gridCol w:w="1698"/>
        <w:gridCol w:w="1523"/>
      </w:tblGrid>
      <w:tr w:rsidR="000202C8" w:rsidTr="00151FA4">
        <w:tc>
          <w:tcPr>
            <w:tcW w:w="496" w:type="dxa"/>
            <w:vMerge w:val="restart"/>
          </w:tcPr>
          <w:p w:rsidR="00CD0D52" w:rsidRPr="00970478" w:rsidRDefault="00CD0D52" w:rsidP="00CD0D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47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D0D52" w:rsidRPr="00970478" w:rsidRDefault="00CD0D52" w:rsidP="00CD0D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478">
              <w:rPr>
                <w:rFonts w:ascii="Times New Roman" w:hAnsi="Times New Roman" w:cs="Times New Roman"/>
                <w:sz w:val="16"/>
                <w:szCs w:val="16"/>
              </w:rPr>
              <w:t>з/п</w:t>
            </w:r>
          </w:p>
        </w:tc>
        <w:tc>
          <w:tcPr>
            <w:tcW w:w="1059" w:type="dxa"/>
            <w:vMerge w:val="restart"/>
          </w:tcPr>
          <w:p w:rsidR="00CD0D52" w:rsidRPr="00970478" w:rsidRDefault="00CD0D52" w:rsidP="00CD0D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478">
              <w:rPr>
                <w:rFonts w:ascii="Times New Roman" w:hAnsi="Times New Roman" w:cs="Times New Roman"/>
                <w:sz w:val="16"/>
                <w:szCs w:val="16"/>
              </w:rPr>
              <w:t>КПКВК</w:t>
            </w:r>
          </w:p>
          <w:p w:rsidR="00CD0D52" w:rsidRPr="00970478" w:rsidRDefault="00CD0D52" w:rsidP="00CD0D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478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226" w:type="dxa"/>
            <w:vMerge w:val="restart"/>
          </w:tcPr>
          <w:p w:rsidR="00970478" w:rsidRDefault="00970478" w:rsidP="00CD0D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D52" w:rsidRPr="00970478" w:rsidRDefault="00CD0D52" w:rsidP="00CD0D52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70478">
              <w:rPr>
                <w:rFonts w:ascii="Times New Roman" w:hAnsi="Times New Roman" w:cs="Times New Roman"/>
                <w:sz w:val="16"/>
                <w:szCs w:val="16"/>
              </w:rPr>
              <w:t>Назва бюджетної програми</w:t>
            </w:r>
            <w:r w:rsidR="000C3B8D" w:rsidRPr="009704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779" w:type="dxa"/>
            <w:gridSpan w:val="3"/>
          </w:tcPr>
          <w:p w:rsidR="00CD0D52" w:rsidRPr="00970478" w:rsidRDefault="00CD0D52" w:rsidP="00CD0D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478">
              <w:rPr>
                <w:rFonts w:ascii="Times New Roman" w:hAnsi="Times New Roman" w:cs="Times New Roman"/>
                <w:sz w:val="16"/>
                <w:szCs w:val="16"/>
              </w:rPr>
              <w:t>Кількість нарахованих балів</w:t>
            </w:r>
          </w:p>
        </w:tc>
      </w:tr>
      <w:tr w:rsidR="000202C8" w:rsidTr="00151FA4">
        <w:tc>
          <w:tcPr>
            <w:tcW w:w="496" w:type="dxa"/>
            <w:vMerge/>
          </w:tcPr>
          <w:p w:rsidR="00CD0D52" w:rsidRPr="00970478" w:rsidRDefault="00CD0D52" w:rsidP="00CD0D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vMerge/>
          </w:tcPr>
          <w:p w:rsidR="00CD0D52" w:rsidRPr="00970478" w:rsidRDefault="00CD0D52" w:rsidP="00CD0D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6" w:type="dxa"/>
            <w:vMerge/>
          </w:tcPr>
          <w:p w:rsidR="00CD0D52" w:rsidRPr="00970478" w:rsidRDefault="00CD0D52" w:rsidP="00CD0D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CD0D52" w:rsidRPr="00970478" w:rsidRDefault="00CD0D52" w:rsidP="00CD0D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478">
              <w:rPr>
                <w:rFonts w:ascii="Times New Roman" w:hAnsi="Times New Roman" w:cs="Times New Roman"/>
                <w:sz w:val="16"/>
                <w:szCs w:val="16"/>
              </w:rPr>
              <w:t>Висо</w:t>
            </w:r>
            <w:r w:rsidR="000C3B8D" w:rsidRPr="00970478">
              <w:rPr>
                <w:rFonts w:ascii="Times New Roman" w:hAnsi="Times New Roman" w:cs="Times New Roman"/>
                <w:sz w:val="16"/>
                <w:szCs w:val="16"/>
              </w:rPr>
              <w:t>ка ефективн</w:t>
            </w:r>
            <w:bookmarkStart w:id="0" w:name="_GoBack"/>
            <w:bookmarkEnd w:id="0"/>
            <w:r w:rsidR="000C3B8D" w:rsidRPr="00970478">
              <w:rPr>
                <w:rFonts w:ascii="Times New Roman" w:hAnsi="Times New Roman" w:cs="Times New Roman"/>
                <w:sz w:val="16"/>
                <w:szCs w:val="16"/>
              </w:rPr>
              <w:t>ість</w:t>
            </w:r>
          </w:p>
        </w:tc>
        <w:tc>
          <w:tcPr>
            <w:tcW w:w="1698" w:type="dxa"/>
          </w:tcPr>
          <w:p w:rsidR="00CD0D52" w:rsidRPr="00970478" w:rsidRDefault="000C3B8D" w:rsidP="00CD0D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478">
              <w:rPr>
                <w:rFonts w:ascii="Times New Roman" w:hAnsi="Times New Roman" w:cs="Times New Roman"/>
                <w:sz w:val="16"/>
                <w:szCs w:val="16"/>
              </w:rPr>
              <w:t>Середня ефективність</w:t>
            </w:r>
          </w:p>
        </w:tc>
        <w:tc>
          <w:tcPr>
            <w:tcW w:w="1523" w:type="dxa"/>
          </w:tcPr>
          <w:p w:rsidR="00CD0D52" w:rsidRPr="00970478" w:rsidRDefault="000C3B8D" w:rsidP="00CD0D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478">
              <w:rPr>
                <w:rFonts w:ascii="Times New Roman" w:hAnsi="Times New Roman" w:cs="Times New Roman"/>
                <w:sz w:val="16"/>
                <w:szCs w:val="16"/>
              </w:rPr>
              <w:t>Низька ефективність</w:t>
            </w:r>
          </w:p>
        </w:tc>
      </w:tr>
      <w:tr w:rsidR="00657FE7" w:rsidTr="00151FA4">
        <w:tc>
          <w:tcPr>
            <w:tcW w:w="496" w:type="dxa"/>
          </w:tcPr>
          <w:p w:rsidR="00657FE7" w:rsidRPr="003853AB" w:rsidRDefault="00657FE7" w:rsidP="0065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657FE7" w:rsidRPr="003853AB" w:rsidRDefault="00072943" w:rsidP="0007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3AB">
              <w:rPr>
                <w:rFonts w:ascii="Times New Roman" w:hAnsi="Times New Roman"/>
                <w:sz w:val="24"/>
                <w:szCs w:val="24"/>
              </w:rPr>
              <w:t>02</w:t>
            </w:r>
            <w:r w:rsidR="00657FE7" w:rsidRPr="003853AB">
              <w:rPr>
                <w:rFonts w:ascii="Times New Roman" w:hAnsi="Times New Roman"/>
                <w:sz w:val="24"/>
                <w:szCs w:val="24"/>
              </w:rPr>
              <w:t>101</w:t>
            </w:r>
            <w:r w:rsidRPr="003853AB">
              <w:rPr>
                <w:rFonts w:ascii="Times New Roman" w:hAnsi="Times New Roman"/>
                <w:sz w:val="24"/>
                <w:szCs w:val="24"/>
              </w:rPr>
              <w:t>6</w:t>
            </w:r>
            <w:r w:rsidR="00657FE7" w:rsidRPr="003853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6" w:type="dxa"/>
          </w:tcPr>
          <w:p w:rsidR="00657FE7" w:rsidRPr="003853AB" w:rsidRDefault="00072943" w:rsidP="00657FE7">
            <w:pPr>
              <w:rPr>
                <w:rFonts w:ascii="Times New Roman" w:hAnsi="Times New Roman"/>
                <w:sz w:val="24"/>
                <w:szCs w:val="24"/>
              </w:rPr>
            </w:pPr>
            <w:r w:rsidRPr="003853AB">
              <w:rPr>
                <w:rFonts w:ascii="Times New Roman" w:hAnsi="Times New Roman"/>
                <w:sz w:val="24"/>
                <w:szCs w:val="24"/>
              </w:rPr>
              <w:t xml:space="preserve">Керівництво і управління у відповідній сфері у містах (місті Києві), селищах, селах, об’єднаних територіальних громадах  </w:t>
            </w:r>
          </w:p>
        </w:tc>
        <w:tc>
          <w:tcPr>
            <w:tcW w:w="1558" w:type="dxa"/>
          </w:tcPr>
          <w:p w:rsidR="00657FE7" w:rsidRPr="003853AB" w:rsidRDefault="00657FE7" w:rsidP="0065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657FE7" w:rsidRPr="003853AB" w:rsidRDefault="00513C86" w:rsidP="0065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523" w:type="dxa"/>
          </w:tcPr>
          <w:p w:rsidR="00657FE7" w:rsidRPr="003853AB" w:rsidRDefault="00657FE7" w:rsidP="00657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C86" w:rsidTr="00151FA4">
        <w:tc>
          <w:tcPr>
            <w:tcW w:w="496" w:type="dxa"/>
          </w:tcPr>
          <w:p w:rsidR="00513C86" w:rsidRPr="003853AB" w:rsidRDefault="00513C86" w:rsidP="0076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513C86" w:rsidRPr="003853AB" w:rsidRDefault="00513C86" w:rsidP="007678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0210191</w:t>
            </w:r>
          </w:p>
        </w:tc>
        <w:tc>
          <w:tcPr>
            <w:tcW w:w="8226" w:type="dxa"/>
          </w:tcPr>
          <w:p w:rsidR="00513C86" w:rsidRPr="003853AB" w:rsidRDefault="00513C86" w:rsidP="007678EC">
            <w:pPr>
              <w:rPr>
                <w:rFonts w:ascii="Times New Roman" w:hAnsi="Times New Roman"/>
                <w:sz w:val="24"/>
                <w:szCs w:val="24"/>
              </w:rPr>
            </w:pPr>
            <w:r w:rsidRPr="00513C86">
              <w:rPr>
                <w:rFonts w:ascii="Times New Roman" w:hAnsi="Times New Roman"/>
                <w:sz w:val="24"/>
                <w:szCs w:val="24"/>
              </w:rPr>
              <w:t>Проведення місцевих виборів</w:t>
            </w:r>
          </w:p>
        </w:tc>
        <w:tc>
          <w:tcPr>
            <w:tcW w:w="1558" w:type="dxa"/>
          </w:tcPr>
          <w:p w:rsidR="00513C86" w:rsidRPr="003853AB" w:rsidRDefault="00513C86" w:rsidP="0076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513C86" w:rsidRPr="003853AB" w:rsidRDefault="00513C86" w:rsidP="0076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23" w:type="dxa"/>
          </w:tcPr>
          <w:p w:rsidR="00513C86" w:rsidRPr="003853AB" w:rsidRDefault="00513C86" w:rsidP="00657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EA" w:rsidTr="00151FA4">
        <w:tc>
          <w:tcPr>
            <w:tcW w:w="496" w:type="dxa"/>
          </w:tcPr>
          <w:p w:rsidR="008367EA" w:rsidRPr="003853AB" w:rsidRDefault="00513C86" w:rsidP="0076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8367EA" w:rsidRPr="003853AB" w:rsidRDefault="008367EA" w:rsidP="007678EC">
            <w:pPr>
              <w:rPr>
                <w:rFonts w:ascii="Times New Roman" w:hAnsi="Times New Roman"/>
                <w:sz w:val="24"/>
                <w:szCs w:val="24"/>
              </w:rPr>
            </w:pPr>
            <w:r w:rsidRPr="003853AB">
              <w:rPr>
                <w:rFonts w:ascii="Times New Roman" w:hAnsi="Times New Roman"/>
                <w:sz w:val="24"/>
                <w:szCs w:val="24"/>
              </w:rPr>
              <w:t>0210170</w:t>
            </w:r>
          </w:p>
        </w:tc>
        <w:tc>
          <w:tcPr>
            <w:tcW w:w="8226" w:type="dxa"/>
          </w:tcPr>
          <w:p w:rsidR="008367EA" w:rsidRPr="003853AB" w:rsidRDefault="008367EA" w:rsidP="007678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3AB">
              <w:rPr>
                <w:rFonts w:ascii="Times New Roman" w:hAnsi="Times New Roman"/>
                <w:sz w:val="24"/>
                <w:szCs w:val="24"/>
              </w:rPr>
              <w:t>Підвищення кваліфікації депутатів місцевих рад та посадових осіб місцевого самоврядування</w:t>
            </w:r>
          </w:p>
        </w:tc>
        <w:tc>
          <w:tcPr>
            <w:tcW w:w="1558" w:type="dxa"/>
          </w:tcPr>
          <w:p w:rsidR="008367EA" w:rsidRPr="003853AB" w:rsidRDefault="00513C86" w:rsidP="0076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698" w:type="dxa"/>
          </w:tcPr>
          <w:p w:rsidR="008367EA" w:rsidRPr="003853AB" w:rsidRDefault="008367EA" w:rsidP="0076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367EA" w:rsidRPr="003853AB" w:rsidRDefault="008367EA" w:rsidP="00657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EA" w:rsidTr="00151FA4">
        <w:tc>
          <w:tcPr>
            <w:tcW w:w="496" w:type="dxa"/>
          </w:tcPr>
          <w:p w:rsidR="008367EA" w:rsidRPr="003853AB" w:rsidRDefault="00513C86" w:rsidP="0065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8367EA" w:rsidRPr="003853AB" w:rsidRDefault="008367EA" w:rsidP="00657FE7">
            <w:pPr>
              <w:rPr>
                <w:sz w:val="24"/>
                <w:szCs w:val="24"/>
              </w:rPr>
            </w:pPr>
            <w:r w:rsidRPr="003853AB">
              <w:rPr>
                <w:rFonts w:ascii="Times New Roman" w:hAnsi="Times New Roman"/>
                <w:sz w:val="24"/>
                <w:szCs w:val="24"/>
              </w:rPr>
              <w:t>0213112</w:t>
            </w:r>
          </w:p>
        </w:tc>
        <w:tc>
          <w:tcPr>
            <w:tcW w:w="8226" w:type="dxa"/>
          </w:tcPr>
          <w:p w:rsidR="008367EA" w:rsidRPr="003853AB" w:rsidRDefault="008367EA" w:rsidP="00657FE7">
            <w:pPr>
              <w:rPr>
                <w:sz w:val="24"/>
                <w:szCs w:val="24"/>
              </w:rPr>
            </w:pPr>
            <w:r w:rsidRPr="003853AB">
              <w:rPr>
                <w:rFonts w:ascii="Times New Roman" w:hAnsi="Times New Roman"/>
                <w:color w:val="000000"/>
                <w:sz w:val="24"/>
                <w:szCs w:val="24"/>
              </w:rPr>
              <w:t>Заклади та заходи з питань дітей та їх соціального захисту</w:t>
            </w:r>
            <w:r w:rsidRPr="003853A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8" w:type="dxa"/>
          </w:tcPr>
          <w:p w:rsidR="008367EA" w:rsidRPr="003853AB" w:rsidRDefault="00513C86" w:rsidP="0065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98" w:type="dxa"/>
          </w:tcPr>
          <w:p w:rsidR="008367EA" w:rsidRPr="003853AB" w:rsidRDefault="008367EA" w:rsidP="0065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367EA" w:rsidRPr="003853AB" w:rsidRDefault="008367EA" w:rsidP="00657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EA" w:rsidTr="00151FA4">
        <w:tc>
          <w:tcPr>
            <w:tcW w:w="496" w:type="dxa"/>
          </w:tcPr>
          <w:p w:rsidR="008367EA" w:rsidRPr="003853AB" w:rsidRDefault="00C64A05" w:rsidP="0065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8367EA" w:rsidRPr="003853AB" w:rsidRDefault="008367EA" w:rsidP="00657FE7">
            <w:pPr>
              <w:rPr>
                <w:rFonts w:ascii="Times New Roman" w:hAnsi="Times New Roman"/>
                <w:sz w:val="24"/>
                <w:szCs w:val="24"/>
              </w:rPr>
            </w:pPr>
            <w:r w:rsidRPr="003853AB">
              <w:rPr>
                <w:rFonts w:ascii="Times New Roman" w:hAnsi="Times New Roman"/>
                <w:sz w:val="24"/>
                <w:szCs w:val="24"/>
              </w:rPr>
              <w:t>0213123</w:t>
            </w:r>
          </w:p>
        </w:tc>
        <w:tc>
          <w:tcPr>
            <w:tcW w:w="8226" w:type="dxa"/>
          </w:tcPr>
          <w:p w:rsidR="008367EA" w:rsidRPr="003853AB" w:rsidRDefault="008367EA" w:rsidP="00657FE7">
            <w:pPr>
              <w:rPr>
                <w:rFonts w:ascii="Times New Roman" w:hAnsi="Times New Roman"/>
                <w:sz w:val="24"/>
                <w:szCs w:val="24"/>
              </w:rPr>
            </w:pPr>
            <w:r w:rsidRPr="003853AB">
              <w:rPr>
                <w:rFonts w:ascii="Times New Roman" w:hAnsi="Times New Roman"/>
                <w:sz w:val="24"/>
                <w:szCs w:val="24"/>
              </w:rPr>
              <w:t>Заходи державної політики з питань сім`ї</w:t>
            </w:r>
          </w:p>
        </w:tc>
        <w:tc>
          <w:tcPr>
            <w:tcW w:w="1558" w:type="dxa"/>
          </w:tcPr>
          <w:p w:rsidR="008367EA" w:rsidRPr="003853AB" w:rsidRDefault="00513C86" w:rsidP="0065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698" w:type="dxa"/>
          </w:tcPr>
          <w:p w:rsidR="008367EA" w:rsidRPr="003853AB" w:rsidRDefault="008367EA" w:rsidP="0065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367EA" w:rsidRPr="003853AB" w:rsidRDefault="008367EA" w:rsidP="00657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EA" w:rsidTr="00151FA4">
        <w:tc>
          <w:tcPr>
            <w:tcW w:w="496" w:type="dxa"/>
          </w:tcPr>
          <w:p w:rsidR="008367EA" w:rsidRPr="003853AB" w:rsidRDefault="00C64A05" w:rsidP="0065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8367EA" w:rsidRPr="003853AB" w:rsidRDefault="008367EA" w:rsidP="00507AAF">
            <w:pPr>
              <w:rPr>
                <w:sz w:val="24"/>
                <w:szCs w:val="24"/>
              </w:rPr>
            </w:pPr>
            <w:r w:rsidRPr="003853AB">
              <w:rPr>
                <w:rFonts w:ascii="Times New Roman" w:hAnsi="Times New Roman"/>
                <w:sz w:val="24"/>
                <w:szCs w:val="24"/>
              </w:rPr>
              <w:t>0213131</w:t>
            </w:r>
          </w:p>
        </w:tc>
        <w:tc>
          <w:tcPr>
            <w:tcW w:w="8226" w:type="dxa"/>
          </w:tcPr>
          <w:p w:rsidR="008367EA" w:rsidRPr="003853AB" w:rsidRDefault="008367EA" w:rsidP="00657FE7">
            <w:pPr>
              <w:rPr>
                <w:sz w:val="24"/>
                <w:szCs w:val="24"/>
              </w:rPr>
            </w:pPr>
            <w:r w:rsidRPr="003853AB">
              <w:rPr>
                <w:rFonts w:ascii="Times New Roman" w:hAnsi="Times New Roman"/>
                <w:sz w:val="24"/>
                <w:szCs w:val="24"/>
              </w:rPr>
              <w:t xml:space="preserve">Здійснення заходів та реалізація проектів на виконання Державної цільової соціальної програми `Молодь </w:t>
            </w:r>
            <w:proofErr w:type="spellStart"/>
            <w:r w:rsidRPr="003853AB">
              <w:rPr>
                <w:rFonts w:ascii="Times New Roman" w:hAnsi="Times New Roman"/>
                <w:sz w:val="24"/>
                <w:szCs w:val="24"/>
              </w:rPr>
              <w:t>України`</w:t>
            </w:r>
            <w:proofErr w:type="spellEnd"/>
          </w:p>
        </w:tc>
        <w:tc>
          <w:tcPr>
            <w:tcW w:w="1558" w:type="dxa"/>
          </w:tcPr>
          <w:p w:rsidR="008367EA" w:rsidRPr="003853AB" w:rsidRDefault="00513C86" w:rsidP="0072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98" w:type="dxa"/>
          </w:tcPr>
          <w:p w:rsidR="008367EA" w:rsidRPr="003853AB" w:rsidRDefault="008367EA" w:rsidP="0065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367EA" w:rsidRPr="003853AB" w:rsidRDefault="008367EA" w:rsidP="00657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EA" w:rsidTr="00151FA4">
        <w:trPr>
          <w:trHeight w:val="293"/>
        </w:trPr>
        <w:tc>
          <w:tcPr>
            <w:tcW w:w="496" w:type="dxa"/>
          </w:tcPr>
          <w:p w:rsidR="008367EA" w:rsidRPr="003853AB" w:rsidRDefault="00C64A05" w:rsidP="008F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8367EA" w:rsidRPr="003853AB" w:rsidRDefault="008367EA" w:rsidP="008F22D0">
            <w:pPr>
              <w:rPr>
                <w:sz w:val="24"/>
                <w:szCs w:val="24"/>
              </w:rPr>
            </w:pPr>
            <w:r w:rsidRPr="003853AB">
              <w:rPr>
                <w:rFonts w:ascii="Times New Roman" w:hAnsi="Times New Roman"/>
                <w:sz w:val="24"/>
                <w:szCs w:val="24"/>
                <w:lang w:val="ru-RU"/>
              </w:rPr>
              <w:t>0213242</w:t>
            </w:r>
          </w:p>
        </w:tc>
        <w:tc>
          <w:tcPr>
            <w:tcW w:w="8226" w:type="dxa"/>
          </w:tcPr>
          <w:p w:rsidR="008367EA" w:rsidRPr="003853AB" w:rsidRDefault="008367EA" w:rsidP="008F22D0">
            <w:pPr>
              <w:rPr>
                <w:sz w:val="24"/>
                <w:szCs w:val="24"/>
              </w:rPr>
            </w:pPr>
            <w:r w:rsidRPr="003853AB">
              <w:rPr>
                <w:rFonts w:ascii="Times New Roman" w:hAnsi="Times New Roman"/>
                <w:sz w:val="24"/>
                <w:szCs w:val="2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558" w:type="dxa"/>
          </w:tcPr>
          <w:p w:rsidR="008367EA" w:rsidRPr="003853AB" w:rsidRDefault="00513C86" w:rsidP="008F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698" w:type="dxa"/>
          </w:tcPr>
          <w:p w:rsidR="008367EA" w:rsidRPr="003853AB" w:rsidRDefault="008367EA" w:rsidP="008F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367EA" w:rsidRPr="003853AB" w:rsidRDefault="008367EA" w:rsidP="008F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EA" w:rsidTr="00151FA4">
        <w:tc>
          <w:tcPr>
            <w:tcW w:w="496" w:type="dxa"/>
          </w:tcPr>
          <w:p w:rsidR="008367EA" w:rsidRPr="003853AB" w:rsidRDefault="00C64A05" w:rsidP="008F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8367EA" w:rsidRPr="003853AB" w:rsidRDefault="008367EA" w:rsidP="008367EA">
            <w:pPr>
              <w:rPr>
                <w:rFonts w:ascii="Times New Roman" w:hAnsi="Times New Roman"/>
                <w:sz w:val="24"/>
                <w:szCs w:val="24"/>
              </w:rPr>
            </w:pPr>
            <w:r w:rsidRPr="003853AB">
              <w:rPr>
                <w:rFonts w:ascii="Times New Roman" w:hAnsi="Times New Roman"/>
                <w:sz w:val="24"/>
                <w:szCs w:val="24"/>
              </w:rPr>
              <w:t>0214082</w:t>
            </w:r>
          </w:p>
        </w:tc>
        <w:tc>
          <w:tcPr>
            <w:tcW w:w="8226" w:type="dxa"/>
          </w:tcPr>
          <w:p w:rsidR="008367EA" w:rsidRPr="003853AB" w:rsidRDefault="008367EA" w:rsidP="008F22D0">
            <w:pPr>
              <w:rPr>
                <w:rFonts w:ascii="Times New Roman" w:hAnsi="Times New Roman"/>
                <w:sz w:val="24"/>
                <w:szCs w:val="24"/>
              </w:rPr>
            </w:pPr>
            <w:r w:rsidRPr="003853AB">
              <w:rPr>
                <w:rFonts w:ascii="Times New Roman" w:eastAsia="Calibri" w:hAnsi="Times New Roman" w:cs="Times New Roman"/>
                <w:sz w:val="24"/>
                <w:szCs w:val="24"/>
              </w:rPr>
              <w:t>Інші заходи в галузі культури та мистецтв</w:t>
            </w:r>
          </w:p>
        </w:tc>
        <w:tc>
          <w:tcPr>
            <w:tcW w:w="1558" w:type="dxa"/>
          </w:tcPr>
          <w:p w:rsidR="008367EA" w:rsidRPr="003853AB" w:rsidRDefault="008367EA" w:rsidP="008F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8367EA" w:rsidRPr="003853AB" w:rsidRDefault="00513C86" w:rsidP="008F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23" w:type="dxa"/>
          </w:tcPr>
          <w:p w:rsidR="008367EA" w:rsidRPr="003853AB" w:rsidRDefault="008367EA" w:rsidP="008F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EA" w:rsidTr="00151FA4">
        <w:tc>
          <w:tcPr>
            <w:tcW w:w="496" w:type="dxa"/>
          </w:tcPr>
          <w:p w:rsidR="008367EA" w:rsidRPr="003853AB" w:rsidRDefault="00C64A05" w:rsidP="008F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8367EA" w:rsidRPr="003853AB" w:rsidRDefault="008367EA" w:rsidP="008F22D0">
            <w:pPr>
              <w:rPr>
                <w:sz w:val="24"/>
                <w:szCs w:val="24"/>
              </w:rPr>
            </w:pPr>
            <w:r w:rsidRPr="003853AB">
              <w:rPr>
                <w:rFonts w:ascii="Times New Roman" w:hAnsi="Times New Roman"/>
                <w:sz w:val="24"/>
                <w:szCs w:val="24"/>
              </w:rPr>
              <w:t>0215061</w:t>
            </w:r>
          </w:p>
        </w:tc>
        <w:tc>
          <w:tcPr>
            <w:tcW w:w="8226" w:type="dxa"/>
          </w:tcPr>
          <w:p w:rsidR="008367EA" w:rsidRPr="003853AB" w:rsidRDefault="008367EA" w:rsidP="008F22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AB">
              <w:rPr>
                <w:rFonts w:ascii="Times New Roman" w:eastAsia="Calibri" w:hAnsi="Times New Roman" w:cs="Times New Roman"/>
                <w:sz w:val="24"/>
                <w:szCs w:val="24"/>
              </w:rPr>
              <w:t>Забезпечення діяльності місцевих центрів фізичного здоров'я населення "Спорт для всіх" та проведення фізкультурно-масових заходів серед населення регіону</w:t>
            </w:r>
          </w:p>
        </w:tc>
        <w:tc>
          <w:tcPr>
            <w:tcW w:w="1558" w:type="dxa"/>
          </w:tcPr>
          <w:p w:rsidR="008367EA" w:rsidRPr="003853AB" w:rsidRDefault="00513C86" w:rsidP="008F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698" w:type="dxa"/>
          </w:tcPr>
          <w:p w:rsidR="008367EA" w:rsidRPr="003853AB" w:rsidRDefault="008367EA" w:rsidP="008F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367EA" w:rsidRPr="003853AB" w:rsidRDefault="008367EA" w:rsidP="008F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EA" w:rsidTr="00151FA4">
        <w:tc>
          <w:tcPr>
            <w:tcW w:w="496" w:type="dxa"/>
          </w:tcPr>
          <w:p w:rsidR="008367EA" w:rsidRPr="003853AB" w:rsidRDefault="00C64A05" w:rsidP="008F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8367EA" w:rsidRPr="003853AB" w:rsidRDefault="008367EA" w:rsidP="008F22D0">
            <w:pPr>
              <w:rPr>
                <w:sz w:val="24"/>
                <w:szCs w:val="24"/>
              </w:rPr>
            </w:pPr>
            <w:r w:rsidRPr="003853AB">
              <w:rPr>
                <w:rFonts w:ascii="Times New Roman" w:hAnsi="Times New Roman"/>
                <w:sz w:val="24"/>
                <w:szCs w:val="24"/>
              </w:rPr>
              <w:t>0216030</w:t>
            </w:r>
          </w:p>
        </w:tc>
        <w:tc>
          <w:tcPr>
            <w:tcW w:w="8226" w:type="dxa"/>
          </w:tcPr>
          <w:p w:rsidR="008367EA" w:rsidRPr="003853AB" w:rsidRDefault="008367EA" w:rsidP="008F22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Організація благоустрою населених пунктів  </w:t>
            </w:r>
          </w:p>
        </w:tc>
        <w:tc>
          <w:tcPr>
            <w:tcW w:w="1558" w:type="dxa"/>
          </w:tcPr>
          <w:p w:rsidR="008367EA" w:rsidRPr="003853AB" w:rsidRDefault="00513C86" w:rsidP="008F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698" w:type="dxa"/>
          </w:tcPr>
          <w:p w:rsidR="008367EA" w:rsidRPr="003853AB" w:rsidRDefault="008367EA" w:rsidP="008F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367EA" w:rsidRPr="003853AB" w:rsidRDefault="008367EA" w:rsidP="008F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EA" w:rsidTr="00151FA4">
        <w:tc>
          <w:tcPr>
            <w:tcW w:w="496" w:type="dxa"/>
          </w:tcPr>
          <w:p w:rsidR="008367EA" w:rsidRPr="003853AB" w:rsidRDefault="00C64A05" w:rsidP="008F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9" w:type="dxa"/>
          </w:tcPr>
          <w:p w:rsidR="008367EA" w:rsidRPr="003853AB" w:rsidRDefault="008367EA" w:rsidP="008F22D0">
            <w:pPr>
              <w:rPr>
                <w:rFonts w:ascii="Times New Roman" w:hAnsi="Times New Roman"/>
                <w:sz w:val="24"/>
                <w:szCs w:val="24"/>
              </w:rPr>
            </w:pPr>
            <w:r w:rsidRPr="003853AB">
              <w:rPr>
                <w:rFonts w:ascii="Times New Roman" w:hAnsi="Times New Roman"/>
                <w:sz w:val="24"/>
                <w:szCs w:val="24"/>
              </w:rPr>
              <w:t>0216086</w:t>
            </w:r>
          </w:p>
        </w:tc>
        <w:tc>
          <w:tcPr>
            <w:tcW w:w="8226" w:type="dxa"/>
          </w:tcPr>
          <w:p w:rsidR="008367EA" w:rsidRPr="003853AB" w:rsidRDefault="008367EA" w:rsidP="008F22D0">
            <w:pPr>
              <w:rPr>
                <w:rFonts w:ascii="Times New Roman" w:hAnsi="Times New Roman"/>
                <w:sz w:val="24"/>
                <w:szCs w:val="24"/>
              </w:rPr>
            </w:pPr>
            <w:r w:rsidRPr="003853AB">
              <w:rPr>
                <w:rFonts w:ascii="Times New Roman" w:hAnsi="Times New Roman"/>
                <w:sz w:val="24"/>
                <w:szCs w:val="24"/>
              </w:rPr>
              <w:t>Інша діяльність щодо забезпечення житлом громадян</w:t>
            </w:r>
          </w:p>
        </w:tc>
        <w:tc>
          <w:tcPr>
            <w:tcW w:w="1558" w:type="dxa"/>
          </w:tcPr>
          <w:p w:rsidR="008367EA" w:rsidRPr="003853AB" w:rsidRDefault="008367EA" w:rsidP="008F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8367EA" w:rsidRPr="003853AB" w:rsidRDefault="008367EA" w:rsidP="008F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367EA" w:rsidRPr="003853AB" w:rsidRDefault="00513C86" w:rsidP="008F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67EA" w:rsidTr="00151FA4">
        <w:tc>
          <w:tcPr>
            <w:tcW w:w="496" w:type="dxa"/>
          </w:tcPr>
          <w:p w:rsidR="008367EA" w:rsidRPr="003853AB" w:rsidRDefault="00C64A05" w:rsidP="008F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9" w:type="dxa"/>
          </w:tcPr>
          <w:p w:rsidR="008367EA" w:rsidRPr="003853AB" w:rsidRDefault="008367EA" w:rsidP="00513C86">
            <w:pPr>
              <w:rPr>
                <w:rFonts w:ascii="Times New Roman" w:hAnsi="Times New Roman"/>
                <w:sz w:val="24"/>
                <w:szCs w:val="24"/>
              </w:rPr>
            </w:pPr>
            <w:r w:rsidRPr="003853AB">
              <w:rPr>
                <w:rFonts w:ascii="Times New Roman" w:hAnsi="Times New Roman"/>
                <w:sz w:val="24"/>
                <w:szCs w:val="24"/>
              </w:rPr>
              <w:t>021</w:t>
            </w:r>
            <w:r w:rsidR="00513C86">
              <w:rPr>
                <w:rFonts w:ascii="Times New Roman" w:hAnsi="Times New Roman"/>
                <w:sz w:val="24"/>
                <w:szCs w:val="24"/>
              </w:rPr>
              <w:t>6083</w:t>
            </w:r>
          </w:p>
        </w:tc>
        <w:tc>
          <w:tcPr>
            <w:tcW w:w="8226" w:type="dxa"/>
          </w:tcPr>
          <w:p w:rsidR="008367EA" w:rsidRPr="00513C86" w:rsidRDefault="00513C86" w:rsidP="008F22D0">
            <w:pPr>
              <w:rPr>
                <w:rFonts w:ascii="Times New Roman" w:hAnsi="Times New Roman"/>
              </w:rPr>
            </w:pPr>
            <w:r w:rsidRPr="00513C86">
              <w:rPr>
                <w:rFonts w:ascii="Times New Roman" w:hAnsi="Times New Roman"/>
              </w:rPr>
              <w:t xml:space="preserve">Проектні, будівельно-ремонтні роботи, придбання житла та приміщень для розвитку сімейних та інших форм виховання,  наближених до сімейних, та забезпечення житлом дітей-сиріт, дітей, позбавлених батьківського піклування, осіб з їх числа           </w:t>
            </w:r>
          </w:p>
        </w:tc>
        <w:tc>
          <w:tcPr>
            <w:tcW w:w="1558" w:type="dxa"/>
          </w:tcPr>
          <w:p w:rsidR="008367EA" w:rsidRPr="003853AB" w:rsidRDefault="00513C86" w:rsidP="008F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698" w:type="dxa"/>
          </w:tcPr>
          <w:p w:rsidR="008367EA" w:rsidRPr="003853AB" w:rsidRDefault="008367EA" w:rsidP="008F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367EA" w:rsidRPr="003853AB" w:rsidRDefault="008367EA" w:rsidP="008F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C86" w:rsidTr="00151FA4">
        <w:tc>
          <w:tcPr>
            <w:tcW w:w="496" w:type="dxa"/>
          </w:tcPr>
          <w:p w:rsidR="00513C86" w:rsidRPr="003853AB" w:rsidRDefault="00C64A05" w:rsidP="008F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9" w:type="dxa"/>
          </w:tcPr>
          <w:p w:rsidR="00513C86" w:rsidRPr="003853AB" w:rsidRDefault="00513C86" w:rsidP="00513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0217330</w:t>
            </w:r>
          </w:p>
        </w:tc>
        <w:tc>
          <w:tcPr>
            <w:tcW w:w="8226" w:type="dxa"/>
          </w:tcPr>
          <w:p w:rsidR="00513C86" w:rsidRPr="00513C86" w:rsidRDefault="00513C86" w:rsidP="008F22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Будівництво інших об’єктів комунальної власності</w:t>
            </w:r>
          </w:p>
        </w:tc>
        <w:tc>
          <w:tcPr>
            <w:tcW w:w="1558" w:type="dxa"/>
          </w:tcPr>
          <w:p w:rsidR="00513C86" w:rsidRDefault="00513C86" w:rsidP="008F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698" w:type="dxa"/>
          </w:tcPr>
          <w:p w:rsidR="00513C86" w:rsidRPr="003853AB" w:rsidRDefault="00513C86" w:rsidP="008F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513C86" w:rsidRPr="003853AB" w:rsidRDefault="00513C86" w:rsidP="008F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C86" w:rsidTr="00151FA4">
        <w:tc>
          <w:tcPr>
            <w:tcW w:w="496" w:type="dxa"/>
          </w:tcPr>
          <w:p w:rsidR="00513C86" w:rsidRPr="003853AB" w:rsidRDefault="00C64A05" w:rsidP="008F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9" w:type="dxa"/>
          </w:tcPr>
          <w:p w:rsidR="00513C86" w:rsidRPr="003853AB" w:rsidRDefault="00513C86" w:rsidP="00513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0217520</w:t>
            </w:r>
          </w:p>
        </w:tc>
        <w:tc>
          <w:tcPr>
            <w:tcW w:w="8226" w:type="dxa"/>
          </w:tcPr>
          <w:p w:rsidR="00513C86" w:rsidRPr="00513C86" w:rsidRDefault="00513C86" w:rsidP="008F22D0">
            <w:pPr>
              <w:rPr>
                <w:rFonts w:ascii="Times New Roman" w:hAnsi="Times New Roman"/>
              </w:rPr>
            </w:pPr>
            <w:r w:rsidRPr="00513C86">
              <w:rPr>
                <w:rFonts w:ascii="Times New Roman" w:hAnsi="Times New Roman"/>
              </w:rPr>
              <w:t>Реалізація Національної програми інформатизації</w:t>
            </w:r>
          </w:p>
        </w:tc>
        <w:tc>
          <w:tcPr>
            <w:tcW w:w="1558" w:type="dxa"/>
          </w:tcPr>
          <w:p w:rsidR="00513C86" w:rsidRDefault="00513C86" w:rsidP="008F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513C86" w:rsidRPr="003853AB" w:rsidRDefault="00513C86" w:rsidP="005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23" w:type="dxa"/>
          </w:tcPr>
          <w:p w:rsidR="00513C86" w:rsidRPr="003853AB" w:rsidRDefault="00513C86" w:rsidP="008F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EA" w:rsidTr="00A63FBD">
        <w:tc>
          <w:tcPr>
            <w:tcW w:w="14560" w:type="dxa"/>
            <w:gridSpan w:val="6"/>
          </w:tcPr>
          <w:p w:rsidR="008367EA" w:rsidRPr="003853AB" w:rsidRDefault="008367EA" w:rsidP="00C64A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3AB">
              <w:rPr>
                <w:rFonts w:ascii="Times New Roman" w:hAnsi="Times New Roman" w:cs="Times New Roman"/>
                <w:i/>
                <w:sz w:val="24"/>
                <w:szCs w:val="24"/>
              </w:rPr>
              <w:t>При розрахунку шкала аналізу, по КПКВК 02101</w:t>
            </w:r>
            <w:r w:rsidR="00C64A05">
              <w:rPr>
                <w:rFonts w:ascii="Times New Roman" w:hAnsi="Times New Roman" w:cs="Times New Roman"/>
                <w:i/>
                <w:sz w:val="24"/>
                <w:szCs w:val="24"/>
              </w:rPr>
              <w:t>91</w:t>
            </w:r>
            <w:r w:rsidRPr="00385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64A05">
              <w:rPr>
                <w:rFonts w:ascii="Times New Roman" w:hAnsi="Times New Roman" w:cs="Times New Roman"/>
                <w:i/>
                <w:sz w:val="24"/>
                <w:szCs w:val="24"/>
              </w:rPr>
              <w:t>0213112</w:t>
            </w:r>
            <w:r w:rsidRPr="00385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A84BA2" w:rsidRPr="003853AB">
              <w:rPr>
                <w:rFonts w:ascii="Times New Roman" w:hAnsi="Times New Roman" w:cs="Times New Roman"/>
                <w:i/>
                <w:sz w:val="24"/>
                <w:szCs w:val="24"/>
              </w:rPr>
              <w:t>021</w:t>
            </w:r>
            <w:r w:rsidR="00C64A05">
              <w:rPr>
                <w:rFonts w:ascii="Times New Roman" w:hAnsi="Times New Roman" w:cs="Times New Roman"/>
                <w:i/>
                <w:sz w:val="24"/>
                <w:szCs w:val="24"/>
              </w:rPr>
              <w:t>3131</w:t>
            </w:r>
            <w:r w:rsidR="00FC1E7C" w:rsidRPr="003853A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C64A05">
              <w:rPr>
                <w:rFonts w:ascii="Times New Roman" w:hAnsi="Times New Roman" w:cs="Times New Roman"/>
                <w:i/>
                <w:sz w:val="24"/>
                <w:szCs w:val="24"/>
              </w:rPr>
              <w:t>0216083,</w:t>
            </w:r>
            <w:r w:rsidR="00FC1E7C" w:rsidRPr="00385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021</w:t>
            </w:r>
            <w:r w:rsidR="00C64A05">
              <w:rPr>
                <w:rFonts w:ascii="Times New Roman" w:hAnsi="Times New Roman" w:cs="Times New Roman"/>
                <w:i/>
                <w:sz w:val="24"/>
                <w:szCs w:val="24"/>
              </w:rPr>
              <w:t>7330, 0217520</w:t>
            </w:r>
            <w:r w:rsidR="00A84BA2" w:rsidRPr="00385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5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була відкоригована </w:t>
            </w:r>
            <w:r w:rsidR="00B30794" w:rsidRPr="003853AB">
              <w:rPr>
                <w:rFonts w:ascii="Times New Roman" w:hAnsi="Times New Roman" w:cs="Times New Roman"/>
                <w:i/>
                <w:sz w:val="24"/>
                <w:szCs w:val="24"/>
              </w:rPr>
              <w:t>шляхо</w:t>
            </w:r>
            <w:r w:rsidR="00024C91" w:rsidRPr="00385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 </w:t>
            </w:r>
            <w:r w:rsidR="00B30794" w:rsidRPr="00385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24C91" w:rsidRPr="00385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зменшення </w:t>
            </w:r>
            <w:r w:rsidRPr="003853AB">
              <w:rPr>
                <w:rFonts w:ascii="Times New Roman" w:hAnsi="Times New Roman" w:cs="Times New Roman"/>
                <w:i/>
                <w:sz w:val="24"/>
                <w:szCs w:val="24"/>
              </w:rPr>
              <w:t>на 100 балів  згідно пункту 3.2 методики порівняльного аналізу</w:t>
            </w:r>
          </w:p>
        </w:tc>
      </w:tr>
      <w:tr w:rsidR="008367EA" w:rsidTr="00151FA4">
        <w:tc>
          <w:tcPr>
            <w:tcW w:w="9781" w:type="dxa"/>
            <w:gridSpan w:val="3"/>
          </w:tcPr>
          <w:p w:rsidR="008367EA" w:rsidRPr="003853AB" w:rsidRDefault="008367EA" w:rsidP="008F22D0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853AB">
              <w:rPr>
                <w:rFonts w:ascii="Times New Roman" w:hAnsi="Times New Roman" w:cs="Times New Roman"/>
                <w:i/>
                <w:sz w:val="25"/>
                <w:szCs w:val="25"/>
              </w:rPr>
              <w:t>Середній результат оцінки програм</w:t>
            </w:r>
          </w:p>
        </w:tc>
        <w:tc>
          <w:tcPr>
            <w:tcW w:w="1558" w:type="dxa"/>
          </w:tcPr>
          <w:p w:rsidR="008367EA" w:rsidRPr="003853AB" w:rsidRDefault="008367EA" w:rsidP="008F22D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98" w:type="dxa"/>
          </w:tcPr>
          <w:p w:rsidR="008367EA" w:rsidRPr="003853AB" w:rsidRDefault="00C64A05" w:rsidP="008F22D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523" w:type="dxa"/>
          </w:tcPr>
          <w:p w:rsidR="008367EA" w:rsidRPr="003853AB" w:rsidRDefault="008367EA" w:rsidP="008F22D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3853AB" w:rsidRDefault="000C3B8D" w:rsidP="00C64A05">
      <w:pPr>
        <w:rPr>
          <w:rFonts w:ascii="Times New Roman" w:hAnsi="Times New Roman" w:cs="Times New Roman"/>
          <w:sz w:val="20"/>
          <w:szCs w:val="20"/>
        </w:rPr>
      </w:pPr>
      <w:r w:rsidRPr="00970478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970478">
        <w:rPr>
          <w:rFonts w:ascii="Times New Roman" w:hAnsi="Times New Roman" w:cs="Times New Roman"/>
          <w:sz w:val="20"/>
          <w:szCs w:val="20"/>
        </w:rPr>
        <w:t xml:space="preserve">Зазначаються усі програми головного розпорядника, за якими складено звіт </w:t>
      </w:r>
      <w:r w:rsidR="00B03D84" w:rsidRPr="00970478">
        <w:rPr>
          <w:rFonts w:ascii="Times New Roman" w:hAnsi="Times New Roman" w:cs="Times New Roman"/>
          <w:sz w:val="20"/>
          <w:szCs w:val="20"/>
        </w:rPr>
        <w:t>про виконання паспорту бюджетної</w:t>
      </w:r>
      <w:r w:rsidRPr="00970478">
        <w:rPr>
          <w:rFonts w:ascii="Times New Roman" w:hAnsi="Times New Roman" w:cs="Times New Roman"/>
          <w:sz w:val="20"/>
          <w:szCs w:val="20"/>
        </w:rPr>
        <w:t xml:space="preserve"> програм</w:t>
      </w:r>
      <w:r w:rsidR="00B03D84" w:rsidRPr="00970478">
        <w:rPr>
          <w:rFonts w:ascii="Times New Roman" w:hAnsi="Times New Roman" w:cs="Times New Roman"/>
          <w:sz w:val="20"/>
          <w:szCs w:val="20"/>
        </w:rPr>
        <w:t>и</w:t>
      </w:r>
    </w:p>
    <w:p w:rsidR="00C64A05" w:rsidRDefault="00C64A05" w:rsidP="00C64A05">
      <w:pPr>
        <w:rPr>
          <w:rFonts w:ascii="Times New Roman" w:hAnsi="Times New Roman" w:cs="Times New Roman"/>
          <w:sz w:val="20"/>
          <w:szCs w:val="20"/>
        </w:rPr>
      </w:pPr>
    </w:p>
    <w:p w:rsidR="00C64A05" w:rsidRDefault="00C64A05" w:rsidP="00C64A05">
      <w:pPr>
        <w:rPr>
          <w:rFonts w:ascii="Times New Roman" w:hAnsi="Times New Roman" w:cs="Times New Roman"/>
          <w:sz w:val="20"/>
          <w:szCs w:val="20"/>
        </w:rPr>
      </w:pPr>
    </w:p>
    <w:p w:rsidR="00C64A05" w:rsidRDefault="00C64A05" w:rsidP="00C64A05">
      <w:pPr>
        <w:rPr>
          <w:rFonts w:ascii="Times New Roman" w:hAnsi="Times New Roman" w:cs="Times New Roman"/>
          <w:sz w:val="20"/>
          <w:szCs w:val="20"/>
        </w:rPr>
      </w:pPr>
    </w:p>
    <w:p w:rsidR="00C64A05" w:rsidRDefault="00C64A05" w:rsidP="00C64A05">
      <w:pPr>
        <w:rPr>
          <w:rFonts w:ascii="Times New Roman" w:hAnsi="Times New Roman" w:cs="Times New Roman"/>
          <w:sz w:val="20"/>
          <w:szCs w:val="20"/>
        </w:rPr>
      </w:pPr>
    </w:p>
    <w:p w:rsidR="00C64A05" w:rsidRDefault="00C64A05" w:rsidP="00C64A05">
      <w:pPr>
        <w:rPr>
          <w:rFonts w:ascii="Times New Roman" w:hAnsi="Times New Roman" w:cs="Times New Roman"/>
          <w:sz w:val="20"/>
          <w:szCs w:val="20"/>
        </w:rPr>
      </w:pPr>
    </w:p>
    <w:p w:rsidR="00C64A05" w:rsidRDefault="00C64A05" w:rsidP="00C64A05">
      <w:pPr>
        <w:rPr>
          <w:rFonts w:ascii="Times New Roman" w:hAnsi="Times New Roman" w:cs="Times New Roman"/>
        </w:rPr>
      </w:pPr>
    </w:p>
    <w:p w:rsidR="000C3B8D" w:rsidRPr="00970478" w:rsidRDefault="00126498" w:rsidP="00970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0C3B8D" w:rsidRPr="00970478">
        <w:rPr>
          <w:rFonts w:ascii="Times New Roman" w:hAnsi="Times New Roman" w:cs="Times New Roman"/>
          <w:sz w:val="24"/>
          <w:szCs w:val="24"/>
        </w:rPr>
        <w:t>3.Поглиблений аналіз причин низької ефективності</w:t>
      </w:r>
    </w:p>
    <w:tbl>
      <w:tblPr>
        <w:tblStyle w:val="a4"/>
        <w:tblW w:w="0" w:type="auto"/>
        <w:tblLook w:val="04A0"/>
      </w:tblPr>
      <w:tblGrid>
        <w:gridCol w:w="704"/>
        <w:gridCol w:w="1985"/>
        <w:gridCol w:w="6237"/>
        <w:gridCol w:w="5634"/>
      </w:tblGrid>
      <w:tr w:rsidR="000C3B8D" w:rsidTr="000C3B8D">
        <w:tc>
          <w:tcPr>
            <w:tcW w:w="704" w:type="dxa"/>
          </w:tcPr>
          <w:p w:rsidR="000C3B8D" w:rsidRPr="00970478" w:rsidRDefault="000C3B8D" w:rsidP="000C3B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47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C3B8D" w:rsidRPr="00970478" w:rsidRDefault="000C3B8D" w:rsidP="000C3B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478">
              <w:rPr>
                <w:rFonts w:ascii="Times New Roman" w:hAnsi="Times New Roman" w:cs="Times New Roman"/>
                <w:sz w:val="16"/>
                <w:szCs w:val="16"/>
              </w:rPr>
              <w:t>з/п</w:t>
            </w:r>
          </w:p>
        </w:tc>
        <w:tc>
          <w:tcPr>
            <w:tcW w:w="1985" w:type="dxa"/>
          </w:tcPr>
          <w:p w:rsidR="000C3B8D" w:rsidRPr="00970478" w:rsidRDefault="000C3B8D" w:rsidP="000C3B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478">
              <w:rPr>
                <w:rFonts w:ascii="Times New Roman" w:hAnsi="Times New Roman" w:cs="Times New Roman"/>
                <w:sz w:val="16"/>
                <w:szCs w:val="16"/>
              </w:rPr>
              <w:t>КПКВК</w:t>
            </w:r>
          </w:p>
          <w:p w:rsidR="000C3B8D" w:rsidRPr="00970478" w:rsidRDefault="000C3B8D" w:rsidP="000C3B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478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6237" w:type="dxa"/>
          </w:tcPr>
          <w:p w:rsidR="000C3B8D" w:rsidRPr="00970478" w:rsidRDefault="000C3B8D" w:rsidP="000C3B8D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70478">
              <w:rPr>
                <w:rFonts w:ascii="Times New Roman" w:hAnsi="Times New Roman" w:cs="Times New Roman"/>
                <w:sz w:val="16"/>
                <w:szCs w:val="16"/>
              </w:rPr>
              <w:t>Назва бюджетної програми</w:t>
            </w:r>
            <w:r w:rsidRPr="009704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34" w:type="dxa"/>
          </w:tcPr>
          <w:p w:rsidR="000C3B8D" w:rsidRPr="00970478" w:rsidRDefault="004A7247" w:rsidP="000C3B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478">
              <w:rPr>
                <w:rFonts w:ascii="Times New Roman" w:hAnsi="Times New Roman" w:cs="Times New Roman"/>
                <w:sz w:val="16"/>
                <w:szCs w:val="16"/>
              </w:rPr>
              <w:t>Пояснення щодо причин низь</w:t>
            </w:r>
            <w:r w:rsidR="000C3B8D" w:rsidRPr="00970478">
              <w:rPr>
                <w:rFonts w:ascii="Times New Roman" w:hAnsi="Times New Roman" w:cs="Times New Roman"/>
                <w:sz w:val="16"/>
                <w:szCs w:val="16"/>
              </w:rPr>
              <w:t>кої ефективності, визначення факторів через які не досягнуто запланованих результатів</w:t>
            </w:r>
          </w:p>
        </w:tc>
      </w:tr>
      <w:tr w:rsidR="00970478" w:rsidTr="000C3B8D">
        <w:tc>
          <w:tcPr>
            <w:tcW w:w="704" w:type="dxa"/>
          </w:tcPr>
          <w:p w:rsidR="00970478" w:rsidRPr="003853AB" w:rsidRDefault="00970478" w:rsidP="001E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70478" w:rsidRPr="003853AB" w:rsidRDefault="00970478" w:rsidP="00364926">
            <w:pPr>
              <w:rPr>
                <w:rFonts w:ascii="Times New Roman" w:hAnsi="Times New Roman"/>
                <w:sz w:val="24"/>
                <w:szCs w:val="24"/>
              </w:rPr>
            </w:pPr>
            <w:r w:rsidRPr="003853AB">
              <w:rPr>
                <w:rFonts w:ascii="Times New Roman" w:hAnsi="Times New Roman"/>
                <w:sz w:val="24"/>
                <w:szCs w:val="24"/>
              </w:rPr>
              <w:t>0216086</w:t>
            </w:r>
          </w:p>
        </w:tc>
        <w:tc>
          <w:tcPr>
            <w:tcW w:w="6237" w:type="dxa"/>
          </w:tcPr>
          <w:p w:rsidR="00970478" w:rsidRPr="003853AB" w:rsidRDefault="00970478" w:rsidP="00364926">
            <w:pPr>
              <w:rPr>
                <w:rFonts w:ascii="Times New Roman" w:hAnsi="Times New Roman"/>
                <w:sz w:val="24"/>
                <w:szCs w:val="24"/>
              </w:rPr>
            </w:pPr>
            <w:r w:rsidRPr="003853AB">
              <w:rPr>
                <w:rFonts w:ascii="Times New Roman" w:hAnsi="Times New Roman"/>
                <w:sz w:val="24"/>
                <w:szCs w:val="24"/>
              </w:rPr>
              <w:t>Інша діяльність щодо забезпечення житлом громадян</w:t>
            </w:r>
          </w:p>
        </w:tc>
        <w:tc>
          <w:tcPr>
            <w:tcW w:w="5634" w:type="dxa"/>
          </w:tcPr>
          <w:p w:rsidR="00970478" w:rsidRPr="003853AB" w:rsidRDefault="00B30794" w:rsidP="004978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Проведений аналіз результативних показників бюджетної програми та факторів, які мали негативний вплив </w:t>
            </w:r>
            <w:r w:rsidR="00497851">
              <w:rPr>
                <w:rFonts w:ascii="Times New Roman" w:hAnsi="Times New Roman" w:cs="Times New Roman"/>
                <w:i/>
                <w:sz w:val="24"/>
                <w:szCs w:val="24"/>
              </w:rPr>
              <w:t>на виконання бюджетної програми</w:t>
            </w:r>
            <w:r w:rsidRPr="00385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показав, що внутрішні фактори (на які головний розпорядник міг впливати) відсутні. Зовнішні фактори (на які головний розпорядник не мі</w:t>
            </w:r>
            <w:r w:rsidR="00497851">
              <w:rPr>
                <w:rFonts w:ascii="Times New Roman" w:hAnsi="Times New Roman" w:cs="Times New Roman"/>
                <w:i/>
                <w:sz w:val="24"/>
                <w:szCs w:val="24"/>
              </w:rPr>
              <w:t>г впливати) виявились причинами</w:t>
            </w:r>
            <w:r w:rsidRPr="00385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через які не досягнуто запланованих результатів:</w:t>
            </w:r>
            <w:r w:rsidR="003853AB" w:rsidRPr="00385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відс</w:t>
            </w:r>
            <w:r w:rsidR="004978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утність запланованих результатів </w:t>
            </w:r>
            <w:r w:rsidR="003853AB" w:rsidRPr="00385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 зв’язку з тим</w:t>
            </w:r>
            <w:r w:rsidR="0049785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3853AB" w:rsidRPr="00385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що кошти планувалися від плати за оренду соціального житла  </w:t>
            </w:r>
            <w:r w:rsidR="00497851">
              <w:rPr>
                <w:rFonts w:ascii="Times New Roman" w:hAnsi="Times New Roman" w:cs="Times New Roman"/>
                <w:i/>
                <w:sz w:val="24"/>
                <w:szCs w:val="24"/>
              </w:rPr>
              <w:t>по спеціальному фонду.</w:t>
            </w:r>
            <w:r w:rsidR="003853AB" w:rsidRPr="00385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Основним чинником впливу на показники якості та ефективності є  відсутність за рік звернення даної категорії громадян району</w:t>
            </w:r>
            <w:r w:rsidR="0092024B">
              <w:rPr>
                <w:rFonts w:ascii="Times New Roman" w:hAnsi="Times New Roman" w:cs="Times New Roman"/>
                <w:i/>
                <w:sz w:val="24"/>
                <w:szCs w:val="24"/>
              </w:rPr>
              <w:t>, що й призвело до відсутності надходжень від орендної плати.</w:t>
            </w:r>
          </w:p>
        </w:tc>
      </w:tr>
    </w:tbl>
    <w:p w:rsidR="000C3B8D" w:rsidRDefault="000C3B8D" w:rsidP="00CD0D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Pr="000C3B8D">
        <w:rPr>
          <w:rFonts w:ascii="Times New Roman" w:hAnsi="Times New Roman" w:cs="Times New Roman"/>
          <w:vertAlign w:val="superscript"/>
        </w:rPr>
        <w:t xml:space="preserve"> </w:t>
      </w:r>
      <w:r w:rsidRPr="000C3B8D">
        <w:rPr>
          <w:rFonts w:ascii="Times New Roman" w:hAnsi="Times New Roman" w:cs="Times New Roman"/>
        </w:rPr>
        <w:t>Зазначаються усі програми</w:t>
      </w:r>
      <w:r>
        <w:rPr>
          <w:rFonts w:ascii="Times New Roman" w:hAnsi="Times New Roman" w:cs="Times New Roman"/>
        </w:rPr>
        <w:t>, які мають низьку ефективність</w:t>
      </w:r>
    </w:p>
    <w:p w:rsidR="003853AB" w:rsidRDefault="003853AB" w:rsidP="00CD0D52">
      <w:pPr>
        <w:rPr>
          <w:rFonts w:ascii="Times New Roman" w:hAnsi="Times New Roman" w:cs="Times New Roman"/>
        </w:rPr>
      </w:pPr>
    </w:p>
    <w:p w:rsidR="000C3B8D" w:rsidRDefault="000C3B8D" w:rsidP="000C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Керівник установи головного розпорядника </w:t>
      </w:r>
    </w:p>
    <w:p w:rsidR="006E18D6" w:rsidRDefault="000C3B8D" w:rsidP="000C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бюджетних коштів</w:t>
      </w:r>
      <w:r w:rsidR="006E18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2649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18D6">
        <w:rPr>
          <w:rFonts w:ascii="Times New Roman" w:hAnsi="Times New Roman" w:cs="Times New Roman"/>
          <w:sz w:val="28"/>
          <w:szCs w:val="28"/>
        </w:rPr>
        <w:t xml:space="preserve"> _____________________                     </w:t>
      </w:r>
      <w:r w:rsidR="006C4EF8">
        <w:rPr>
          <w:rFonts w:ascii="Times New Roman" w:hAnsi="Times New Roman" w:cs="Times New Roman"/>
          <w:sz w:val="28"/>
          <w:szCs w:val="28"/>
          <w:u w:val="single"/>
        </w:rPr>
        <w:t xml:space="preserve">Сергій </w:t>
      </w:r>
      <w:proofErr w:type="spellStart"/>
      <w:r w:rsidR="006C64C4">
        <w:rPr>
          <w:rFonts w:ascii="Times New Roman" w:hAnsi="Times New Roman" w:cs="Times New Roman"/>
          <w:sz w:val="28"/>
          <w:szCs w:val="28"/>
          <w:u w:val="single"/>
        </w:rPr>
        <w:t>Жеребило</w:t>
      </w:r>
      <w:proofErr w:type="spellEnd"/>
    </w:p>
    <w:p w:rsidR="00B30794" w:rsidRDefault="006E18D6" w:rsidP="006E18D6">
      <w:pPr>
        <w:tabs>
          <w:tab w:val="left" w:pos="1240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12649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C64C4">
        <w:rPr>
          <w:rFonts w:ascii="Times New Roman" w:hAnsi="Times New Roman"/>
          <w:sz w:val="16"/>
          <w:szCs w:val="16"/>
        </w:rPr>
        <w:t xml:space="preserve">(підпис)                                     </w:t>
      </w:r>
      <w:r w:rsidR="006C64C4">
        <w:rPr>
          <w:rFonts w:ascii="Times New Roman" w:hAnsi="Times New Roman"/>
          <w:sz w:val="16"/>
          <w:szCs w:val="16"/>
        </w:rPr>
        <w:t xml:space="preserve">                       </w:t>
      </w:r>
      <w:r w:rsidRPr="006C64C4">
        <w:rPr>
          <w:rFonts w:ascii="Times New Roman" w:hAnsi="Times New Roman"/>
          <w:sz w:val="16"/>
          <w:szCs w:val="16"/>
        </w:rPr>
        <w:t xml:space="preserve">                            (ініціали та прізвище)</w:t>
      </w:r>
    </w:p>
    <w:p w:rsidR="00B30794" w:rsidRPr="00B30794" w:rsidRDefault="00B30794" w:rsidP="00B30794">
      <w:pPr>
        <w:rPr>
          <w:rFonts w:ascii="Times New Roman" w:hAnsi="Times New Roman" w:cs="Times New Roman"/>
          <w:sz w:val="16"/>
          <w:szCs w:val="16"/>
        </w:rPr>
      </w:pPr>
    </w:p>
    <w:p w:rsidR="00B30794" w:rsidRPr="00B30794" w:rsidRDefault="00B30794" w:rsidP="00B30794">
      <w:pPr>
        <w:rPr>
          <w:rFonts w:ascii="Times New Roman" w:hAnsi="Times New Roman" w:cs="Times New Roman"/>
          <w:sz w:val="16"/>
          <w:szCs w:val="16"/>
        </w:rPr>
      </w:pPr>
    </w:p>
    <w:sectPr w:rsidR="00B30794" w:rsidRPr="00B30794" w:rsidSect="006C4EF8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B4519"/>
    <w:multiLevelType w:val="hybridMultilevel"/>
    <w:tmpl w:val="77568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367"/>
    <w:rsid w:val="000202C8"/>
    <w:rsid w:val="00024C91"/>
    <w:rsid w:val="00036AB2"/>
    <w:rsid w:val="00072943"/>
    <w:rsid w:val="000B2976"/>
    <w:rsid w:val="000C3B8D"/>
    <w:rsid w:val="00126498"/>
    <w:rsid w:val="00144375"/>
    <w:rsid w:val="00151FA4"/>
    <w:rsid w:val="00191B7A"/>
    <w:rsid w:val="001E4259"/>
    <w:rsid w:val="001E4E4B"/>
    <w:rsid w:val="00203CF4"/>
    <w:rsid w:val="00231B19"/>
    <w:rsid w:val="00253D4C"/>
    <w:rsid w:val="00267341"/>
    <w:rsid w:val="00277266"/>
    <w:rsid w:val="00322C5D"/>
    <w:rsid w:val="00325A9C"/>
    <w:rsid w:val="00354DF6"/>
    <w:rsid w:val="003853AB"/>
    <w:rsid w:val="003E5E55"/>
    <w:rsid w:val="00411125"/>
    <w:rsid w:val="00483998"/>
    <w:rsid w:val="00497851"/>
    <w:rsid w:val="004A3A8A"/>
    <w:rsid w:val="004A7247"/>
    <w:rsid w:val="004D5A01"/>
    <w:rsid w:val="00507AAF"/>
    <w:rsid w:val="00513C86"/>
    <w:rsid w:val="00524761"/>
    <w:rsid w:val="00637F8B"/>
    <w:rsid w:val="006470ED"/>
    <w:rsid w:val="00647533"/>
    <w:rsid w:val="00655507"/>
    <w:rsid w:val="00657FE7"/>
    <w:rsid w:val="006B28AC"/>
    <w:rsid w:val="006B53FB"/>
    <w:rsid w:val="006C4EF8"/>
    <w:rsid w:val="006C64C4"/>
    <w:rsid w:val="006E18D6"/>
    <w:rsid w:val="006E4112"/>
    <w:rsid w:val="0072205D"/>
    <w:rsid w:val="007262EB"/>
    <w:rsid w:val="008367EA"/>
    <w:rsid w:val="0085415D"/>
    <w:rsid w:val="00855F0A"/>
    <w:rsid w:val="00871B67"/>
    <w:rsid w:val="008F22D0"/>
    <w:rsid w:val="0092024B"/>
    <w:rsid w:val="00970478"/>
    <w:rsid w:val="00A00BE8"/>
    <w:rsid w:val="00A5528D"/>
    <w:rsid w:val="00A56C67"/>
    <w:rsid w:val="00A76FBD"/>
    <w:rsid w:val="00A84BA2"/>
    <w:rsid w:val="00AA7B6A"/>
    <w:rsid w:val="00AC4D0B"/>
    <w:rsid w:val="00AE12E7"/>
    <w:rsid w:val="00B03D84"/>
    <w:rsid w:val="00B30794"/>
    <w:rsid w:val="00B3678E"/>
    <w:rsid w:val="00BC40A3"/>
    <w:rsid w:val="00BE6D27"/>
    <w:rsid w:val="00C52D2E"/>
    <w:rsid w:val="00C64A05"/>
    <w:rsid w:val="00CD0D52"/>
    <w:rsid w:val="00D446C4"/>
    <w:rsid w:val="00D5558D"/>
    <w:rsid w:val="00D95494"/>
    <w:rsid w:val="00E00765"/>
    <w:rsid w:val="00E27367"/>
    <w:rsid w:val="00F07558"/>
    <w:rsid w:val="00F928F6"/>
    <w:rsid w:val="00FC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1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D52"/>
    <w:pPr>
      <w:ind w:left="720"/>
      <w:contextualSpacing/>
    </w:pPr>
  </w:style>
  <w:style w:type="table" w:styleId="a4">
    <w:name w:val="Table Grid"/>
    <w:basedOn w:val="a1"/>
    <w:uiPriority w:val="39"/>
    <w:rsid w:val="00CD0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0C3B8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3B8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3B8D"/>
    <w:rPr>
      <w:sz w:val="20"/>
      <w:szCs w:val="20"/>
      <w:lang w:val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C3B8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C3B8D"/>
    <w:rPr>
      <w:b/>
      <w:bCs/>
      <w:sz w:val="20"/>
      <w:szCs w:val="20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C3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3B8D"/>
    <w:rPr>
      <w:rFonts w:ascii="Segoe UI" w:hAnsi="Segoe UI" w:cs="Segoe UI"/>
      <w:sz w:val="18"/>
      <w:szCs w:val="18"/>
      <w:lang w:val="uk-UA"/>
    </w:rPr>
  </w:style>
  <w:style w:type="character" w:styleId="ac">
    <w:name w:val="Hyperlink"/>
    <w:basedOn w:val="a0"/>
    <w:uiPriority w:val="99"/>
    <w:semiHidden/>
    <w:unhideWhenUsed/>
    <w:rsid w:val="008F22D0"/>
    <w:rPr>
      <w:color w:val="0000FF"/>
      <w:u w:val="single"/>
    </w:rPr>
  </w:style>
  <w:style w:type="paragraph" w:styleId="ad">
    <w:name w:val="Normal (Web)"/>
    <w:aliases w:val="Обычный (Web)"/>
    <w:basedOn w:val="a"/>
    <w:unhideWhenUsed/>
    <w:rsid w:val="0083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2020-04-03T13:15:00Z</cp:lastPrinted>
  <dcterms:created xsi:type="dcterms:W3CDTF">2018-02-14T08:28:00Z</dcterms:created>
  <dcterms:modified xsi:type="dcterms:W3CDTF">2021-03-26T13:10:00Z</dcterms:modified>
</cp:coreProperties>
</file>