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325" w:rsidRDefault="00700325">
      <w:pPr>
        <w:pStyle w:val="a3"/>
        <w:jc w:val="both"/>
      </w:pPr>
      <w:bookmarkStart w:id="0" w:name="_GoBack"/>
      <w:bookmarkEnd w:id="0"/>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700325">
        <w:trPr>
          <w:tblCellSpacing w:w="22" w:type="dxa"/>
        </w:trPr>
        <w:tc>
          <w:tcPr>
            <w:tcW w:w="5000" w:type="pct"/>
            <w:hideMark/>
          </w:tcPr>
          <w:p w:rsidR="00700325" w:rsidRDefault="00D46A14">
            <w:pPr>
              <w:pStyle w:val="a3"/>
            </w:pPr>
            <w:r>
              <w:t>ЗАТВЕРДЖЕНО</w:t>
            </w:r>
            <w:r>
              <w:br/>
            </w:r>
            <w:proofErr w:type="gramStart"/>
            <w:r>
              <w:t>Р</w:t>
            </w:r>
            <w:proofErr w:type="gramEnd"/>
            <w:r>
              <w:t>ішення Національної комісії, що здійснює державне регулювання у сфері зв'язку та інформатизації</w:t>
            </w:r>
            <w:r>
              <w:br/>
              <w:t>20 листопада 2018 року N 597</w:t>
            </w:r>
          </w:p>
        </w:tc>
      </w:tr>
    </w:tbl>
    <w:p w:rsidR="00700325" w:rsidRDefault="00D46A14">
      <w:pPr>
        <w:pStyle w:val="a3"/>
        <w:jc w:val="both"/>
      </w:pPr>
      <w:r>
        <w:br w:type="textWrapping" w:clear="all"/>
      </w:r>
    </w:p>
    <w:p w:rsidR="00700325" w:rsidRDefault="00D46A14">
      <w:pPr>
        <w:pStyle w:val="a3"/>
        <w:jc w:val="center"/>
      </w:pPr>
      <w:r>
        <w:rPr>
          <w:b/>
          <w:bCs/>
        </w:rPr>
        <w:t>ЗВІТНІСТЬ</w:t>
      </w:r>
    </w:p>
    <w:p w:rsidR="00700325" w:rsidRDefault="00D46A14">
      <w:pPr>
        <w:pStyle w:val="3"/>
        <w:jc w:val="center"/>
        <w:rPr>
          <w:rFonts w:eastAsia="Times New Roman"/>
        </w:rPr>
      </w:pPr>
      <w:r>
        <w:rPr>
          <w:rFonts w:eastAsia="Times New Roman"/>
        </w:rPr>
        <w:t xml:space="preserve">Рухомий (мобільний) зв'язок та послуги передачі даних, </w:t>
      </w:r>
      <w:proofErr w:type="gramStart"/>
      <w:r>
        <w:rPr>
          <w:rFonts w:eastAsia="Times New Roman"/>
        </w:rPr>
        <w:t>у</w:t>
      </w:r>
      <w:proofErr w:type="gramEnd"/>
      <w:r>
        <w:rPr>
          <w:rFonts w:eastAsia="Times New Roman"/>
        </w:rPr>
        <w:t xml:space="preserve"> </w:t>
      </w:r>
      <w:proofErr w:type="gramStart"/>
      <w:r>
        <w:rPr>
          <w:rFonts w:eastAsia="Times New Roman"/>
        </w:rPr>
        <w:t>тому</w:t>
      </w:r>
      <w:proofErr w:type="gramEnd"/>
      <w:r>
        <w:rPr>
          <w:rFonts w:eastAsia="Times New Roman"/>
        </w:rPr>
        <w:t xml:space="preserve"> числі доступу до мережі Інтернет</w:t>
      </w:r>
    </w:p>
    <w:p w:rsidR="00700325" w:rsidRDefault="00D46A14">
      <w:pPr>
        <w:pStyle w:val="a3"/>
        <w:jc w:val="center"/>
      </w:pPr>
      <w:proofErr w:type="gramStart"/>
      <w:r>
        <w:rPr>
          <w:b/>
          <w:bCs/>
        </w:rPr>
        <w:t>за</w:t>
      </w:r>
      <w:proofErr w:type="gramEnd"/>
      <w:r>
        <w:rPr>
          <w:b/>
          <w:bCs/>
        </w:rPr>
        <w:t xml:space="preserve"> січень - ______________ 20___ року</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287"/>
        <w:gridCol w:w="4213"/>
      </w:tblGrid>
      <w:tr w:rsidR="00700325">
        <w:trPr>
          <w:tblCellSpacing w:w="22" w:type="dxa"/>
          <w:jc w:val="center"/>
        </w:trPr>
        <w:tc>
          <w:tcPr>
            <w:tcW w:w="3000" w:type="pct"/>
            <w:hideMark/>
          </w:tcPr>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433"/>
              <w:gridCol w:w="2712"/>
            </w:tblGrid>
            <w:tr w:rsidR="00700325">
              <w:trPr>
                <w:tblCellSpacing w:w="22" w:type="dxa"/>
                <w:jc w:val="center"/>
              </w:trPr>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t> </w:t>
                  </w:r>
                  <w:r>
                    <w:br/>
                    <w:t>Подають</w:t>
                  </w:r>
                  <w:r>
                    <w:br/>
                    <w:t> </w:t>
                  </w:r>
                </w:p>
              </w:tc>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t>Терміни подання</w:t>
                  </w:r>
                </w:p>
              </w:tc>
            </w:tr>
            <w:tr w:rsidR="00700325">
              <w:trPr>
                <w:tblCellSpacing w:w="22" w:type="dxa"/>
                <w:jc w:val="center"/>
              </w:trPr>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t> </w:t>
                  </w:r>
                  <w:r>
                    <w:br/>
                    <w:t>Оператори, провайдери телекомунікацій - Національній комісії, що здійснює державне регулювання у сфері зв'язку та інформатизації</w:t>
                  </w:r>
                  <w:r>
                    <w:br/>
                    <w:t>  </w:t>
                  </w:r>
                </w:p>
              </w:tc>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t xml:space="preserve">не </w:t>
                  </w:r>
                  <w:proofErr w:type="gramStart"/>
                  <w:r>
                    <w:t>п</w:t>
                  </w:r>
                  <w:proofErr w:type="gramEnd"/>
                  <w:r>
                    <w:t>ізніше 25 числа місяця, наступного за звітним періодом</w:t>
                  </w:r>
                </w:p>
              </w:tc>
            </w:tr>
          </w:tbl>
          <w:p w:rsidR="00700325" w:rsidRDefault="00D46A14">
            <w:pPr>
              <w:rPr>
                <w:rFonts w:eastAsia="Times New Roman"/>
              </w:rPr>
            </w:pPr>
            <w:r>
              <w:rPr>
                <w:rFonts w:eastAsia="Times New Roman"/>
              </w:rPr>
              <w:br w:type="textWrapping" w:clear="all"/>
            </w:r>
          </w:p>
          <w:p w:rsidR="00700325" w:rsidRDefault="00D46A14">
            <w:pPr>
              <w:pStyle w:val="a3"/>
              <w:jc w:val="center"/>
            </w:pPr>
            <w:r>
              <w:t> </w:t>
            </w:r>
          </w:p>
        </w:tc>
        <w:tc>
          <w:tcPr>
            <w:tcW w:w="2000" w:type="pct"/>
            <w:hideMark/>
          </w:tcPr>
          <w:p w:rsidR="00700325" w:rsidRDefault="00D46A14">
            <w:pPr>
              <w:pStyle w:val="a3"/>
              <w:jc w:val="center"/>
            </w:pPr>
            <w:r>
              <w:t>Форма N 1-К</w:t>
            </w:r>
            <w:r>
              <w:br/>
              <w:t>(квартальна)</w:t>
            </w:r>
          </w:p>
          <w:p w:rsidR="00700325" w:rsidRDefault="00D46A14">
            <w:pPr>
              <w:pStyle w:val="a3"/>
              <w:jc w:val="center"/>
            </w:pPr>
            <w:r>
              <w:t>ЗАТВЕРДЖЕНО</w:t>
            </w:r>
          </w:p>
          <w:p w:rsidR="00700325" w:rsidRDefault="00D46A14">
            <w:pPr>
              <w:pStyle w:val="a3"/>
              <w:jc w:val="center"/>
            </w:pPr>
            <w:proofErr w:type="gramStart"/>
            <w:r>
              <w:t>Р</w:t>
            </w:r>
            <w:proofErr w:type="gramEnd"/>
            <w:r>
              <w:t>ішення Національної комісії, що здійснює державне регулювання у сфері зв'язку та інформатизації</w:t>
            </w:r>
            <w:r>
              <w:br/>
              <w:t>20 листопада 2018 року N 597</w:t>
            </w:r>
          </w:p>
          <w:p w:rsidR="00700325" w:rsidRDefault="00D46A14">
            <w:pPr>
              <w:pStyle w:val="a3"/>
              <w:jc w:val="center"/>
            </w:pPr>
            <w:r>
              <w:t>за погодженням з Держстатом</w:t>
            </w:r>
          </w:p>
        </w:tc>
      </w:tr>
    </w:tbl>
    <w:p w:rsidR="0041559B" w:rsidRPr="0041559B" w:rsidRDefault="0041559B" w:rsidP="0041559B">
      <w:pPr>
        <w:shd w:val="clear" w:color="auto" w:fill="FFFFFF"/>
        <w:spacing w:line="360" w:lineRule="atLeast"/>
        <w:jc w:val="center"/>
        <w:rPr>
          <w:rFonts w:ascii="Arial" w:eastAsia="Times New Roman" w:hAnsi="Arial" w:cs="Arial"/>
          <w:color w:val="2A2928"/>
        </w:rPr>
      </w:pPr>
      <w:r w:rsidRPr="0041559B">
        <w:rPr>
          <w:rFonts w:ascii="Arial" w:eastAsia="Times New Roman" w:hAnsi="Arial" w:cs="Arial"/>
          <w:color w:val="2A2928"/>
        </w:rPr>
        <w:t> </w:t>
      </w:r>
      <w:r>
        <w:rPr>
          <w:rFonts w:ascii="Arial" w:eastAsia="Times New Roman" w:hAnsi="Arial" w:cs="Arial"/>
          <w:noProof/>
          <w:color w:val="2A2928"/>
        </w:rPr>
        <w:drawing>
          <wp:inline distT="0" distB="0" distL="0" distR="0">
            <wp:extent cx="5610225" cy="1638300"/>
            <wp:effectExtent l="0" t="0" r="9525" b="0"/>
            <wp:docPr id="4" name="Рисунок 4" descr="http://search.ligazakon.ua/l_flib1.nsf/LookupFiles/Re32930_img_001.gif/$file/Re32930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Re32930_img_001.gif/$file/Re32930_img_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7110" cy="1637390"/>
                    </a:xfrm>
                    <a:prstGeom prst="rect">
                      <a:avLst/>
                    </a:prstGeom>
                    <a:noFill/>
                    <a:ln>
                      <a:noFill/>
                    </a:ln>
                  </pic:spPr>
                </pic:pic>
              </a:graphicData>
            </a:graphic>
          </wp:inline>
        </w:drawing>
      </w:r>
    </w:p>
    <w:p w:rsidR="00700325" w:rsidRDefault="00D46A14">
      <w:pPr>
        <w:pStyle w:val="a3"/>
        <w:jc w:val="center"/>
      </w:pPr>
      <w:r>
        <w:t> </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82"/>
        <w:gridCol w:w="1518"/>
      </w:tblGrid>
      <w:tr w:rsidR="00700325">
        <w:trPr>
          <w:tblCellSpacing w:w="22" w:type="dxa"/>
          <w:jc w:val="center"/>
        </w:trPr>
        <w:tc>
          <w:tcPr>
            <w:tcW w:w="4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t xml:space="preserve">Код за ЄДРПОУ / реєстраційний номер </w:t>
            </w:r>
            <w:proofErr w:type="gramStart"/>
            <w:r>
              <w:t>обл</w:t>
            </w:r>
            <w:proofErr w:type="gramEnd"/>
            <w:r>
              <w:t>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r w:rsidR="00700325">
        <w:trPr>
          <w:tblCellSpacing w:w="22" w:type="dxa"/>
          <w:jc w:val="center"/>
        </w:trPr>
        <w:tc>
          <w:tcPr>
            <w:tcW w:w="4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t>Веб-сайт (за наявності)</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bl>
    <w:p w:rsidR="00700325" w:rsidRDefault="00D46A14">
      <w:pPr>
        <w:pStyle w:val="a3"/>
        <w:jc w:val="center"/>
      </w:pPr>
      <w:r>
        <w:lastRenderedPageBreak/>
        <w:br w:type="textWrapping" w:clear="all"/>
      </w:r>
    </w:p>
    <w:p w:rsidR="00700325" w:rsidRDefault="00D46A14">
      <w:pPr>
        <w:pStyle w:val="a3"/>
        <w:jc w:val="center"/>
      </w:pPr>
      <w:r>
        <w:rPr>
          <w:b/>
          <w:bCs/>
        </w:rPr>
        <w:t>Ідентифікація оператора, провайдера телекомунікацій у Реє</w:t>
      </w:r>
      <w:proofErr w:type="gramStart"/>
      <w:r>
        <w:rPr>
          <w:b/>
          <w:bCs/>
        </w:rPr>
        <w:t>стр</w:t>
      </w:r>
      <w:proofErr w:type="gramEnd"/>
      <w:r>
        <w:rPr>
          <w:b/>
          <w:bCs/>
        </w:rPr>
        <w:t>і операторів, провайдерів телекомунікацій</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09"/>
        <w:gridCol w:w="2831"/>
        <w:gridCol w:w="3060"/>
      </w:tblGrid>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Вид діяльності відповідно до Реєстру операторі</w:t>
            </w:r>
            <w:proofErr w:type="gramStart"/>
            <w:r>
              <w:rPr>
                <w:sz w:val="20"/>
                <w:szCs w:val="20"/>
              </w:rPr>
              <w:t>в</w:t>
            </w:r>
            <w:proofErr w:type="gramEnd"/>
            <w:r>
              <w:rPr>
                <w:sz w:val="20"/>
                <w:szCs w:val="20"/>
              </w:rPr>
              <w:t>, провайдерів телекомунікацій</w:t>
            </w:r>
          </w:p>
        </w:tc>
        <w:tc>
          <w:tcPr>
            <w:tcW w:w="1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xml:space="preserve">Номер та дата </w:t>
            </w:r>
            <w:proofErr w:type="gramStart"/>
            <w:r>
              <w:rPr>
                <w:sz w:val="20"/>
                <w:szCs w:val="20"/>
              </w:rPr>
              <w:t>р</w:t>
            </w:r>
            <w:proofErr w:type="gramEnd"/>
            <w:r>
              <w:rPr>
                <w:sz w:val="20"/>
                <w:szCs w:val="20"/>
              </w:rPr>
              <w:t>ішення НКРЗІ про включення до Реєстру операторів, провайдерів телекомунікацій</w:t>
            </w:r>
          </w:p>
        </w:tc>
        <w:tc>
          <w:tcPr>
            <w:tcW w:w="14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Номер запису в Реє</w:t>
            </w:r>
            <w:proofErr w:type="gramStart"/>
            <w:r>
              <w:rPr>
                <w:sz w:val="20"/>
                <w:szCs w:val="20"/>
              </w:rPr>
              <w:t>стр</w:t>
            </w:r>
            <w:proofErr w:type="gramEnd"/>
            <w:r>
              <w:rPr>
                <w:sz w:val="20"/>
                <w:szCs w:val="20"/>
              </w:rPr>
              <w:t>і операторів, провайдерів телекомунікацій</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3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3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3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c>
          <w:tcPr>
            <w:tcW w:w="1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bl>
    <w:p w:rsidR="00700325" w:rsidRDefault="00D46A14">
      <w:pPr>
        <w:pStyle w:val="a3"/>
        <w:jc w:val="center"/>
      </w:pPr>
      <w:r>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28"/>
        <w:gridCol w:w="5872"/>
      </w:tblGrid>
      <w:tr w:rsidR="00700325">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rPr>
              <w:t>Ідентифікація мереж оператора, провайдера телекомунікацій</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Назва ідентифікатора</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Номер/адреса ідентифікатора</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Призначені номери автономних систем або виділені блоки IP-адреси, у т. ч.:</w:t>
            </w:r>
          </w:p>
        </w:tc>
        <w:tc>
          <w:tcPr>
            <w:tcW w:w="28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t>IPv4</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t> </w:t>
            </w:r>
          </w:p>
        </w:tc>
      </w:tr>
      <w:tr w:rsidR="00700325">
        <w:trPr>
          <w:tblCellSpacing w:w="22" w:type="dxa"/>
          <w:jc w:val="center"/>
        </w:trPr>
        <w:tc>
          <w:tcPr>
            <w:tcW w:w="22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t>IPv6</w:t>
            </w:r>
          </w:p>
        </w:tc>
        <w:tc>
          <w:tcPr>
            <w:tcW w:w="28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t> </w:t>
            </w:r>
          </w:p>
        </w:tc>
      </w:tr>
    </w:tbl>
    <w:p w:rsidR="00700325" w:rsidRDefault="00D46A14">
      <w:pPr>
        <w:pStyle w:val="a3"/>
        <w:jc w:val="center"/>
      </w:pPr>
      <w:r>
        <w:br w:type="textWrapping" w:clear="all"/>
      </w:r>
    </w:p>
    <w:p w:rsidR="00700325" w:rsidRDefault="00D46A14">
      <w:pPr>
        <w:pStyle w:val="a3"/>
        <w:jc w:val="center"/>
      </w:pPr>
      <w:r>
        <w:rPr>
          <w:b/>
          <w:bCs/>
        </w:rPr>
        <w:t xml:space="preserve">Форма звітності N 1-К - Рухомий (мобільний) зв'язок та послуги передачі даних, </w:t>
      </w:r>
      <w:proofErr w:type="gramStart"/>
      <w:r>
        <w:rPr>
          <w:b/>
          <w:bCs/>
        </w:rPr>
        <w:t>у</w:t>
      </w:r>
      <w:proofErr w:type="gramEnd"/>
      <w:r>
        <w:rPr>
          <w:b/>
          <w:bCs/>
        </w:rPr>
        <w:t xml:space="preserve"> </w:t>
      </w:r>
      <w:proofErr w:type="gramStart"/>
      <w:r>
        <w:rPr>
          <w:b/>
          <w:bCs/>
        </w:rPr>
        <w:t>тому</w:t>
      </w:r>
      <w:proofErr w:type="gramEnd"/>
      <w:r>
        <w:rPr>
          <w:b/>
          <w:bCs/>
        </w:rPr>
        <w:t xml:space="preserve"> числі доступу до мережі Інтернет</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88"/>
        <w:gridCol w:w="5698"/>
        <w:gridCol w:w="1175"/>
        <w:gridCol w:w="2739"/>
      </w:tblGrid>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Код рядка</w:t>
            </w:r>
          </w:p>
        </w:tc>
        <w:tc>
          <w:tcPr>
            <w:tcW w:w="27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Показники діяльності оператора, провайдера телекомунікацій</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Одиниці виміру</w:t>
            </w:r>
          </w:p>
        </w:tc>
        <w:tc>
          <w:tcPr>
            <w:tcW w:w="1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Всього</w:t>
            </w:r>
          </w:p>
        </w:tc>
      </w:tr>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А</w:t>
            </w:r>
          </w:p>
        </w:tc>
        <w:tc>
          <w:tcPr>
            <w:tcW w:w="27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Б</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В</w:t>
            </w:r>
          </w:p>
        </w:tc>
        <w:tc>
          <w:tcPr>
            <w:tcW w:w="13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1</w:t>
            </w:r>
          </w:p>
        </w:tc>
      </w:tr>
      <w:tr w:rsidR="00700325">
        <w:trPr>
          <w:tblCellSpacing w:w="22"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I. Загальні показники діяльності</w:t>
            </w:r>
          </w:p>
        </w:tc>
      </w:tr>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1001</w:t>
            </w:r>
          </w:p>
        </w:tc>
        <w:tc>
          <w:tcPr>
            <w:tcW w:w="27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Загальні доходи від надання телекомунікаційних послуг</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13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sz w:val="20"/>
                <w:szCs w:val="20"/>
              </w:rPr>
              <w:t> </w:t>
            </w:r>
          </w:p>
        </w:tc>
      </w:tr>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1002</w:t>
            </w:r>
          </w:p>
        </w:tc>
        <w:tc>
          <w:tcPr>
            <w:tcW w:w="27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 xml:space="preserve">Обсяги капітальних інвестицій </w:t>
            </w:r>
            <w:proofErr w:type="gramStart"/>
            <w:r>
              <w:rPr>
                <w:b/>
                <w:bCs/>
                <w:sz w:val="20"/>
                <w:szCs w:val="20"/>
              </w:rPr>
              <w:t>у</w:t>
            </w:r>
            <w:proofErr w:type="gramEnd"/>
            <w:r>
              <w:rPr>
                <w:b/>
                <w:bCs/>
                <w:sz w:val="20"/>
                <w:szCs w:val="20"/>
              </w:rPr>
              <w:t xml:space="preserve"> сферу телекомунікацій</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13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sz w:val="20"/>
                <w:szCs w:val="20"/>
              </w:rPr>
              <w:t> </w:t>
            </w:r>
          </w:p>
        </w:tc>
      </w:tr>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1003</w:t>
            </w:r>
          </w:p>
        </w:tc>
        <w:tc>
          <w:tcPr>
            <w:tcW w:w="27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Середньооблікова кількість штатних працівникі</w:t>
            </w:r>
            <w:proofErr w:type="gramStart"/>
            <w:r>
              <w:rPr>
                <w:b/>
                <w:bCs/>
                <w:sz w:val="20"/>
                <w:szCs w:val="20"/>
              </w:rPr>
              <w:t>в</w:t>
            </w:r>
            <w:proofErr w:type="gramEnd"/>
            <w:r>
              <w:rPr>
                <w:b/>
                <w:bCs/>
                <w:sz w:val="20"/>
                <w:szCs w:val="20"/>
              </w:rPr>
              <w:t xml:space="preserve"> (у ці</w:t>
            </w:r>
            <w:proofErr w:type="gramStart"/>
            <w:r>
              <w:rPr>
                <w:b/>
                <w:bCs/>
                <w:sz w:val="20"/>
                <w:szCs w:val="20"/>
              </w:rPr>
              <w:t>лих</w:t>
            </w:r>
            <w:proofErr w:type="gramEnd"/>
            <w:r>
              <w:rPr>
                <w:b/>
                <w:bCs/>
                <w:sz w:val="20"/>
                <w:szCs w:val="20"/>
              </w:rPr>
              <w:t xml:space="preserve"> числах)</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proofErr w:type="gramStart"/>
            <w:r>
              <w:rPr>
                <w:b/>
                <w:bCs/>
                <w:sz w:val="20"/>
                <w:szCs w:val="20"/>
              </w:rPr>
              <w:t>осіб</w:t>
            </w:r>
            <w:proofErr w:type="gramEnd"/>
          </w:p>
        </w:tc>
        <w:tc>
          <w:tcPr>
            <w:tcW w:w="13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sz w:val="20"/>
                <w:szCs w:val="20"/>
              </w:rPr>
              <w:t> </w:t>
            </w:r>
          </w:p>
        </w:tc>
      </w:tr>
      <w:tr w:rsidR="00700325">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1004</w:t>
            </w:r>
          </w:p>
        </w:tc>
        <w:tc>
          <w:tcPr>
            <w:tcW w:w="27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 xml:space="preserve">з </w:t>
            </w:r>
            <w:proofErr w:type="gramStart"/>
            <w:r>
              <w:rPr>
                <w:sz w:val="20"/>
                <w:szCs w:val="20"/>
              </w:rPr>
              <w:t>них ж</w:t>
            </w:r>
            <w:proofErr w:type="gramEnd"/>
            <w:r>
              <w:rPr>
                <w:sz w:val="20"/>
                <w:szCs w:val="20"/>
              </w:rPr>
              <w:t>інок</w:t>
            </w:r>
          </w:p>
        </w:tc>
        <w:tc>
          <w:tcPr>
            <w:tcW w:w="5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proofErr w:type="gramStart"/>
            <w:r>
              <w:rPr>
                <w:b/>
                <w:bCs/>
                <w:sz w:val="20"/>
                <w:szCs w:val="20"/>
              </w:rPr>
              <w:t>осіб</w:t>
            </w:r>
            <w:proofErr w:type="gramEnd"/>
          </w:p>
        </w:tc>
        <w:tc>
          <w:tcPr>
            <w:tcW w:w="130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sz w:val="20"/>
                <w:szCs w:val="20"/>
              </w:rPr>
              <w:t> </w:t>
            </w:r>
          </w:p>
        </w:tc>
      </w:tr>
    </w:tbl>
    <w:p w:rsidR="00700325" w:rsidRDefault="00D46A14">
      <w:pPr>
        <w:pStyle w:val="a3"/>
        <w:jc w:val="center"/>
      </w:pPr>
      <w:r>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3"/>
        <w:gridCol w:w="5571"/>
        <w:gridCol w:w="965"/>
        <w:gridCol w:w="1375"/>
        <w:gridCol w:w="1806"/>
      </w:tblGrid>
      <w:tr w:rsidR="00700325">
        <w:trPr>
          <w:tblCellSpacing w:w="22" w:type="dxa"/>
          <w:jc w:val="center"/>
        </w:trPr>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Код рядка</w:t>
            </w:r>
          </w:p>
        </w:tc>
        <w:tc>
          <w:tcPr>
            <w:tcW w:w="2700" w:type="pct"/>
            <w:vMerge w:val="restar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Показники діяльності оператора, провайдера телекомунікацій</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Одиниці виміру</w:t>
            </w:r>
          </w:p>
        </w:tc>
        <w:tc>
          <w:tcPr>
            <w:tcW w:w="1500" w:type="pct"/>
            <w:gridSpan w:val="2"/>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Споживачам, операторам, провайдерам телекомунікацій</w:t>
            </w:r>
          </w:p>
        </w:tc>
      </w:tr>
      <w:tr w:rsidR="00700325">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0325" w:rsidRDefault="00700325"/>
        </w:tc>
        <w:tc>
          <w:tcPr>
            <w:tcW w:w="0" w:type="auto"/>
            <w:vMerge/>
            <w:tcBorders>
              <w:top w:val="outset" w:sz="6" w:space="0" w:color="auto"/>
              <w:left w:val="outset" w:sz="6" w:space="0" w:color="auto"/>
              <w:bottom w:val="outset" w:sz="6" w:space="0" w:color="auto"/>
              <w:right w:val="outset" w:sz="6" w:space="0" w:color="auto"/>
            </w:tcBorders>
            <w:vAlign w:val="center"/>
            <w:hideMark/>
          </w:tcPr>
          <w:p w:rsidR="00700325" w:rsidRDefault="00700325"/>
        </w:tc>
        <w:tc>
          <w:tcPr>
            <w:tcW w:w="0" w:type="auto"/>
            <w:vMerge/>
            <w:tcBorders>
              <w:top w:val="outset" w:sz="6" w:space="0" w:color="auto"/>
              <w:left w:val="outset" w:sz="6" w:space="0" w:color="auto"/>
              <w:bottom w:val="outset" w:sz="6" w:space="0" w:color="auto"/>
              <w:right w:val="outset" w:sz="6" w:space="0" w:color="auto"/>
            </w:tcBorders>
            <w:vAlign w:val="center"/>
            <w:hideMark/>
          </w:tcPr>
          <w:p w:rsidR="00700325" w:rsidRDefault="00700325"/>
        </w:tc>
        <w:tc>
          <w:tcPr>
            <w:tcW w:w="6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Всього</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 xml:space="preserve">з них фізичним </w:t>
            </w:r>
            <w:r>
              <w:rPr>
                <w:b/>
                <w:bCs/>
                <w:sz w:val="20"/>
                <w:szCs w:val="20"/>
              </w:rPr>
              <w:lastRenderedPageBreak/>
              <w:t>особам, у т.ч. незареєстрованим абонентам</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lastRenderedPageBreak/>
              <w:t>А</w:t>
            </w:r>
          </w:p>
        </w:tc>
        <w:tc>
          <w:tcPr>
            <w:tcW w:w="2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Б</w:t>
            </w:r>
          </w:p>
        </w:tc>
        <w:tc>
          <w:tcPr>
            <w:tcW w:w="4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В</w:t>
            </w:r>
          </w:p>
        </w:tc>
        <w:tc>
          <w:tcPr>
            <w:tcW w:w="65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1</w:t>
            </w:r>
          </w:p>
        </w:tc>
        <w:tc>
          <w:tcPr>
            <w:tcW w:w="850" w:type="pct"/>
            <w:tcBorders>
              <w:top w:val="outset" w:sz="6" w:space="0" w:color="auto"/>
              <w:left w:val="outset" w:sz="6" w:space="0" w:color="auto"/>
              <w:bottom w:val="outset" w:sz="6" w:space="0" w:color="auto"/>
              <w:right w:val="outset" w:sz="6" w:space="0" w:color="auto"/>
            </w:tcBorders>
            <w:hideMark/>
          </w:tcPr>
          <w:p w:rsidR="00700325" w:rsidRDefault="00D46A14">
            <w:pPr>
              <w:pStyle w:val="a3"/>
              <w:jc w:val="center"/>
            </w:pPr>
            <w:r>
              <w:rPr>
                <w:b/>
                <w:bCs/>
                <w:sz w:val="20"/>
                <w:szCs w:val="20"/>
              </w:rPr>
              <w:t>2</w:t>
            </w:r>
          </w:p>
        </w:tc>
      </w:tr>
      <w:tr w:rsidR="00700325">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II. Послуги рухомого (мобільного) зв'язку, послуги операторам, провайдерам телекомунікацій, голосова телефонія</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1101</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голосової телефонії, споживачам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1102</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 xml:space="preserve">з них </w:t>
            </w:r>
            <w:proofErr w:type="gramStart"/>
            <w:r>
              <w:rPr>
                <w:sz w:val="20"/>
                <w:szCs w:val="20"/>
              </w:rPr>
              <w:t>м</w:t>
            </w:r>
            <w:proofErr w:type="gramEnd"/>
            <w:r>
              <w:rPr>
                <w:sz w:val="20"/>
                <w:szCs w:val="20"/>
              </w:rPr>
              <w:t>іжнародного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1103</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передачі SMS-, MMS-повідомлень, споживачам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1104</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міжнародного роумінгу, споживачам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1105</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Інші доходи від надання послуг рухомого (мобільного) зв'язку, споживачам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1106</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з перенесення номерів, споживачам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1107</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операторам, провайдерам телекомунікацій, усього,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1108</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початку з'єднання</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1109</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термінації міжнародного трафі</w:t>
            </w:r>
            <w:proofErr w:type="gramStart"/>
            <w:r>
              <w:rPr>
                <w:sz w:val="20"/>
                <w:szCs w:val="20"/>
              </w:rPr>
              <w:t>ку на</w:t>
            </w:r>
            <w:proofErr w:type="gramEnd"/>
            <w:r>
              <w:rPr>
                <w:sz w:val="20"/>
                <w:szCs w:val="20"/>
              </w:rPr>
              <w:t xml:space="preserve"> власній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1110</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термінації міжміського трафі</w:t>
            </w:r>
            <w:proofErr w:type="gramStart"/>
            <w:r>
              <w:rPr>
                <w:sz w:val="20"/>
                <w:szCs w:val="20"/>
              </w:rPr>
              <w:t>ку на</w:t>
            </w:r>
            <w:proofErr w:type="gramEnd"/>
            <w:r>
              <w:rPr>
                <w:sz w:val="20"/>
                <w:szCs w:val="20"/>
              </w:rPr>
              <w:t xml:space="preserve"> власній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1111</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термінації мобільного трафі</w:t>
            </w:r>
            <w:proofErr w:type="gramStart"/>
            <w:r>
              <w:rPr>
                <w:sz w:val="20"/>
                <w:szCs w:val="20"/>
              </w:rPr>
              <w:t>ку на</w:t>
            </w:r>
            <w:proofErr w:type="gramEnd"/>
            <w:r>
              <w:rPr>
                <w:sz w:val="20"/>
                <w:szCs w:val="20"/>
              </w:rPr>
              <w:t xml:space="preserve"> власній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1112</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транзиту трафі</w:t>
            </w:r>
            <w:proofErr w:type="gramStart"/>
            <w:r>
              <w:rPr>
                <w:sz w:val="20"/>
                <w:szCs w:val="20"/>
              </w:rPr>
              <w:t>ку на</w:t>
            </w:r>
            <w:proofErr w:type="gramEnd"/>
            <w:r>
              <w:rPr>
                <w:sz w:val="20"/>
                <w:szCs w:val="20"/>
              </w:rPr>
              <w:t xml:space="preserve"> інші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1113</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транзиту трафі</w:t>
            </w:r>
            <w:proofErr w:type="gramStart"/>
            <w:r>
              <w:rPr>
                <w:sz w:val="20"/>
                <w:szCs w:val="20"/>
              </w:rPr>
              <w:t>ку на</w:t>
            </w:r>
            <w:proofErr w:type="gramEnd"/>
            <w:r>
              <w:rPr>
                <w:sz w:val="20"/>
                <w:szCs w:val="20"/>
              </w:rPr>
              <w:t xml:space="preserve"> інші мережі фіксованого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1114</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транзиту трафі</w:t>
            </w:r>
            <w:proofErr w:type="gramStart"/>
            <w:r>
              <w:rPr>
                <w:sz w:val="20"/>
                <w:szCs w:val="20"/>
              </w:rPr>
              <w:t>ку на</w:t>
            </w:r>
            <w:proofErr w:type="gramEnd"/>
            <w:r>
              <w:rPr>
                <w:sz w:val="20"/>
                <w:szCs w:val="20"/>
              </w:rPr>
              <w:t xml:space="preserve"> міжнародні мережі за межами телекомунікаційної мережі загального користування України</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1115</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доступу до мережі, усього,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1116</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при наданні послуг роумінгу операторам телекомунікацій інших держав</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1117</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при наданні послуг національного роумінгу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1118</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Загальний обсяг голосового трафіку,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х</w:t>
            </w:r>
            <w:proofErr w:type="gramEnd"/>
            <w:r>
              <w:rPr>
                <w:b/>
                <w:bCs/>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1119</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вихідний,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1120</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на</w:t>
            </w:r>
            <w:proofErr w:type="gramEnd"/>
            <w:r>
              <w:rPr>
                <w:sz w:val="20"/>
                <w:szCs w:val="20"/>
              </w:rPr>
              <w:t xml:space="preserve"> мережі інших операторів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1121</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на</w:t>
            </w:r>
            <w:proofErr w:type="gramEnd"/>
            <w:r>
              <w:rPr>
                <w:sz w:val="20"/>
                <w:szCs w:val="20"/>
              </w:rPr>
              <w:t xml:space="preserve"> мережі операторів фіксованого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1122</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м</w:t>
            </w:r>
            <w:proofErr w:type="gramEnd"/>
            <w:r>
              <w:rPr>
                <w:sz w:val="20"/>
                <w:szCs w:val="20"/>
              </w:rPr>
              <w:t>іжнародний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1123</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інший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1124</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вхідний,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1125</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 мереж інших операторів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1126</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 мереж операторів фіксованого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1127</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м</w:t>
            </w:r>
            <w:proofErr w:type="gramEnd"/>
            <w:r>
              <w:rPr>
                <w:sz w:val="20"/>
                <w:szCs w:val="20"/>
              </w:rPr>
              <w:t>іжнародний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1128</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інший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lastRenderedPageBreak/>
              <w:t>1129</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транзитний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1130</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внутрішньомережевий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х</w:t>
            </w:r>
            <w:proofErr w:type="gramEnd"/>
            <w:r>
              <w:rPr>
                <w:sz w:val="20"/>
                <w:szCs w:val="20"/>
              </w:rPr>
              <w:t>в</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х</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1131</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Кількість активних ідентифікаційних телекомунікаційних карток мережі рухомого (мобільного) зв'язку, з них:</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о</w:t>
            </w:r>
            <w:proofErr w:type="gramEnd"/>
            <w:r>
              <w:rPr>
                <w:b/>
                <w:bCs/>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1132</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за контрактним обслуговуванням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1133</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за передплаченою послугою, зареєстрованим абонентам</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1134</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Кількість надісланих SMS-повідомлень</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о</w:t>
            </w:r>
            <w:proofErr w:type="gramEnd"/>
            <w:r>
              <w:rPr>
                <w:b/>
                <w:bCs/>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1135</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 xml:space="preserve">з них </w:t>
            </w:r>
            <w:proofErr w:type="gramStart"/>
            <w:r>
              <w:rPr>
                <w:sz w:val="20"/>
                <w:szCs w:val="20"/>
              </w:rPr>
              <w:t>м</w:t>
            </w:r>
            <w:proofErr w:type="gramEnd"/>
            <w:r>
              <w:rPr>
                <w:sz w:val="20"/>
                <w:szCs w:val="20"/>
              </w:rPr>
              <w:t>іжнародні</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1136</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Кількість надісланих MMS-повідомлень</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о</w:t>
            </w:r>
            <w:proofErr w:type="gramEnd"/>
            <w:r>
              <w:rPr>
                <w:b/>
                <w:bCs/>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r w:rsidR="00700325">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1137</w:t>
            </w:r>
          </w:p>
        </w:tc>
        <w:tc>
          <w:tcPr>
            <w:tcW w:w="27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 xml:space="preserve">з них </w:t>
            </w:r>
            <w:proofErr w:type="gramStart"/>
            <w:r>
              <w:rPr>
                <w:sz w:val="20"/>
                <w:szCs w:val="20"/>
              </w:rPr>
              <w:t>м</w:t>
            </w:r>
            <w:proofErr w:type="gramEnd"/>
            <w:r>
              <w:rPr>
                <w:sz w:val="20"/>
                <w:szCs w:val="20"/>
              </w:rPr>
              <w:t>іжнародні</w:t>
            </w:r>
          </w:p>
        </w:tc>
        <w:tc>
          <w:tcPr>
            <w:tcW w:w="4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65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 </w:t>
            </w:r>
          </w:p>
        </w:tc>
      </w:tr>
    </w:tbl>
    <w:p w:rsidR="00700325" w:rsidRDefault="00D46A14">
      <w:pPr>
        <w:pStyle w:val="a3"/>
        <w:jc w:val="center"/>
      </w:pPr>
      <w:r>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80"/>
        <w:gridCol w:w="5776"/>
        <w:gridCol w:w="1068"/>
        <w:gridCol w:w="1477"/>
        <w:gridCol w:w="1499"/>
      </w:tblGrid>
      <w:tr w:rsidR="00700325">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 xml:space="preserve">III. Послуги рухомого (мобільного) зв'язку, передачі даних, </w:t>
            </w:r>
            <w:proofErr w:type="gramStart"/>
            <w:r>
              <w:rPr>
                <w:b/>
                <w:bCs/>
                <w:sz w:val="20"/>
                <w:szCs w:val="20"/>
              </w:rPr>
              <w:t>у</w:t>
            </w:r>
            <w:proofErr w:type="gramEnd"/>
            <w:r>
              <w:rPr>
                <w:b/>
                <w:bCs/>
                <w:sz w:val="20"/>
                <w:szCs w:val="20"/>
              </w:rPr>
              <w:t xml:space="preserve"> тому числі доступ до мережі Інтернет</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1138</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Доходи від надання послуг передачі даних, у т. ч. доступу до мережі Інтернет, усього, з них:</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г</w:t>
            </w:r>
            <w:proofErr w:type="gramEnd"/>
            <w:r>
              <w:rPr>
                <w:b/>
                <w:bCs/>
                <w:sz w:val="20"/>
                <w:szCs w:val="20"/>
              </w:rPr>
              <w:t>рн</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1139</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за доступ до мережі Інтернет, у т. ч.:</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1140</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за</w:t>
            </w:r>
            <w:proofErr w:type="gramEnd"/>
            <w:r>
              <w:rPr>
                <w:sz w:val="20"/>
                <w:szCs w:val="20"/>
              </w:rPr>
              <w:t xml:space="preserve"> технологією 3G</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1141</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sz w:val="20"/>
                <w:szCs w:val="20"/>
              </w:rPr>
              <w:t>за</w:t>
            </w:r>
            <w:proofErr w:type="gramEnd"/>
            <w:r>
              <w:rPr>
                <w:sz w:val="20"/>
                <w:szCs w:val="20"/>
              </w:rPr>
              <w:t xml:space="preserve"> технологією 4G*</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1142</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proofErr w:type="gramStart"/>
            <w:r>
              <w:rPr>
                <w:b/>
                <w:bCs/>
                <w:sz w:val="20"/>
                <w:szCs w:val="20"/>
              </w:rPr>
              <w:t>Кількість активних ідентифікаційних телекомунікаційних карток мережі рухомого (мобільного) зв'язку, з яких був здійснений доступ до мережі Інтернет (активних SIM (USIM, R-UIM), з них:</w:t>
            </w:r>
            <w:proofErr w:type="gramEnd"/>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тис</w:t>
            </w:r>
            <w:proofErr w:type="gramStart"/>
            <w:r>
              <w:rPr>
                <w:b/>
                <w:bCs/>
                <w:sz w:val="20"/>
                <w:szCs w:val="20"/>
              </w:rPr>
              <w:t>.</w:t>
            </w:r>
            <w:proofErr w:type="gramEnd"/>
            <w:r>
              <w:rPr>
                <w:b/>
                <w:bCs/>
                <w:sz w:val="20"/>
                <w:szCs w:val="20"/>
              </w:rPr>
              <w:t xml:space="preserve"> </w:t>
            </w:r>
            <w:proofErr w:type="gramStart"/>
            <w:r>
              <w:rPr>
                <w:b/>
                <w:bCs/>
                <w:sz w:val="20"/>
                <w:szCs w:val="20"/>
              </w:rPr>
              <w:t>о</w:t>
            </w:r>
            <w:proofErr w:type="gramEnd"/>
            <w:r>
              <w:rPr>
                <w:b/>
                <w:bCs/>
                <w:sz w:val="20"/>
                <w:szCs w:val="20"/>
              </w:rPr>
              <w:t>д</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1143</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за контрактним обслуговуванням</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1144</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sz w:val="20"/>
                <w:szCs w:val="20"/>
              </w:rPr>
              <w:t>за передплаченою послугою зареєстрованим абонентам</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sz w:val="20"/>
                <w:szCs w:val="20"/>
              </w:rPr>
              <w:t>тис</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д</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1145</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Обсяг Інтернет-трафіку (download)</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Гбайт</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1146</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Обсяг Інтернет-трафіку (upload)</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Гбайт</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1147</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Відсоток населення, охопленого мережею рухомого (мобільного) зв'язку 2G</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1148</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Відсоток населення, охопленого мережею рухомого (мобільного) зв'язку 3G</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r w:rsidR="00700325">
        <w:trPr>
          <w:tblCellSpacing w:w="22" w:type="dxa"/>
          <w:jc w:val="center"/>
        </w:trPr>
        <w:tc>
          <w:tcPr>
            <w:tcW w:w="3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1149</w:t>
            </w:r>
          </w:p>
        </w:tc>
        <w:tc>
          <w:tcPr>
            <w:tcW w:w="28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pPr>
            <w:r>
              <w:rPr>
                <w:b/>
                <w:bCs/>
                <w:sz w:val="20"/>
                <w:szCs w:val="20"/>
              </w:rPr>
              <w:t>Відсоток населення, охопленого мережею рухомого (мобільного) зв'язку 4G</w:t>
            </w:r>
          </w:p>
        </w:tc>
        <w:tc>
          <w:tcPr>
            <w:tcW w:w="500" w:type="pct"/>
            <w:tcBorders>
              <w:top w:val="outset" w:sz="6" w:space="0" w:color="auto"/>
              <w:left w:val="outset" w:sz="6" w:space="0" w:color="auto"/>
              <w:bottom w:val="outset" w:sz="6" w:space="0" w:color="auto"/>
              <w:right w:val="outset" w:sz="6" w:space="0" w:color="auto"/>
            </w:tcBorders>
            <w:vAlign w:val="center"/>
            <w:hideMark/>
          </w:tcPr>
          <w:p w:rsidR="00700325" w:rsidRDefault="00D46A14">
            <w:pPr>
              <w:pStyle w:val="a3"/>
              <w:jc w:val="center"/>
            </w:pPr>
            <w:r>
              <w:rPr>
                <w:b/>
                <w:bCs/>
                <w:sz w:val="20"/>
                <w:szCs w:val="20"/>
              </w:rPr>
              <w:t>%</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c>
          <w:tcPr>
            <w:tcW w:w="700" w:type="pct"/>
            <w:tcBorders>
              <w:top w:val="outset" w:sz="6" w:space="0" w:color="auto"/>
              <w:left w:val="outset" w:sz="6" w:space="0" w:color="auto"/>
              <w:bottom w:val="outset" w:sz="6" w:space="0" w:color="auto"/>
              <w:right w:val="outset" w:sz="6" w:space="0" w:color="auto"/>
            </w:tcBorders>
            <w:vAlign w:val="bottom"/>
            <w:hideMark/>
          </w:tcPr>
          <w:p w:rsidR="00700325" w:rsidRDefault="00D46A14">
            <w:pPr>
              <w:pStyle w:val="a3"/>
            </w:pPr>
            <w:r>
              <w:rPr>
                <w:sz w:val="20"/>
                <w:szCs w:val="20"/>
              </w:rPr>
              <w:t> </w:t>
            </w:r>
          </w:p>
        </w:tc>
      </w:tr>
    </w:tbl>
    <w:p w:rsidR="00700325" w:rsidRDefault="00D46A14">
      <w:pPr>
        <w:pStyle w:val="a3"/>
        <w:jc w:val="center"/>
      </w:pPr>
      <w:r>
        <w:br w:type="textWrapping" w:clear="all"/>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2215"/>
        <w:gridCol w:w="2296"/>
        <w:gridCol w:w="863"/>
        <w:gridCol w:w="2910"/>
        <w:gridCol w:w="2216"/>
      </w:tblGrid>
      <w:tr w:rsidR="00700325">
        <w:trPr>
          <w:tblCellSpacing w:w="22" w:type="dxa"/>
          <w:jc w:val="center"/>
        </w:trPr>
        <w:tc>
          <w:tcPr>
            <w:tcW w:w="5000" w:type="pct"/>
            <w:gridSpan w:val="5"/>
            <w:hideMark/>
          </w:tcPr>
          <w:p w:rsidR="00700325" w:rsidRDefault="00D46A14">
            <w:pPr>
              <w:pStyle w:val="a3"/>
            </w:pPr>
            <w:r>
              <w:t>____________</w:t>
            </w:r>
            <w:r>
              <w:br/>
              <w:t xml:space="preserve">* </w:t>
            </w:r>
            <w:r>
              <w:rPr>
                <w:sz w:val="20"/>
                <w:szCs w:val="20"/>
              </w:rPr>
              <w:t>з моменту провадження технології</w:t>
            </w:r>
          </w:p>
        </w:tc>
      </w:tr>
      <w:tr w:rsidR="00700325">
        <w:trPr>
          <w:tblCellSpacing w:w="22" w:type="dxa"/>
          <w:jc w:val="center"/>
        </w:trPr>
        <w:tc>
          <w:tcPr>
            <w:tcW w:w="2550" w:type="pct"/>
            <w:gridSpan w:val="3"/>
            <w:hideMark/>
          </w:tcPr>
          <w:p w:rsidR="00700325" w:rsidRDefault="00D46A14">
            <w:pPr>
              <w:pStyle w:val="a3"/>
            </w:pPr>
            <w:r>
              <w:t>________________________________________</w:t>
            </w:r>
            <w:r>
              <w:br/>
            </w:r>
            <w:r>
              <w:rPr>
                <w:sz w:val="20"/>
                <w:szCs w:val="20"/>
              </w:rPr>
              <w:t>(</w:t>
            </w:r>
            <w:proofErr w:type="gramStart"/>
            <w:r>
              <w:rPr>
                <w:sz w:val="20"/>
                <w:szCs w:val="20"/>
              </w:rPr>
              <w:t>п</w:t>
            </w:r>
            <w:proofErr w:type="gramEnd"/>
            <w:r>
              <w:rPr>
                <w:sz w:val="20"/>
                <w:szCs w:val="20"/>
              </w:rPr>
              <w:t>ідпис керівника)</w:t>
            </w:r>
          </w:p>
        </w:tc>
        <w:tc>
          <w:tcPr>
            <w:tcW w:w="2450" w:type="pct"/>
            <w:gridSpan w:val="2"/>
            <w:hideMark/>
          </w:tcPr>
          <w:p w:rsidR="00700325" w:rsidRDefault="00D46A14">
            <w:pPr>
              <w:pStyle w:val="a3"/>
            </w:pPr>
            <w:r>
              <w:t>__________________________</w:t>
            </w:r>
            <w:r>
              <w:br/>
            </w:r>
            <w:r>
              <w:rPr>
                <w:sz w:val="20"/>
                <w:szCs w:val="20"/>
              </w:rPr>
              <w:t>                      (П. І. Б.)</w:t>
            </w:r>
          </w:p>
        </w:tc>
      </w:tr>
      <w:tr w:rsidR="00700325">
        <w:trPr>
          <w:tblCellSpacing w:w="22" w:type="dxa"/>
          <w:jc w:val="center"/>
        </w:trPr>
        <w:tc>
          <w:tcPr>
            <w:tcW w:w="2550" w:type="pct"/>
            <w:gridSpan w:val="3"/>
            <w:hideMark/>
          </w:tcPr>
          <w:p w:rsidR="00700325" w:rsidRDefault="00D46A14">
            <w:pPr>
              <w:pStyle w:val="a3"/>
            </w:pPr>
            <w:r>
              <w:t>__________________________________________</w:t>
            </w:r>
            <w:r>
              <w:br/>
            </w:r>
            <w:r>
              <w:rPr>
                <w:sz w:val="20"/>
                <w:szCs w:val="20"/>
              </w:rPr>
              <w:t>(</w:t>
            </w:r>
            <w:proofErr w:type="gramStart"/>
            <w:r>
              <w:rPr>
                <w:sz w:val="20"/>
                <w:szCs w:val="20"/>
              </w:rPr>
              <w:t>п</w:t>
            </w:r>
            <w:proofErr w:type="gramEnd"/>
            <w:r>
              <w:rPr>
                <w:sz w:val="20"/>
                <w:szCs w:val="20"/>
              </w:rPr>
              <w:t>ідпис особи, відповідальної за заповнення форми звітності)</w:t>
            </w:r>
          </w:p>
        </w:tc>
        <w:tc>
          <w:tcPr>
            <w:tcW w:w="2450" w:type="pct"/>
            <w:gridSpan w:val="2"/>
            <w:hideMark/>
          </w:tcPr>
          <w:p w:rsidR="00700325" w:rsidRDefault="00D46A14">
            <w:pPr>
              <w:pStyle w:val="a3"/>
            </w:pPr>
            <w:r>
              <w:t>__________________________</w:t>
            </w:r>
            <w:r>
              <w:br/>
            </w:r>
            <w:r>
              <w:rPr>
                <w:sz w:val="20"/>
                <w:szCs w:val="20"/>
              </w:rPr>
              <w:t>                      (П. І. Б.)</w:t>
            </w:r>
          </w:p>
        </w:tc>
      </w:tr>
      <w:tr w:rsidR="00700325">
        <w:trPr>
          <w:tblCellSpacing w:w="22" w:type="dxa"/>
          <w:jc w:val="center"/>
        </w:trPr>
        <w:tc>
          <w:tcPr>
            <w:tcW w:w="1050" w:type="pct"/>
            <w:hideMark/>
          </w:tcPr>
          <w:p w:rsidR="00700325" w:rsidRDefault="00D46A14">
            <w:pPr>
              <w:pStyle w:val="a3"/>
            </w:pPr>
            <w:r>
              <w:lastRenderedPageBreak/>
              <w:t>телефон: _________</w:t>
            </w:r>
          </w:p>
        </w:tc>
        <w:tc>
          <w:tcPr>
            <w:tcW w:w="1100" w:type="pct"/>
            <w:hideMark/>
          </w:tcPr>
          <w:p w:rsidR="00700325" w:rsidRDefault="00D46A14">
            <w:pPr>
              <w:pStyle w:val="a3"/>
            </w:pPr>
            <w:r>
              <w:t>факс: _____________</w:t>
            </w:r>
          </w:p>
        </w:tc>
        <w:tc>
          <w:tcPr>
            <w:tcW w:w="1800" w:type="pct"/>
            <w:gridSpan w:val="2"/>
            <w:hideMark/>
          </w:tcPr>
          <w:p w:rsidR="00700325" w:rsidRDefault="00D46A14">
            <w:pPr>
              <w:pStyle w:val="a3"/>
            </w:pPr>
            <w:r>
              <w:t>електронна пошта: ____________</w:t>
            </w:r>
          </w:p>
        </w:tc>
        <w:tc>
          <w:tcPr>
            <w:tcW w:w="1050" w:type="pct"/>
            <w:hideMark/>
          </w:tcPr>
          <w:p w:rsidR="00700325" w:rsidRDefault="00D46A14">
            <w:pPr>
              <w:pStyle w:val="a3"/>
            </w:pPr>
            <w:r>
              <w:t> </w:t>
            </w:r>
          </w:p>
        </w:tc>
      </w:tr>
    </w:tbl>
    <w:p w:rsidR="00700325" w:rsidRDefault="00D46A14">
      <w:pPr>
        <w:pStyle w:val="a3"/>
        <w:jc w:val="center"/>
      </w:pPr>
      <w:r>
        <w:br w:type="textWrapping" w:clear="all"/>
      </w:r>
    </w:p>
    <w:p w:rsidR="00700325" w:rsidRDefault="00D46A14">
      <w:pPr>
        <w:pStyle w:val="a3"/>
        <w:jc w:val="both"/>
        <w:rPr>
          <w:lang w:val="uk-UA"/>
        </w:rPr>
      </w:pPr>
      <w:r>
        <w:t> </w:t>
      </w:r>
    </w:p>
    <w:p w:rsidR="0041559B" w:rsidRDefault="0041559B">
      <w:pPr>
        <w:pStyle w:val="a3"/>
        <w:jc w:val="both"/>
        <w:rPr>
          <w:lang w:val="uk-UA"/>
        </w:rPr>
      </w:pPr>
    </w:p>
    <w:p w:rsidR="0041559B" w:rsidRDefault="0041559B">
      <w:pPr>
        <w:pStyle w:val="a3"/>
        <w:jc w:val="both"/>
        <w:rPr>
          <w:lang w:val="uk-UA"/>
        </w:rPr>
      </w:pPr>
    </w:p>
    <w:p w:rsidR="0041559B" w:rsidRDefault="0041559B">
      <w:pPr>
        <w:pStyle w:val="a3"/>
        <w:jc w:val="both"/>
        <w:rPr>
          <w:lang w:val="uk-UA"/>
        </w:rPr>
      </w:pPr>
    </w:p>
    <w:p w:rsidR="0041559B" w:rsidRDefault="0041559B">
      <w:pPr>
        <w:pStyle w:val="a3"/>
        <w:jc w:val="both"/>
        <w:rPr>
          <w:lang w:val="uk-UA"/>
        </w:rPr>
      </w:pPr>
    </w:p>
    <w:p w:rsidR="0041559B" w:rsidRPr="0041559B" w:rsidRDefault="0041559B">
      <w:pPr>
        <w:pStyle w:val="a3"/>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700325">
        <w:trPr>
          <w:tblCellSpacing w:w="22" w:type="dxa"/>
        </w:trPr>
        <w:tc>
          <w:tcPr>
            <w:tcW w:w="5000" w:type="pct"/>
            <w:hideMark/>
          </w:tcPr>
          <w:p w:rsidR="00700325" w:rsidRPr="0041559B" w:rsidRDefault="00D46A14">
            <w:pPr>
              <w:pStyle w:val="a3"/>
              <w:rPr>
                <w:lang w:val="uk-UA"/>
              </w:rPr>
            </w:pPr>
            <w:r w:rsidRPr="0041559B">
              <w:rPr>
                <w:lang w:val="uk-UA"/>
              </w:rPr>
              <w:t>ЗАТВЕРДЖЕНО</w:t>
            </w:r>
            <w:r w:rsidRPr="0041559B">
              <w:rPr>
                <w:lang w:val="uk-UA"/>
              </w:rPr>
              <w:br/>
              <w:t>Рішення Національної комісії, що здійснює державне регулювання</w:t>
            </w:r>
            <w:r w:rsidRPr="0041559B">
              <w:rPr>
                <w:lang w:val="uk-UA"/>
              </w:rPr>
              <w:br/>
              <w:t>у сфері зв'язку та інформатизації</w:t>
            </w:r>
            <w:r w:rsidRPr="0041559B">
              <w:rPr>
                <w:lang w:val="uk-UA"/>
              </w:rPr>
              <w:br/>
              <w:t xml:space="preserve">20 листопада 2018 року </w:t>
            </w:r>
            <w:r>
              <w:t>N</w:t>
            </w:r>
            <w:r w:rsidRPr="0041559B">
              <w:rPr>
                <w:lang w:val="uk-UA"/>
              </w:rPr>
              <w:t xml:space="preserve"> 597</w:t>
            </w:r>
          </w:p>
          <w:p w:rsidR="00700325" w:rsidRDefault="00D46A14">
            <w:pPr>
              <w:pStyle w:val="a3"/>
            </w:pPr>
            <w:r>
              <w:t>Зареєстровано</w:t>
            </w:r>
            <w:r>
              <w:br/>
              <w:t>в Міністерстві юстиції України</w:t>
            </w:r>
            <w:r>
              <w:br/>
              <w:t>26 грудня 2018 р. за N 1478/32930</w:t>
            </w:r>
          </w:p>
        </w:tc>
      </w:tr>
    </w:tbl>
    <w:p w:rsidR="00700325" w:rsidRDefault="00D46A14">
      <w:pPr>
        <w:pStyle w:val="a3"/>
        <w:jc w:val="both"/>
      </w:pPr>
      <w:r>
        <w:br w:type="textWrapping" w:clear="all"/>
      </w:r>
    </w:p>
    <w:p w:rsidR="00700325" w:rsidRDefault="00D46A14">
      <w:pPr>
        <w:pStyle w:val="3"/>
        <w:jc w:val="center"/>
        <w:rPr>
          <w:rFonts w:eastAsia="Times New Roman"/>
        </w:rPr>
      </w:pPr>
      <w:r>
        <w:rPr>
          <w:rFonts w:eastAsia="Times New Roman"/>
        </w:rPr>
        <w:t>ІНСТРУКЦІЯ</w:t>
      </w:r>
      <w:r>
        <w:rPr>
          <w:rFonts w:eastAsia="Times New Roman"/>
        </w:rPr>
        <w:br/>
        <w:t xml:space="preserve">щодо заповнення форми звітності N 1-К (квартальна) "Рухомий (мобільний) зв'язок та послуги передачі даних, </w:t>
      </w:r>
      <w:proofErr w:type="gramStart"/>
      <w:r>
        <w:rPr>
          <w:rFonts w:eastAsia="Times New Roman"/>
        </w:rPr>
        <w:t>у</w:t>
      </w:r>
      <w:proofErr w:type="gramEnd"/>
      <w:r>
        <w:rPr>
          <w:rFonts w:eastAsia="Times New Roman"/>
        </w:rPr>
        <w:t xml:space="preserve"> </w:t>
      </w:r>
      <w:proofErr w:type="gramStart"/>
      <w:r>
        <w:rPr>
          <w:rFonts w:eastAsia="Times New Roman"/>
        </w:rPr>
        <w:t>тому</w:t>
      </w:r>
      <w:proofErr w:type="gramEnd"/>
      <w:r>
        <w:rPr>
          <w:rFonts w:eastAsia="Times New Roman"/>
        </w:rPr>
        <w:t xml:space="preserve"> числі доступу до мережі Інтернет"</w:t>
      </w:r>
    </w:p>
    <w:p w:rsidR="00700325" w:rsidRDefault="00D46A14">
      <w:pPr>
        <w:pStyle w:val="a3"/>
        <w:jc w:val="both"/>
      </w:pPr>
      <w:r>
        <w:t xml:space="preserve">Форма звітності N 1-K (квартальна) "Рухомий (мобільний) зв'язок та послуги передачі даних, </w:t>
      </w:r>
      <w:proofErr w:type="gramStart"/>
      <w:r>
        <w:t>у</w:t>
      </w:r>
      <w:proofErr w:type="gramEnd"/>
      <w:r>
        <w:t xml:space="preserve"> </w:t>
      </w:r>
      <w:proofErr w:type="gramStart"/>
      <w:r>
        <w:t>тому</w:t>
      </w:r>
      <w:proofErr w:type="gramEnd"/>
      <w:r>
        <w:t xml:space="preserve"> числі доступу до мережі Інтернет" заповнюється операторами рухомого (мобільного) зв'язку, та складається з:</w:t>
      </w:r>
    </w:p>
    <w:p w:rsidR="00700325" w:rsidRDefault="00D46A14">
      <w:pPr>
        <w:pStyle w:val="a3"/>
        <w:jc w:val="both"/>
      </w:pPr>
      <w:r>
        <w:t>інформації про респондента;</w:t>
      </w:r>
    </w:p>
    <w:p w:rsidR="00700325" w:rsidRDefault="00D46A14">
      <w:pPr>
        <w:pStyle w:val="a3"/>
        <w:jc w:val="both"/>
      </w:pPr>
      <w:r>
        <w:t>розділу I "Загальні показники діяльності";</w:t>
      </w:r>
    </w:p>
    <w:p w:rsidR="00700325" w:rsidRDefault="00D46A14">
      <w:pPr>
        <w:pStyle w:val="a3"/>
        <w:jc w:val="both"/>
      </w:pPr>
      <w:r>
        <w:t>розділу II "Послуги рухомого (мобільного) зв'язку, послуги операторам, провайдерам телекомунікацій, голосова телефонія";</w:t>
      </w:r>
    </w:p>
    <w:p w:rsidR="00700325" w:rsidRDefault="00D46A14">
      <w:pPr>
        <w:pStyle w:val="a3"/>
        <w:jc w:val="both"/>
      </w:pPr>
      <w:r>
        <w:t xml:space="preserve">розділу III "Послуги рухомого (мобільного) зв'язку, передачі даних, </w:t>
      </w:r>
      <w:proofErr w:type="gramStart"/>
      <w:r>
        <w:t>у</w:t>
      </w:r>
      <w:proofErr w:type="gramEnd"/>
      <w:r>
        <w:t xml:space="preserve"> тому числі доступ до мережі Інтернет".</w:t>
      </w:r>
    </w:p>
    <w:p w:rsidR="00700325" w:rsidRDefault="00D46A14">
      <w:pPr>
        <w:pStyle w:val="a3"/>
        <w:jc w:val="both"/>
      </w:pPr>
      <w:r>
        <w:t xml:space="preserve">Фінансово-економічні показники, а також показники щодо обсягів трафіку заповнюються наростаючим </w:t>
      </w:r>
      <w:proofErr w:type="gramStart"/>
      <w:r>
        <w:t>п</w:t>
      </w:r>
      <w:proofErr w:type="gramEnd"/>
      <w:r>
        <w:t xml:space="preserve">ідсумком з початку року станом на кінець останнього дня звітного періоду. </w:t>
      </w:r>
      <w:r>
        <w:lastRenderedPageBreak/>
        <w:t xml:space="preserve">Фінансово-економічні показники вказуються без урахування податку на додану вартість та збору на обов'язкове державне пенсійне страхування, з округленням до одного знаку </w:t>
      </w:r>
      <w:proofErr w:type="gramStart"/>
      <w:r>
        <w:t>п</w:t>
      </w:r>
      <w:proofErr w:type="gramEnd"/>
      <w:r>
        <w:t>ісля коми.</w:t>
      </w:r>
    </w:p>
    <w:p w:rsidR="00700325" w:rsidRDefault="00D46A14">
      <w:pPr>
        <w:pStyle w:val="a3"/>
        <w:jc w:val="both"/>
      </w:pPr>
      <w:r>
        <w:t>Показники відсотка населення, охопленого мережею рухомого (мобільного) зв'язку, вказуються станом на 01 січня року, наступного за звітним.</w:t>
      </w:r>
    </w:p>
    <w:p w:rsidR="00700325" w:rsidRDefault="00D46A14">
      <w:pPr>
        <w:pStyle w:val="a3"/>
        <w:jc w:val="both"/>
      </w:pPr>
      <w:r>
        <w:t>Інші показники вказуються станом на останній день звітного кварталу.</w:t>
      </w:r>
    </w:p>
    <w:p w:rsidR="00700325" w:rsidRDefault="00D46A14">
      <w:pPr>
        <w:pStyle w:val="a3"/>
        <w:jc w:val="both"/>
      </w:pPr>
      <w:r>
        <w:t>1. У блоці "Респондент" зазначаються:</w:t>
      </w:r>
    </w:p>
    <w:p w:rsidR="00700325" w:rsidRDefault="00D46A14">
      <w:pPr>
        <w:pStyle w:val="a3"/>
        <w:jc w:val="both"/>
      </w:pPr>
      <w:r>
        <w:t xml:space="preserve">найменування суб'єкта господарювання - юридичної особи або </w:t>
      </w:r>
      <w:proofErr w:type="gramStart"/>
      <w:r>
        <w:t>пр</w:t>
      </w:r>
      <w:proofErr w:type="gramEnd"/>
      <w:r>
        <w:t>ізвище, ім'я, по батькові для фізичних осіб - підприємців;</w:t>
      </w:r>
    </w:p>
    <w:p w:rsidR="00700325" w:rsidRDefault="00D46A14">
      <w:pPr>
        <w:pStyle w:val="a3"/>
        <w:jc w:val="both"/>
      </w:pPr>
      <w:r>
        <w:t xml:space="preserve">поштовий індекс, область / Автономна Республіка Крим, район, населений пункт, вулиця/провулок, площа тощо, N будинку/корпусу, N квартири/офіса місцезнаходження для юридичних осіб або місця проживання для фізичних осіб - </w:t>
      </w:r>
      <w:proofErr w:type="gramStart"/>
      <w:r>
        <w:t>п</w:t>
      </w:r>
      <w:proofErr w:type="gramEnd"/>
      <w:r>
        <w:t>ідприємців;</w:t>
      </w:r>
    </w:p>
    <w:p w:rsidR="00700325" w:rsidRDefault="00D46A14">
      <w:pPr>
        <w:pStyle w:val="a3"/>
        <w:jc w:val="both"/>
      </w:pPr>
      <w:r>
        <w:t xml:space="preserve">код за ЄДРПОУ для юридичних осіб або реєстраційний номер </w:t>
      </w:r>
      <w:proofErr w:type="gramStart"/>
      <w:r>
        <w:t>обл</w:t>
      </w:r>
      <w:proofErr w:type="gramEnd"/>
      <w:r>
        <w:t>ікової картки платника податків для фізичних осіб - підприємців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w:t>
      </w:r>
    </w:p>
    <w:p w:rsidR="00700325" w:rsidRDefault="00D46A14">
      <w:pPr>
        <w:pStyle w:val="a3"/>
        <w:jc w:val="both"/>
      </w:pPr>
      <w:r>
        <w:t xml:space="preserve">за наявності юридична особа або фізична особа - </w:t>
      </w:r>
      <w:proofErr w:type="gramStart"/>
      <w:r>
        <w:t>п</w:t>
      </w:r>
      <w:proofErr w:type="gramEnd"/>
      <w:r>
        <w:t>ідприємець зазначає посилання на веб-сайт своєї організації.</w:t>
      </w:r>
    </w:p>
    <w:p w:rsidR="00700325" w:rsidRDefault="00D46A14">
      <w:pPr>
        <w:pStyle w:val="a3"/>
        <w:jc w:val="both"/>
      </w:pPr>
      <w:r>
        <w:t>2. У блоці "Ідентифікація оператора, провайдера телекомунікацій у Реє</w:t>
      </w:r>
      <w:proofErr w:type="gramStart"/>
      <w:r>
        <w:t>стр</w:t>
      </w:r>
      <w:proofErr w:type="gramEnd"/>
      <w:r>
        <w:t>і операторів, провайдерів телекомунікацій" зазначаються:</w:t>
      </w:r>
    </w:p>
    <w:p w:rsidR="00700325" w:rsidRDefault="00D46A14">
      <w:pPr>
        <w:pStyle w:val="a3"/>
        <w:jc w:val="both"/>
      </w:pPr>
      <w:r>
        <w:t>вид діяльності, який зазначено в Реє</w:t>
      </w:r>
      <w:proofErr w:type="gramStart"/>
      <w:r>
        <w:t>стр</w:t>
      </w:r>
      <w:proofErr w:type="gramEnd"/>
      <w:r>
        <w:t>і операторів, провайдерів телекомунікацій відповідно до поданої заяви;</w:t>
      </w:r>
    </w:p>
    <w:p w:rsidR="00700325" w:rsidRDefault="00D46A14">
      <w:pPr>
        <w:pStyle w:val="a3"/>
        <w:jc w:val="both"/>
      </w:pPr>
      <w:r>
        <w:t xml:space="preserve">номер та дата </w:t>
      </w:r>
      <w:proofErr w:type="gramStart"/>
      <w:r>
        <w:t>р</w:t>
      </w:r>
      <w:proofErr w:type="gramEnd"/>
      <w:r>
        <w:t>ішення НКРЗІ про включення до Реєстру операторів, провайдерів телекомунікацій;</w:t>
      </w:r>
    </w:p>
    <w:p w:rsidR="00700325" w:rsidRDefault="00D46A14">
      <w:pPr>
        <w:pStyle w:val="a3"/>
        <w:jc w:val="both"/>
      </w:pPr>
      <w:r>
        <w:t>присвоєний номер запису в Реє</w:t>
      </w:r>
      <w:proofErr w:type="gramStart"/>
      <w:r>
        <w:t>стр</w:t>
      </w:r>
      <w:proofErr w:type="gramEnd"/>
      <w:r>
        <w:t>і операторів, провайдерів телекомунікацій.</w:t>
      </w:r>
    </w:p>
    <w:p w:rsidR="00700325" w:rsidRDefault="00D46A14">
      <w:pPr>
        <w:pStyle w:val="a3"/>
        <w:jc w:val="both"/>
      </w:pPr>
      <w:r>
        <w:t>3. Блок "Ідентифікація мереж оператора, провайдера телекомунікацій" заповнюють суб'єкти господарювання, які надають послуги доступу до мережі Інтернет.</w:t>
      </w:r>
    </w:p>
    <w:p w:rsidR="00700325" w:rsidRDefault="00D46A14">
      <w:pPr>
        <w:pStyle w:val="a3"/>
        <w:jc w:val="both"/>
      </w:pPr>
      <w:r>
        <w:t>За наявності у суб'єкта господарювання призначених номерів автономних систем, які виділяються Internet Assigned Numbers Authority, зазначаються відповідні номери, а інформація щодо призначених блоків IP-адрес не вказується.</w:t>
      </w:r>
    </w:p>
    <w:p w:rsidR="00700325" w:rsidRDefault="00D46A14">
      <w:pPr>
        <w:pStyle w:val="a3"/>
        <w:jc w:val="both"/>
      </w:pPr>
      <w:r>
        <w:t xml:space="preserve">У разі якщо у суб'єкта господарювання відсутні призначені номери автономних систем, він має зазначити призначені/орендовані блоки IP-адрес (виділяються RIPE Network Coordination Centre) </w:t>
      </w:r>
      <w:proofErr w:type="gramStart"/>
      <w:r>
        <w:t>у</w:t>
      </w:r>
      <w:proofErr w:type="gramEnd"/>
      <w:r>
        <w:t xml:space="preserve"> форматах IPv4 та IPv6.</w:t>
      </w:r>
    </w:p>
    <w:p w:rsidR="00700325" w:rsidRDefault="00D46A14">
      <w:pPr>
        <w:pStyle w:val="a3"/>
        <w:jc w:val="both"/>
      </w:pPr>
      <w:r>
        <w:t>4. У розділі I зазначаються показники діяльності оператора, провайдера телекомунікацій за звітний період (графа 1).</w:t>
      </w:r>
    </w:p>
    <w:p w:rsidR="00700325" w:rsidRDefault="00D46A14">
      <w:pPr>
        <w:pStyle w:val="a3"/>
        <w:jc w:val="both"/>
      </w:pPr>
      <w:r>
        <w:lastRenderedPageBreak/>
        <w:t xml:space="preserve">5. </w:t>
      </w:r>
      <w:proofErr w:type="gramStart"/>
      <w:r>
        <w:t>У рядку 1001 "Загальні доходи від надання телекомунікаційних послуг" зазначається загальний обсяг доходів, отриманих від надання послуг у сфері телекомунікацій.</w:t>
      </w:r>
      <w:proofErr w:type="gramEnd"/>
    </w:p>
    <w:p w:rsidR="00700325" w:rsidRDefault="00D46A14">
      <w:pPr>
        <w:pStyle w:val="a3"/>
        <w:jc w:val="both"/>
      </w:pPr>
      <w:r>
        <w:t xml:space="preserve">6. У рядку 1002 "Обсяги капітальних інвестицій у сферу телекомунікацій" зазначаються витрати у нові та наявні матеріальні та нематеріальні активи, </w:t>
      </w:r>
      <w:proofErr w:type="gramStart"/>
      <w:r>
        <w:t>пов'язан</w:t>
      </w:r>
      <w:proofErr w:type="gramEnd"/>
      <w:r>
        <w:t xml:space="preserve">і з наданням телекомунікаційних послуг, які були введені в експлуатацію у звітному періоді, придбані, у тому числі за договором фінансового лізингу, або створені для власного використання зі строком служби понад один </w:t>
      </w:r>
      <w:proofErr w:type="gramStart"/>
      <w:r>
        <w:t>р</w:t>
      </w:r>
      <w:proofErr w:type="gramEnd"/>
      <w:r>
        <w:t>ік. Також до інвестицій належать витрати, пов'язані з поліпшенням об'єкта, що призводять до збільшення його строку служби або виробничої потужності, та не належать витрати на технічне обслуговування і поточні ремонти.</w:t>
      </w:r>
    </w:p>
    <w:p w:rsidR="00700325" w:rsidRDefault="00D46A14">
      <w:pPr>
        <w:pStyle w:val="a3"/>
        <w:jc w:val="both"/>
      </w:pPr>
      <w:r>
        <w:t>7. У рядку 1003 "Середньооблікова кількість штатних працівників (у цілих числах)" зазначається кількість штатних працівників, уключаючи всіх найманих працівників, які уклали письмово трудовий догові</w:t>
      </w:r>
      <w:proofErr w:type="gramStart"/>
      <w:r>
        <w:t>р</w:t>
      </w:r>
      <w:proofErr w:type="gramEnd"/>
      <w:r>
        <w:t xml:space="preserve"> (контракт) і виконували постійну, тимчасову або сезонну роботу один день і більше, а також власники підприємства, якщо, крім доходу, вони отримували заробітну плату на цьому </w:t>
      </w:r>
      <w:proofErr w:type="gramStart"/>
      <w:r>
        <w:t>п</w:t>
      </w:r>
      <w:proofErr w:type="gramEnd"/>
      <w:r>
        <w:t>ідприємстві.</w:t>
      </w:r>
    </w:p>
    <w:p w:rsidR="00700325" w:rsidRDefault="00D46A14">
      <w:pPr>
        <w:pStyle w:val="a3"/>
        <w:jc w:val="both"/>
      </w:pPr>
      <w:r>
        <w:t xml:space="preserve">8. </w:t>
      </w:r>
      <w:proofErr w:type="gramStart"/>
      <w:r>
        <w:t>У</w:t>
      </w:r>
      <w:proofErr w:type="gramEnd"/>
      <w:r>
        <w:t xml:space="preserve"> </w:t>
      </w:r>
      <w:proofErr w:type="gramStart"/>
      <w:r>
        <w:t>рядку</w:t>
      </w:r>
      <w:proofErr w:type="gramEnd"/>
      <w:r>
        <w:t xml:space="preserve"> 1004 "з них жінок" із загальної кількості штатних працівників зазначається кількість жінок.</w:t>
      </w:r>
    </w:p>
    <w:p w:rsidR="00700325" w:rsidRDefault="00D46A14">
      <w:pPr>
        <w:pStyle w:val="a3"/>
        <w:jc w:val="both"/>
      </w:pPr>
      <w:r>
        <w:t xml:space="preserve">9. </w:t>
      </w:r>
      <w:proofErr w:type="gramStart"/>
      <w:r>
        <w:t>У розділі II зазначаються показники діяльності оператора, провайдера телекомунікацій від надання послуг за звітний період для споживачів, операторів, провайдерів телекомунікацій, що поділяються на "Всього" (графа 1) та "з них фізичним особам, у т. ч. незареєстрованим абонентам" (графа 2).</w:t>
      </w:r>
      <w:proofErr w:type="gramEnd"/>
    </w:p>
    <w:p w:rsidR="00700325" w:rsidRDefault="00D46A14">
      <w:pPr>
        <w:pStyle w:val="a3"/>
        <w:jc w:val="both"/>
      </w:pPr>
      <w:r>
        <w:t xml:space="preserve">10. У рядку 1101 "Доходи від надання послуг голосової телефонії, споживачам" зазначається загальний обсяг доходів </w:t>
      </w:r>
      <w:proofErr w:type="gramStart"/>
      <w:r>
        <w:t>в</w:t>
      </w:r>
      <w:proofErr w:type="gramEnd"/>
      <w:r>
        <w:t>ід надання послуг голосової телефонії рухомого (мобільного) зв'язку споживачам.</w:t>
      </w:r>
    </w:p>
    <w:p w:rsidR="00700325" w:rsidRDefault="00D46A14">
      <w:pPr>
        <w:pStyle w:val="a3"/>
        <w:jc w:val="both"/>
      </w:pPr>
      <w:r>
        <w:t xml:space="preserve">11. У рядку 1102 "з них міжнародного зв'язку" зазначаються доходи від вихідних дзвінків на телекомунікаційні мережі операторів рухомого (мобільного) та фіксованого </w:t>
      </w:r>
      <w:proofErr w:type="gramStart"/>
      <w:r>
        <w:t>телефонного</w:t>
      </w:r>
      <w:proofErr w:type="gramEnd"/>
      <w:r>
        <w:t xml:space="preserve"> зв'язку інших держав.</w:t>
      </w:r>
    </w:p>
    <w:p w:rsidR="00700325" w:rsidRDefault="00D46A14">
      <w:pPr>
        <w:pStyle w:val="a3"/>
        <w:jc w:val="both"/>
      </w:pPr>
      <w:r>
        <w:t xml:space="preserve">12. </w:t>
      </w:r>
      <w:proofErr w:type="gramStart"/>
      <w:r>
        <w:t>У рядку 1103 "Доходи від надання послуг передачі SMS-, MMS-повідомлень, споживачам" зазначаються доходи від передачі SMS- та MMS-повідомлень (у тому числі з мереж національних роумінг-партнерів) у межах власної мережі, на телекомунікаційні мережі операторів рухомого (мобільного) зв'язку інших держав, без урахування тарифних SMS- і MMS-повідомлень, урахованих в абонентній</w:t>
      </w:r>
      <w:proofErr w:type="gramEnd"/>
      <w:r>
        <w:t xml:space="preserve"> платі.</w:t>
      </w:r>
    </w:p>
    <w:p w:rsidR="00700325" w:rsidRDefault="00D46A14">
      <w:pPr>
        <w:pStyle w:val="a3"/>
        <w:jc w:val="both"/>
      </w:pPr>
      <w:r>
        <w:t xml:space="preserve">13. </w:t>
      </w:r>
      <w:proofErr w:type="gramStart"/>
      <w:r>
        <w:t>У</w:t>
      </w:r>
      <w:proofErr w:type="gramEnd"/>
      <w:r>
        <w:t xml:space="preserve"> рядку 1104 "Доходи від надання послуг міжнародного роумінгу, споживачам" зазначаються доходи від надання послуг міжнародного роумінгу, а саме за межами України.</w:t>
      </w:r>
    </w:p>
    <w:p w:rsidR="00700325" w:rsidRDefault="00D46A14">
      <w:pPr>
        <w:pStyle w:val="a3"/>
        <w:jc w:val="both"/>
      </w:pPr>
      <w:r>
        <w:t xml:space="preserve">14. У рядку 1105 "Інші доходи від надання послуг рухомого (мобільного) зв'язку, споживачам" зазначаються інші доходи від надання послуг рухомого (мобільного) зв'язку (надання послуг у національному роумінгу, передачі SMS-повідомлень на мережу фіксованого </w:t>
      </w:r>
      <w:proofErr w:type="gramStart"/>
      <w:r>
        <w:t>телефонного</w:t>
      </w:r>
      <w:proofErr w:type="gramEnd"/>
      <w:r>
        <w:t xml:space="preserve"> зв'язку, доступ до контент-послуг тощо).</w:t>
      </w:r>
    </w:p>
    <w:p w:rsidR="00700325" w:rsidRDefault="00D46A14">
      <w:pPr>
        <w:pStyle w:val="a3"/>
        <w:jc w:val="both"/>
      </w:pPr>
      <w:r>
        <w:t xml:space="preserve">15. </w:t>
      </w:r>
      <w:proofErr w:type="gramStart"/>
      <w:r>
        <w:t>У</w:t>
      </w:r>
      <w:proofErr w:type="gramEnd"/>
      <w:r>
        <w:t xml:space="preserve"> рядку 1106 "Доходи від надання послуг з перенесення номерів, споживачам" зазначаються всі доходи, отримані від надання послуг з перенесення номерів.</w:t>
      </w:r>
    </w:p>
    <w:p w:rsidR="00700325" w:rsidRDefault="00D46A14">
      <w:pPr>
        <w:pStyle w:val="a3"/>
        <w:jc w:val="both"/>
      </w:pPr>
      <w:r>
        <w:lastRenderedPageBreak/>
        <w:t xml:space="preserve">16. У рядку 1107 "Доходи від надання послуг операторам, провайдерам телекомунікацій, усього, у т. ч.:" зазначається загальний обсяг доходів </w:t>
      </w:r>
      <w:proofErr w:type="gramStart"/>
      <w:r>
        <w:t>в</w:t>
      </w:r>
      <w:proofErr w:type="gramEnd"/>
      <w:r>
        <w:t>ід надання послуг операторам, провайдерам телекомунікацій, що є сумою рядків 1108 - 1115.</w:t>
      </w:r>
    </w:p>
    <w:p w:rsidR="00700325" w:rsidRDefault="00D46A14">
      <w:pPr>
        <w:pStyle w:val="a3"/>
        <w:jc w:val="both"/>
      </w:pPr>
      <w:r>
        <w:t xml:space="preserve">17. У рядку 1108 "початку з'єднання" зазначаються доходи від надання послуг початку з'єднання (послуга із встановлення та </w:t>
      </w:r>
      <w:proofErr w:type="gramStart"/>
      <w:r>
        <w:t>п</w:t>
      </w:r>
      <w:proofErr w:type="gramEnd"/>
      <w:r>
        <w:t>ідтримки телекомунікаційною мережею оператора фізичних та/або логічних з'єднань від кінцевого обладнання абонентів, які ініціюють з'єднання, до точки взаємоз'єднання з телекомунікаційною мережею іншого оператора, для отримання послуг термінації трафі</w:t>
      </w:r>
      <w:proofErr w:type="gramStart"/>
      <w:r>
        <w:t>ку та</w:t>
      </w:r>
      <w:proofErr w:type="gramEnd"/>
      <w:r>
        <w:t>/або транзиту трафіку).</w:t>
      </w:r>
    </w:p>
    <w:p w:rsidR="00700325" w:rsidRDefault="00D46A14">
      <w:pPr>
        <w:pStyle w:val="a3"/>
        <w:jc w:val="both"/>
      </w:pPr>
      <w:r>
        <w:t>18. У рядку 1109 "термінації міжнародного трафі</w:t>
      </w:r>
      <w:proofErr w:type="gramStart"/>
      <w:r>
        <w:t>ку на</w:t>
      </w:r>
      <w:proofErr w:type="gramEnd"/>
      <w:r>
        <w:t xml:space="preserve"> власній мережі рухомого (мобільного) зв'язку" зазначаються доходи від надання послуг термінації будь-якого трафіку на власній мережі рухомого (мобільного) зв'язку, який надходить від телекомунікаційних мереж операторів телекомунікацій інших держав.</w:t>
      </w:r>
    </w:p>
    <w:p w:rsidR="00700325" w:rsidRDefault="00D46A14">
      <w:pPr>
        <w:pStyle w:val="a3"/>
        <w:jc w:val="both"/>
      </w:pPr>
      <w:r>
        <w:t>19. У рядку 1110 "термінації міжміського трафі</w:t>
      </w:r>
      <w:proofErr w:type="gramStart"/>
      <w:r>
        <w:t>ку на</w:t>
      </w:r>
      <w:proofErr w:type="gramEnd"/>
      <w:r>
        <w:t xml:space="preserve"> власній мережі рухомого (мобільного) зв'язку" зазначаються доходи від надання послуг термінації міжміського трафіку на власній мережі рухомого (мобільного) зв'язку.</w:t>
      </w:r>
    </w:p>
    <w:p w:rsidR="00700325" w:rsidRDefault="00D46A14">
      <w:pPr>
        <w:pStyle w:val="a3"/>
        <w:jc w:val="both"/>
      </w:pPr>
      <w:r>
        <w:t>20. У рядку 1111 "термінації мобільного трафі</w:t>
      </w:r>
      <w:proofErr w:type="gramStart"/>
      <w:r>
        <w:t>ку на</w:t>
      </w:r>
      <w:proofErr w:type="gramEnd"/>
      <w:r>
        <w:t xml:space="preserve"> власній мережі рухомого (мобільного) зв'язку" зазначаються доходи від надання послуг термінації мобільного трафіку на власній мережі рухомого (мобільного) зв'язку.</w:t>
      </w:r>
    </w:p>
    <w:p w:rsidR="00700325" w:rsidRDefault="00D46A14">
      <w:pPr>
        <w:pStyle w:val="a3"/>
        <w:jc w:val="both"/>
      </w:pPr>
      <w:r>
        <w:t>21. У рядку 1112 "транзиту трафі</w:t>
      </w:r>
      <w:proofErr w:type="gramStart"/>
      <w:r>
        <w:t>ку на</w:t>
      </w:r>
      <w:proofErr w:type="gramEnd"/>
      <w:r>
        <w:t xml:space="preserve"> інші мережі рухомого (мобільного) зв'язку" зазначаються доходи від надання послуг транзиту трафіку на інші мережі рухомого (мобільного) зв'язку.</w:t>
      </w:r>
    </w:p>
    <w:p w:rsidR="00700325" w:rsidRDefault="00D46A14">
      <w:pPr>
        <w:pStyle w:val="a3"/>
        <w:jc w:val="both"/>
      </w:pPr>
      <w:r>
        <w:t>22. У рядку 1113 "транзиту трафі</w:t>
      </w:r>
      <w:proofErr w:type="gramStart"/>
      <w:r>
        <w:t>ку на</w:t>
      </w:r>
      <w:proofErr w:type="gramEnd"/>
      <w:r>
        <w:t xml:space="preserve"> інші мережі фіксованого зв'язку" зазначаються доходи від надання послуг транзиту трафіку на інші мережі фіксованого зв'язку.</w:t>
      </w:r>
    </w:p>
    <w:p w:rsidR="00700325" w:rsidRDefault="00D46A14">
      <w:pPr>
        <w:pStyle w:val="a3"/>
        <w:jc w:val="both"/>
      </w:pPr>
      <w:r>
        <w:t>23. У рядку 1114 "транзиту трафі</w:t>
      </w:r>
      <w:proofErr w:type="gramStart"/>
      <w:r>
        <w:t>ку на</w:t>
      </w:r>
      <w:proofErr w:type="gramEnd"/>
      <w:r>
        <w:t xml:space="preserve"> міжнародні мережі за межами телекомунікаційної мережі загального користування України" зазначаються доходи від надання послуг транзиту трафіку на міжнародні мережі за межами телекомунікаційної мережі загального користування України.</w:t>
      </w:r>
    </w:p>
    <w:p w:rsidR="00700325" w:rsidRDefault="00D46A14">
      <w:pPr>
        <w:pStyle w:val="a3"/>
        <w:jc w:val="both"/>
      </w:pPr>
      <w:r>
        <w:t>24. У рядку 1115 "доступу до мережі, усього, у т. ч.</w:t>
      </w:r>
      <w:proofErr w:type="gramStart"/>
      <w:r>
        <w:t>:"</w:t>
      </w:r>
      <w:proofErr w:type="gramEnd"/>
      <w:r>
        <w:t xml:space="preserve"> зазначається обсяг доходів, отриманих від надання послуг доступу до власної мережі, як національним, так і операторам телекомунікацій інших держав.</w:t>
      </w:r>
    </w:p>
    <w:p w:rsidR="00700325" w:rsidRDefault="00D46A14">
      <w:pPr>
        <w:pStyle w:val="a3"/>
        <w:jc w:val="both"/>
      </w:pPr>
      <w:r>
        <w:t xml:space="preserve">25. </w:t>
      </w:r>
      <w:proofErr w:type="gramStart"/>
      <w:r>
        <w:t>У</w:t>
      </w:r>
      <w:proofErr w:type="gramEnd"/>
      <w:r>
        <w:t xml:space="preserve"> </w:t>
      </w:r>
      <w:proofErr w:type="gramStart"/>
      <w:r>
        <w:t>рядку</w:t>
      </w:r>
      <w:proofErr w:type="gramEnd"/>
      <w:r>
        <w:t xml:space="preserve"> 1116 "при наданні послуг роумінгу операторам телекомунікацій інших держав" зазначається обсяг доходів, отриманих від надання послуг доступу до власної мережі операторам телекомунікацій інших держав.</w:t>
      </w:r>
    </w:p>
    <w:p w:rsidR="00700325" w:rsidRDefault="00D46A14">
      <w:pPr>
        <w:pStyle w:val="a3"/>
        <w:jc w:val="both"/>
      </w:pPr>
      <w:r>
        <w:t xml:space="preserve">26. </w:t>
      </w:r>
      <w:proofErr w:type="gramStart"/>
      <w:r>
        <w:t>У</w:t>
      </w:r>
      <w:proofErr w:type="gramEnd"/>
      <w:r>
        <w:t xml:space="preserve"> </w:t>
      </w:r>
      <w:proofErr w:type="gramStart"/>
      <w:r>
        <w:t>рядку</w:t>
      </w:r>
      <w:proofErr w:type="gramEnd"/>
      <w:r>
        <w:t xml:space="preserve"> 1117 "при наданні послуг національного роумінгу" зазначається обсяг доходів, отриманих від надання послуг доступу до власної мережі іншим національним операторам зв'язку.</w:t>
      </w:r>
    </w:p>
    <w:p w:rsidR="00700325" w:rsidRDefault="00D46A14">
      <w:pPr>
        <w:pStyle w:val="a3"/>
        <w:jc w:val="both"/>
      </w:pPr>
      <w:r>
        <w:t>27. У рядку 1118 "Загальний обсяг голосового трафіку, у т. ч.</w:t>
      </w:r>
      <w:proofErr w:type="gramStart"/>
      <w:r>
        <w:t>:"</w:t>
      </w:r>
      <w:proofErr w:type="gramEnd"/>
      <w:r>
        <w:t xml:space="preserve"> зазначається обсяг голосового трафіку, що є сумою рядків 1119, 1124, 1129, 1130.</w:t>
      </w:r>
    </w:p>
    <w:p w:rsidR="00700325" w:rsidRDefault="00D46A14">
      <w:pPr>
        <w:pStyle w:val="a3"/>
        <w:jc w:val="both"/>
      </w:pPr>
      <w:r>
        <w:t>28. У рядку 1119 "вихідний, у т. ч.</w:t>
      </w:r>
      <w:proofErr w:type="gramStart"/>
      <w:r>
        <w:t>:"</w:t>
      </w:r>
      <w:proofErr w:type="gramEnd"/>
      <w:r>
        <w:t xml:space="preserve"> зазначається обсяг вихідного голосового трафіку, що є сумою рядків 1120, 1121, 1122, 1123.</w:t>
      </w:r>
    </w:p>
    <w:p w:rsidR="00700325" w:rsidRDefault="00D46A14">
      <w:pPr>
        <w:pStyle w:val="a3"/>
        <w:jc w:val="both"/>
      </w:pPr>
      <w:r>
        <w:lastRenderedPageBreak/>
        <w:t>29. У рядку 1120 "на мережі інших операторів рухомого (мобільного) зв'язку" зазначається вихідний обсяг голосового трафі</w:t>
      </w:r>
      <w:proofErr w:type="gramStart"/>
      <w:r>
        <w:t>ку на</w:t>
      </w:r>
      <w:proofErr w:type="gramEnd"/>
      <w:r>
        <w:t xml:space="preserve"> мережі інших операторів рухомого (мобільного) зв'язку.</w:t>
      </w:r>
    </w:p>
    <w:p w:rsidR="00700325" w:rsidRDefault="00D46A14">
      <w:pPr>
        <w:pStyle w:val="a3"/>
        <w:jc w:val="both"/>
      </w:pPr>
      <w:r>
        <w:t>30. У рядку 1121 "на мережі операторів фіксованого зв'язку" зазначається вихідний обсяг голосового трафі</w:t>
      </w:r>
      <w:proofErr w:type="gramStart"/>
      <w:r>
        <w:t>ку на</w:t>
      </w:r>
      <w:proofErr w:type="gramEnd"/>
      <w:r>
        <w:t xml:space="preserve"> мережі операторів фіксованого зв'язку.</w:t>
      </w:r>
    </w:p>
    <w:p w:rsidR="00700325" w:rsidRDefault="00D46A14">
      <w:pPr>
        <w:pStyle w:val="a3"/>
        <w:jc w:val="both"/>
      </w:pPr>
      <w:r>
        <w:t xml:space="preserve">31. </w:t>
      </w:r>
      <w:proofErr w:type="gramStart"/>
      <w:r>
        <w:t>У</w:t>
      </w:r>
      <w:proofErr w:type="gramEnd"/>
      <w:r>
        <w:t xml:space="preserve"> </w:t>
      </w:r>
      <w:proofErr w:type="gramStart"/>
      <w:r>
        <w:t>рядку</w:t>
      </w:r>
      <w:proofErr w:type="gramEnd"/>
      <w:r>
        <w:t xml:space="preserve"> 1122 "міжнародний трафік" зазначається вихідний обсяг голосового міжнародного трафіку.</w:t>
      </w:r>
    </w:p>
    <w:p w:rsidR="00700325" w:rsidRDefault="00D46A14">
      <w:pPr>
        <w:pStyle w:val="a3"/>
        <w:jc w:val="both"/>
      </w:pPr>
      <w:r>
        <w:t xml:space="preserve">32. </w:t>
      </w:r>
      <w:proofErr w:type="gramStart"/>
      <w:r>
        <w:t>У</w:t>
      </w:r>
      <w:proofErr w:type="gramEnd"/>
      <w:r>
        <w:t xml:space="preserve"> рядку 1123 "інший" зазначається інший вихідний голосовий трафік, який не увійшов до рядків з 1120 по 1122.</w:t>
      </w:r>
    </w:p>
    <w:p w:rsidR="00700325" w:rsidRDefault="00D46A14">
      <w:pPr>
        <w:pStyle w:val="a3"/>
        <w:jc w:val="both"/>
      </w:pPr>
      <w:r>
        <w:t>33. У рядку 1124 "вхідний, у т. ч.</w:t>
      </w:r>
      <w:proofErr w:type="gramStart"/>
      <w:r>
        <w:t>:"</w:t>
      </w:r>
      <w:proofErr w:type="gramEnd"/>
      <w:r>
        <w:t xml:space="preserve"> зазначається обсяг вхідного голосового трафіку, що є сумою рядків 1125, 1126, 1127, 1128.</w:t>
      </w:r>
    </w:p>
    <w:p w:rsidR="00700325" w:rsidRDefault="00D46A14">
      <w:pPr>
        <w:pStyle w:val="a3"/>
        <w:jc w:val="both"/>
      </w:pPr>
      <w:r>
        <w:t xml:space="preserve">34. У рядку 1125 "з мереж інших операторів рухомого (мобільного) зв'язку" зазначається обсяг вхідного </w:t>
      </w:r>
      <w:proofErr w:type="gramStart"/>
      <w:r>
        <w:t>голосового</w:t>
      </w:r>
      <w:proofErr w:type="gramEnd"/>
      <w:r>
        <w:t xml:space="preserve"> трафіку з мереж операторів рухомого (мобільного) зв'язку.</w:t>
      </w:r>
    </w:p>
    <w:p w:rsidR="00700325" w:rsidRDefault="00D46A14">
      <w:pPr>
        <w:pStyle w:val="a3"/>
        <w:jc w:val="both"/>
      </w:pPr>
      <w:r>
        <w:t xml:space="preserve">35. У рядку 1126 "з мереж операторів фіксованого зв'язку" зазначається обсяг вхідного </w:t>
      </w:r>
      <w:proofErr w:type="gramStart"/>
      <w:r>
        <w:t>голосового</w:t>
      </w:r>
      <w:proofErr w:type="gramEnd"/>
      <w:r>
        <w:t xml:space="preserve"> трафіку з мереж операторів фіксованого зв'язку.</w:t>
      </w:r>
    </w:p>
    <w:p w:rsidR="00700325" w:rsidRDefault="00D46A14">
      <w:pPr>
        <w:pStyle w:val="a3"/>
        <w:jc w:val="both"/>
      </w:pPr>
      <w:r>
        <w:t xml:space="preserve">36. </w:t>
      </w:r>
      <w:proofErr w:type="gramStart"/>
      <w:r>
        <w:t>У</w:t>
      </w:r>
      <w:proofErr w:type="gramEnd"/>
      <w:r>
        <w:t xml:space="preserve"> </w:t>
      </w:r>
      <w:proofErr w:type="gramStart"/>
      <w:r>
        <w:t>рядку</w:t>
      </w:r>
      <w:proofErr w:type="gramEnd"/>
      <w:r>
        <w:t xml:space="preserve"> 1127 "міжнародний трафік" зазначається обсяг вхідного голосового міжнародного трафіку.</w:t>
      </w:r>
    </w:p>
    <w:p w:rsidR="00700325" w:rsidRDefault="00D46A14">
      <w:pPr>
        <w:pStyle w:val="a3"/>
        <w:jc w:val="both"/>
      </w:pPr>
      <w:r>
        <w:t xml:space="preserve">37. </w:t>
      </w:r>
      <w:proofErr w:type="gramStart"/>
      <w:r>
        <w:t>У</w:t>
      </w:r>
      <w:proofErr w:type="gramEnd"/>
      <w:r>
        <w:t xml:space="preserve"> рядку 1128 "інший" зазначається інший вхідний голосовий трафік, який не увійшов до рядків з 1125 по 1127.</w:t>
      </w:r>
    </w:p>
    <w:p w:rsidR="00700325" w:rsidRDefault="00D46A14">
      <w:pPr>
        <w:pStyle w:val="a3"/>
        <w:jc w:val="both"/>
      </w:pPr>
      <w:r>
        <w:t xml:space="preserve">38. У рядку 1129 "транзитний трафік" зазначається обсяг </w:t>
      </w:r>
      <w:proofErr w:type="gramStart"/>
      <w:r>
        <w:t>транзитного</w:t>
      </w:r>
      <w:proofErr w:type="gramEnd"/>
      <w:r>
        <w:t xml:space="preserve"> голосового трафіку.</w:t>
      </w:r>
    </w:p>
    <w:p w:rsidR="00700325" w:rsidRDefault="00D46A14">
      <w:pPr>
        <w:pStyle w:val="a3"/>
        <w:jc w:val="both"/>
      </w:pPr>
      <w:r>
        <w:t xml:space="preserve">39. У рядку 1130 "внутрішньомережевий" зазначається обсяг голосового трафіку, згенерований у </w:t>
      </w:r>
      <w:proofErr w:type="gramStart"/>
      <w:r>
        <w:t>межах</w:t>
      </w:r>
      <w:proofErr w:type="gramEnd"/>
      <w:r>
        <w:t xml:space="preserve"> мереж одного оператора телекомунікацій.</w:t>
      </w:r>
    </w:p>
    <w:p w:rsidR="00700325" w:rsidRDefault="00D46A14">
      <w:pPr>
        <w:pStyle w:val="a3"/>
        <w:jc w:val="both"/>
      </w:pPr>
      <w:r>
        <w:t>40. У рядку 1131 "Кількість активних ідентифікаційних телекомунікаційних карток мережі рухомого (мобільного) зв'язку, з них</w:t>
      </w:r>
      <w:proofErr w:type="gramStart"/>
      <w:r>
        <w:t>:"</w:t>
      </w:r>
      <w:proofErr w:type="gramEnd"/>
      <w:r>
        <w:t xml:space="preserve"> зазначається кількість усіх активних ідентифікаційних телекомунікаційних карток мережі оператора в цілому по Україні.</w:t>
      </w:r>
    </w:p>
    <w:p w:rsidR="00700325" w:rsidRDefault="00D46A14">
      <w:pPr>
        <w:pStyle w:val="a3"/>
        <w:jc w:val="both"/>
      </w:pPr>
      <w:r>
        <w:t xml:space="preserve">41. </w:t>
      </w:r>
      <w:proofErr w:type="gramStart"/>
      <w:r>
        <w:t>У рядку 1132 "за контрактним обслуговуванням" зазначається кількість усіх активних ідентифікаційних телекомунікаційних карток мережі оператора в цілому по Україні, які обслуговуються за контрактом, у графі 2 "з них фізичним особам, у т. ч. незареєстрованим абонентам", зазначаються лише фізичні особи, які обслуговуються за контрактом.</w:t>
      </w:r>
      <w:proofErr w:type="gramEnd"/>
    </w:p>
    <w:p w:rsidR="00700325" w:rsidRDefault="00D46A14">
      <w:pPr>
        <w:pStyle w:val="a3"/>
        <w:jc w:val="both"/>
      </w:pPr>
      <w:r>
        <w:t xml:space="preserve">42. </w:t>
      </w:r>
      <w:proofErr w:type="gramStart"/>
      <w:r>
        <w:t>У рядку 1133 "за передплаченою послугою, зареєстрованим абонентам" зазначається кількість усіх зареєстрованих ідентифікаційних телекомунікаційних карток мережі оператора в цілому по Україні, які обслуговуються за передплаченою послугою, у графі 2 "з них фізичним особам, у т. ч. незареєстрованим абонентам", зазначаються лише фізичні особи, які є зареєстрованими</w:t>
      </w:r>
      <w:proofErr w:type="gramEnd"/>
      <w:r>
        <w:t xml:space="preserve"> та обслуговуються за передплаченою послугою.</w:t>
      </w:r>
    </w:p>
    <w:p w:rsidR="00700325" w:rsidRDefault="00D46A14">
      <w:pPr>
        <w:pStyle w:val="a3"/>
        <w:jc w:val="both"/>
      </w:pPr>
      <w:r>
        <w:t xml:space="preserve">43. </w:t>
      </w:r>
      <w:proofErr w:type="gramStart"/>
      <w:r>
        <w:t>У</w:t>
      </w:r>
      <w:proofErr w:type="gramEnd"/>
      <w:r>
        <w:t xml:space="preserve"> </w:t>
      </w:r>
      <w:proofErr w:type="gramStart"/>
      <w:r>
        <w:t>рядку</w:t>
      </w:r>
      <w:proofErr w:type="gramEnd"/>
      <w:r>
        <w:t xml:space="preserve"> 1134 "Кількість надісланих SMS-повідомлень" зазначається кількість надісланих SMS-повідомлень з мереж оператора телекомунікацій.</w:t>
      </w:r>
    </w:p>
    <w:p w:rsidR="00700325" w:rsidRDefault="00D46A14">
      <w:pPr>
        <w:pStyle w:val="a3"/>
        <w:jc w:val="both"/>
      </w:pPr>
      <w:r>
        <w:lastRenderedPageBreak/>
        <w:t xml:space="preserve">44. У рядку 1135 "з них міжнародні" зазначається кількість надісланих SMS-повідомлень </w:t>
      </w:r>
      <w:proofErr w:type="gramStart"/>
      <w:r>
        <w:t>за</w:t>
      </w:r>
      <w:proofErr w:type="gramEnd"/>
      <w:r>
        <w:t xml:space="preserve"> межі України на телекомунікаційні мережі операторів телекомунікацій інших держав.</w:t>
      </w:r>
    </w:p>
    <w:p w:rsidR="00700325" w:rsidRDefault="00D46A14">
      <w:pPr>
        <w:pStyle w:val="a3"/>
        <w:jc w:val="both"/>
      </w:pPr>
      <w:r>
        <w:t xml:space="preserve">45. </w:t>
      </w:r>
      <w:proofErr w:type="gramStart"/>
      <w:r>
        <w:t>У</w:t>
      </w:r>
      <w:proofErr w:type="gramEnd"/>
      <w:r>
        <w:t xml:space="preserve"> </w:t>
      </w:r>
      <w:proofErr w:type="gramStart"/>
      <w:r>
        <w:t>рядку</w:t>
      </w:r>
      <w:proofErr w:type="gramEnd"/>
      <w:r>
        <w:t xml:space="preserve"> 1136 "Кількість надісланих MMS-повідомлень" зазначається кількість надісланих MMS-повідомлень з мереж оператора телекомунікацій.</w:t>
      </w:r>
    </w:p>
    <w:p w:rsidR="00700325" w:rsidRDefault="00D46A14">
      <w:pPr>
        <w:pStyle w:val="a3"/>
        <w:jc w:val="both"/>
      </w:pPr>
      <w:r>
        <w:t xml:space="preserve">46. У рядку 1137 "з них міжнародні" зазначається кількість надісланих MMS-повідомлень </w:t>
      </w:r>
      <w:proofErr w:type="gramStart"/>
      <w:r>
        <w:t>за</w:t>
      </w:r>
      <w:proofErr w:type="gramEnd"/>
      <w:r>
        <w:t xml:space="preserve"> межі України на телекомунікаційні мережі операторів телекомунікацій інших держав.</w:t>
      </w:r>
    </w:p>
    <w:p w:rsidR="00700325" w:rsidRDefault="00D46A14">
      <w:pPr>
        <w:pStyle w:val="a3"/>
        <w:jc w:val="both"/>
      </w:pPr>
      <w:r>
        <w:t xml:space="preserve">47. </w:t>
      </w:r>
      <w:proofErr w:type="gramStart"/>
      <w:r>
        <w:t>У розділі III зазначаються показники діяльності оператора, провайдера телекомунікацій від надання послуг за звітний період для споживачів, операторів, провайдерів телекомунікацій, що поділяються на "Всього" (графа 1) та "з них фізичним особам, у т. ч. незареєстрованим абонентам" (графа 2).</w:t>
      </w:r>
      <w:proofErr w:type="gramEnd"/>
    </w:p>
    <w:p w:rsidR="00700325" w:rsidRPr="0041559B" w:rsidRDefault="00D46A14">
      <w:pPr>
        <w:pStyle w:val="a3"/>
        <w:jc w:val="both"/>
        <w:rPr>
          <w:lang w:val="en-US"/>
        </w:rPr>
      </w:pPr>
      <w:r>
        <w:t>48. У рядку 1138 "Доходи від надання послуг передачі даних, у тому числі доступу до мережі Інтернет, усього, з них</w:t>
      </w:r>
      <w:proofErr w:type="gramStart"/>
      <w:r>
        <w:t>:"</w:t>
      </w:r>
      <w:proofErr w:type="gramEnd"/>
      <w:r>
        <w:t xml:space="preserve"> зазначаються доходи від передачі даних та надання послуг з безпроводового доступу до мережі Інтернет з використанням технологій CDMA 2000 (Code Division Multiple Access), CDMA 1x, 1xEv-Do Rel 0, Rev. A, Rev.B, Rev. B+, GPRS (General Packet Radio Service), EDGE (Enhanced Data-Rates For GSM Evolution), UMTS (Universal Mobile Telecommunications System), HSPA (High-Speed Packet Access) та ін. </w:t>
      </w:r>
      <w:r w:rsidRPr="0041559B">
        <w:rPr>
          <w:lang w:val="en-US"/>
        </w:rPr>
        <w:t xml:space="preserve">HSPA (High-Speed Packet Access) = HSDPA (High-Speed Downlink Packet Access) + HSUPA (High-Speed Uplink Packet Access) </w:t>
      </w:r>
      <w:r>
        <w:t>та</w:t>
      </w:r>
      <w:r w:rsidRPr="0041559B">
        <w:rPr>
          <w:lang w:val="en-US"/>
        </w:rPr>
        <w:t xml:space="preserve"> LTE (LTE Advanced).</w:t>
      </w:r>
    </w:p>
    <w:p w:rsidR="00700325" w:rsidRPr="0041559B" w:rsidRDefault="00D46A14">
      <w:pPr>
        <w:pStyle w:val="a3"/>
        <w:jc w:val="both"/>
        <w:rPr>
          <w:lang w:val="en-US"/>
        </w:rPr>
      </w:pPr>
      <w:r>
        <w:t>49. У рядку 1139 "за доступ до мережі Інтернет, у т. ч.</w:t>
      </w:r>
      <w:proofErr w:type="gramStart"/>
      <w:r>
        <w:t>:"</w:t>
      </w:r>
      <w:proofErr w:type="gramEnd"/>
      <w:r>
        <w:t xml:space="preserve"> зазначаються доходи від надання послуг з безпроводового доступу до мережі Інтернет з використанням технологій CDMA 1xEV-DO Rel 0, Rev. A, Rev.B, Rev. B+, GPRS (General Packet Radio Service), EDGE (Enhanced Data-Rates For GSM Evolution), WiMAX (IEEE 802.16), UMTS (Universal Mobile Telecommunications System), HSPA (High-Speed Packet Access) та ін. </w:t>
      </w:r>
      <w:r w:rsidRPr="0041559B">
        <w:rPr>
          <w:lang w:val="en-US"/>
        </w:rPr>
        <w:t xml:space="preserve">HSPA (High-Speed Packet Access) = HSDPA (High-Speed Downlink Packet Access) + HSUPA (High-Speed Uplink Packet Access) </w:t>
      </w:r>
      <w:r>
        <w:t>та</w:t>
      </w:r>
      <w:r w:rsidRPr="0041559B">
        <w:rPr>
          <w:lang w:val="en-US"/>
        </w:rPr>
        <w:t xml:space="preserve"> LTE (LTE Advanced).</w:t>
      </w:r>
    </w:p>
    <w:p w:rsidR="00700325" w:rsidRDefault="00D46A14">
      <w:pPr>
        <w:pStyle w:val="a3"/>
        <w:jc w:val="both"/>
      </w:pPr>
      <w:r>
        <w:t>50. У рядку 1140 "</w:t>
      </w:r>
      <w:proofErr w:type="gramStart"/>
      <w:r>
        <w:t>за</w:t>
      </w:r>
      <w:proofErr w:type="gramEnd"/>
      <w:r>
        <w:t xml:space="preserve"> технологією 3G" зазначаються доходи від надання послуг з безпроводового доступу до мережі Інтернет з використанням технологій IMT-2000, у т. ч. UMTS, HSPA, HSPA+, CDMA 1xEV-DO Rel.0, CDMA 1xEV-DO Rev. A, CDMA2000 1xEV-DO Rev. B, WiMAX (IEEE 802.16).</w:t>
      </w:r>
    </w:p>
    <w:p w:rsidR="00700325" w:rsidRDefault="00D46A14">
      <w:pPr>
        <w:pStyle w:val="a3"/>
        <w:jc w:val="both"/>
      </w:pPr>
      <w:r>
        <w:t>51. У рядку 1141 "</w:t>
      </w:r>
      <w:proofErr w:type="gramStart"/>
      <w:r>
        <w:t>за</w:t>
      </w:r>
      <w:proofErr w:type="gramEnd"/>
      <w:r>
        <w:t xml:space="preserve"> технологією 4G" зазначаються доходи від надання послуг з безпроводового доступу до мережі Інтернет з використанням технологій LTE (LTE Advanced).</w:t>
      </w:r>
    </w:p>
    <w:p w:rsidR="00700325" w:rsidRDefault="00D46A14">
      <w:pPr>
        <w:pStyle w:val="a3"/>
        <w:jc w:val="both"/>
      </w:pPr>
      <w:r>
        <w:t>52. У рядку 1142 "Кількість активних ідентифікаційних телекомунікаційних карток мережі рухомого (мобільного) зв'язку, з яких був здійснений доступ до мережі Інтернет (активних SIM (USIM, R-UIM), з них</w:t>
      </w:r>
      <w:proofErr w:type="gramStart"/>
      <w:r>
        <w:t>:"</w:t>
      </w:r>
      <w:proofErr w:type="gramEnd"/>
      <w:r>
        <w:t xml:space="preserve"> зазначається загальна кількість активних ідентифікаційних телекомунікаційних карток мережі оператора, з яких протягом звітного періоду зафіксовано щонайменше одну та/або більше сесій доступу до мережі Інтернет.</w:t>
      </w:r>
    </w:p>
    <w:p w:rsidR="00700325" w:rsidRDefault="00D46A14">
      <w:pPr>
        <w:pStyle w:val="a3"/>
        <w:jc w:val="both"/>
      </w:pPr>
      <w:r>
        <w:t xml:space="preserve">53. </w:t>
      </w:r>
      <w:proofErr w:type="gramStart"/>
      <w:r>
        <w:t>У рядку 1143 "за контрактним обслуговуванням" зазначається кількість активних ідентифікаційних телекомунікаційних карток мережі оператора, які обслуговуються за контрактом, з яких протягом звітного періоду зафіксовано щонайменше одну та/або більше сесій доступу до мережі Інтернет, у графі 2 "з них фізичним особам, у т. ч. незареєстрованим абонентам</w:t>
      </w:r>
      <w:proofErr w:type="gramEnd"/>
      <w:r>
        <w:t>" зазначаються лише фізичні особи, які обслуговуються за контрактом.</w:t>
      </w:r>
    </w:p>
    <w:p w:rsidR="00700325" w:rsidRDefault="00D46A14">
      <w:pPr>
        <w:pStyle w:val="a3"/>
        <w:jc w:val="both"/>
      </w:pPr>
      <w:r>
        <w:lastRenderedPageBreak/>
        <w:t xml:space="preserve">54. </w:t>
      </w:r>
      <w:proofErr w:type="gramStart"/>
      <w:r>
        <w:t>У рядку 1144 "за передплаченою послугою зареєстрованим абонентам" зазначається кількість активних ідентифікаційних телекомунікаційних карток мережі оператора, які обслуговуються за передплаченою послугою, з яких протягом звітного періоду зафіксовано щонайменше одну та/або більше сесій доступу до мережі Інтернет, у графі 2 "з них фізичним особам, у т</w:t>
      </w:r>
      <w:proofErr w:type="gramEnd"/>
      <w:r>
        <w:t>. ч. незареєстрованим абонентам" зазначаються лише фізичні особи, які є зареєстрованими та обслуговуються за передплаченою послугою.</w:t>
      </w:r>
    </w:p>
    <w:p w:rsidR="00700325" w:rsidRDefault="00D46A14">
      <w:pPr>
        <w:pStyle w:val="a3"/>
        <w:jc w:val="both"/>
      </w:pPr>
      <w:r>
        <w:t xml:space="preserve">55. У рядку 1145 "Обсяг Інтернет-трафіку (download)" зазначається загальний обсяг завантаженого трафіку користувачами (заповнюється за наявності </w:t>
      </w:r>
      <w:proofErr w:type="gramStart"/>
      <w:r>
        <w:t>техн</w:t>
      </w:r>
      <w:proofErr w:type="gramEnd"/>
      <w:r>
        <w:t>ічної можливості).</w:t>
      </w:r>
    </w:p>
    <w:p w:rsidR="00700325" w:rsidRDefault="00D46A14">
      <w:pPr>
        <w:pStyle w:val="a3"/>
        <w:jc w:val="both"/>
      </w:pPr>
      <w:r>
        <w:t xml:space="preserve">56. У рядку 1146 "Обсяг Інтернет-трафіку (upload)" зазначається загальний обсяг вивантаженого трафіку користувачами (заповнюється за наявності </w:t>
      </w:r>
      <w:proofErr w:type="gramStart"/>
      <w:r>
        <w:t>техн</w:t>
      </w:r>
      <w:proofErr w:type="gramEnd"/>
      <w:r>
        <w:t>ічної можливості).</w:t>
      </w:r>
    </w:p>
    <w:p w:rsidR="00700325" w:rsidRDefault="00D46A14">
      <w:pPr>
        <w:pStyle w:val="a3"/>
        <w:jc w:val="both"/>
      </w:pPr>
      <w:r>
        <w:t xml:space="preserve">57. </w:t>
      </w:r>
      <w:proofErr w:type="gramStart"/>
      <w:r>
        <w:t>У</w:t>
      </w:r>
      <w:proofErr w:type="gramEnd"/>
      <w:r>
        <w:t xml:space="preserve"> </w:t>
      </w:r>
      <w:proofErr w:type="gramStart"/>
      <w:r>
        <w:t>рядку</w:t>
      </w:r>
      <w:proofErr w:type="gramEnd"/>
      <w:r>
        <w:t xml:space="preserve"> 1147* "Відсоток населення, охопленого мережею рухомого (мобільного) зв'язку 2G" відображається процентна частка мешканців країни, які перебувають у зоні прийому сигналу мережі рухомого (мобільного) зв'язку, незалежно від того є вони абонентами чи користувачами послуг.</w:t>
      </w:r>
    </w:p>
    <w:p w:rsidR="00700325" w:rsidRDefault="00D46A14">
      <w:pPr>
        <w:pStyle w:val="a3"/>
        <w:jc w:val="both"/>
      </w:pPr>
      <w:r>
        <w:t xml:space="preserve">58. </w:t>
      </w:r>
      <w:proofErr w:type="gramStart"/>
      <w:r>
        <w:t>У</w:t>
      </w:r>
      <w:proofErr w:type="gramEnd"/>
      <w:r>
        <w:t xml:space="preserve"> </w:t>
      </w:r>
      <w:proofErr w:type="gramStart"/>
      <w:r>
        <w:t>рядку</w:t>
      </w:r>
      <w:proofErr w:type="gramEnd"/>
      <w:r>
        <w:t xml:space="preserve"> 1148* "Відсоток населення, охопленого мережею рухомого (мобільного) зв'язку 3G" відображається процентна частка мешканців країни, які перебувають у зоні прийому сигналу 3G мережі рухомого (мобільного) зв'язку, незалежно від того є вони абонентами чи користувачами послуг.</w:t>
      </w:r>
    </w:p>
    <w:p w:rsidR="00700325" w:rsidRDefault="00D46A14">
      <w:pPr>
        <w:pStyle w:val="a3"/>
        <w:jc w:val="both"/>
      </w:pPr>
      <w:r>
        <w:t xml:space="preserve">59. </w:t>
      </w:r>
      <w:proofErr w:type="gramStart"/>
      <w:r>
        <w:t>У</w:t>
      </w:r>
      <w:proofErr w:type="gramEnd"/>
      <w:r>
        <w:t xml:space="preserve"> </w:t>
      </w:r>
      <w:proofErr w:type="gramStart"/>
      <w:r>
        <w:t>рядку</w:t>
      </w:r>
      <w:proofErr w:type="gramEnd"/>
      <w:r>
        <w:t xml:space="preserve"> 1149* "Відсоток населення, охопленого мережею рухомого (мобільного) зв'язку 4G" відображається процентна частка мешканців країни, які перебувають у зоні прийому сигналу 4G мережі рухомого (мобільного) зв'язку, незалежно від того є вони абонентами чи користувачами послуг.</w:t>
      </w:r>
    </w:p>
    <w:p w:rsidR="00700325" w:rsidRDefault="00D46A14">
      <w:pPr>
        <w:pStyle w:val="a3"/>
        <w:jc w:val="both"/>
        <w:rPr>
          <w:sz w:val="20"/>
          <w:szCs w:val="20"/>
        </w:rPr>
      </w:pPr>
      <w:r>
        <w:t>____________</w:t>
      </w:r>
      <w:r>
        <w:br/>
        <w:t xml:space="preserve">* </w:t>
      </w:r>
      <w:r>
        <w:rPr>
          <w:i/>
          <w:iCs/>
          <w:sz w:val="20"/>
          <w:szCs w:val="20"/>
        </w:rPr>
        <w:t xml:space="preserve">Для розрахунку використовуються статистичні дані щодо чисельності наявного населення, оприлюднені на офіційному веб-сайті Держстату в розділі "Публікація" / "Демографічна та </w:t>
      </w:r>
      <w:proofErr w:type="gramStart"/>
      <w:r>
        <w:rPr>
          <w:i/>
          <w:iCs/>
          <w:sz w:val="20"/>
          <w:szCs w:val="20"/>
        </w:rPr>
        <w:t>соц</w:t>
      </w:r>
      <w:proofErr w:type="gramEnd"/>
      <w:r>
        <w:rPr>
          <w:i/>
          <w:iCs/>
          <w:sz w:val="20"/>
          <w:szCs w:val="20"/>
        </w:rPr>
        <w:t>іальна статистика" / "Населення та міграція" / "Чисельність населення України" (статистичний збірник)".</w:t>
      </w:r>
    </w:p>
    <w:p w:rsidR="00700325" w:rsidRDefault="00D46A14">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700325">
        <w:trPr>
          <w:tblCellSpacing w:w="22" w:type="dxa"/>
        </w:trPr>
        <w:tc>
          <w:tcPr>
            <w:tcW w:w="2500" w:type="pct"/>
            <w:vAlign w:val="bottom"/>
            <w:hideMark/>
          </w:tcPr>
          <w:p w:rsidR="00700325" w:rsidRDefault="00D46A14">
            <w:pPr>
              <w:pStyle w:val="a3"/>
              <w:jc w:val="center"/>
            </w:pPr>
            <w:r>
              <w:rPr>
                <w:b/>
                <w:bCs/>
              </w:rPr>
              <w:t>Директор Департаменту</w:t>
            </w:r>
            <w:r>
              <w:br/>
            </w:r>
            <w:r>
              <w:rPr>
                <w:b/>
                <w:bCs/>
              </w:rPr>
              <w:t>економічного аналізу</w:t>
            </w:r>
          </w:p>
        </w:tc>
        <w:tc>
          <w:tcPr>
            <w:tcW w:w="2500" w:type="pct"/>
            <w:vAlign w:val="bottom"/>
            <w:hideMark/>
          </w:tcPr>
          <w:p w:rsidR="00700325" w:rsidRDefault="00D46A14">
            <w:pPr>
              <w:pStyle w:val="a3"/>
              <w:jc w:val="center"/>
            </w:pPr>
            <w:r>
              <w:rPr>
                <w:b/>
                <w:bCs/>
              </w:rPr>
              <w:t>А. Барабін</w:t>
            </w:r>
          </w:p>
        </w:tc>
      </w:tr>
    </w:tbl>
    <w:p w:rsidR="00700325" w:rsidRDefault="00D46A14">
      <w:pPr>
        <w:pStyle w:val="a3"/>
        <w:jc w:val="both"/>
      </w:pPr>
      <w:r>
        <w:br w:type="textWrapping" w:clear="all"/>
      </w:r>
    </w:p>
    <w:p w:rsidR="00D46A14" w:rsidRDefault="00D46A14" w:rsidP="0041559B">
      <w:pPr>
        <w:pStyle w:val="a3"/>
        <w:jc w:val="both"/>
        <w:rPr>
          <w:rFonts w:eastAsia="Times New Roman"/>
        </w:rPr>
      </w:pPr>
      <w:r>
        <w:t> </w:t>
      </w:r>
    </w:p>
    <w:sectPr w:rsidR="00D46A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14376B"/>
    <w:rsid w:val="0014376B"/>
    <w:rsid w:val="0041559B"/>
    <w:rsid w:val="00700325"/>
    <w:rsid w:val="00D46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14376B"/>
    <w:rPr>
      <w:rFonts w:ascii="Tahoma" w:hAnsi="Tahoma" w:cs="Tahoma"/>
      <w:sz w:val="16"/>
      <w:szCs w:val="16"/>
    </w:rPr>
  </w:style>
  <w:style w:type="character" w:customStyle="1" w:styleId="a5">
    <w:name w:val="Текст выноски Знак"/>
    <w:basedOn w:val="a0"/>
    <w:link w:val="a4"/>
    <w:uiPriority w:val="99"/>
    <w:semiHidden/>
    <w:rsid w:val="0014376B"/>
    <w:rPr>
      <w:rFonts w:ascii="Tahoma" w:eastAsiaTheme="minorEastAsia" w:hAnsi="Tahoma" w:cs="Tahoma"/>
      <w:sz w:val="16"/>
      <w:szCs w:val="16"/>
    </w:rPr>
  </w:style>
  <w:style w:type="paragraph" w:customStyle="1" w:styleId="tc">
    <w:name w:val="tc"/>
    <w:basedOn w:val="a"/>
    <w:rsid w:val="0041559B"/>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14376B"/>
    <w:rPr>
      <w:rFonts w:ascii="Tahoma" w:hAnsi="Tahoma" w:cs="Tahoma"/>
      <w:sz w:val="16"/>
      <w:szCs w:val="16"/>
    </w:rPr>
  </w:style>
  <w:style w:type="character" w:customStyle="1" w:styleId="a5">
    <w:name w:val="Текст выноски Знак"/>
    <w:basedOn w:val="a0"/>
    <w:link w:val="a4"/>
    <w:uiPriority w:val="99"/>
    <w:semiHidden/>
    <w:rsid w:val="0014376B"/>
    <w:rPr>
      <w:rFonts w:ascii="Tahoma" w:eastAsiaTheme="minorEastAsia" w:hAnsi="Tahoma" w:cs="Tahoma"/>
      <w:sz w:val="16"/>
      <w:szCs w:val="16"/>
    </w:rPr>
  </w:style>
  <w:style w:type="paragraph" w:customStyle="1" w:styleId="tc">
    <w:name w:val="tc"/>
    <w:basedOn w:val="a"/>
    <w:rsid w:val="0041559B"/>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3482</Words>
  <Characters>19853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Поліщук Марина Іванівна</cp:lastModifiedBy>
  <cp:revision>2</cp:revision>
  <dcterms:created xsi:type="dcterms:W3CDTF">2019-02-11T13:22:00Z</dcterms:created>
  <dcterms:modified xsi:type="dcterms:W3CDTF">2019-02-11T13:22:00Z</dcterms:modified>
</cp:coreProperties>
</file>