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6F" w:rsidRDefault="00EC7F6F">
      <w:pPr>
        <w:pStyle w:val="2"/>
        <w:jc w:val="center"/>
        <w:rPr>
          <w:rFonts w:eastAsia="Times New Roman"/>
          <w:lang w:val="uk-UA"/>
        </w:rPr>
      </w:pPr>
      <w:r>
        <w:rPr>
          <w:noProof/>
        </w:rPr>
        <w:drawing>
          <wp:inline distT="0" distB="0" distL="0" distR="0" wp14:anchorId="7128CBDB" wp14:editId="32488B59">
            <wp:extent cx="647700" cy="638175"/>
            <wp:effectExtent l="0" t="0" r="0" b="9525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F6F" w:rsidRDefault="00EC7F6F">
      <w:pPr>
        <w:pStyle w:val="2"/>
        <w:jc w:val="center"/>
        <w:rPr>
          <w:rFonts w:eastAsia="Times New Roman"/>
          <w:lang w:val="uk-UA"/>
        </w:rPr>
      </w:pPr>
    </w:p>
    <w:p w:rsidR="00FD6B6F" w:rsidRPr="00EC7F6F" w:rsidRDefault="00DC00E1">
      <w:pPr>
        <w:pStyle w:val="2"/>
        <w:jc w:val="center"/>
        <w:rPr>
          <w:rFonts w:eastAsia="Times New Roman"/>
          <w:lang w:val="uk-UA"/>
        </w:rPr>
      </w:pPr>
      <w:r w:rsidRPr="00EC7F6F">
        <w:rPr>
          <w:rFonts w:eastAsia="Times New Roman"/>
          <w:lang w:val="uk-UA"/>
        </w:rPr>
        <w:t>НАЦІОНАЛЬНА КОМІСІЯ, ЩО ЗДІЙСНЮЄ ДЕРЖАВНЕ РЕГУЛЮВАННЯ У СФЕРІ ЗВ'ЯЗКУ ТА ІНФОРМАТИЗАЦІЇ</w:t>
      </w:r>
    </w:p>
    <w:p w:rsidR="00FD6B6F" w:rsidRDefault="00DC00E1">
      <w:pPr>
        <w:pStyle w:val="2"/>
        <w:jc w:val="center"/>
        <w:rPr>
          <w:rFonts w:eastAsia="Times New Roman"/>
        </w:rPr>
      </w:pPr>
      <w:proofErr w:type="gramStart"/>
      <w:r>
        <w:rPr>
          <w:rFonts w:eastAsia="Times New Roman"/>
        </w:rPr>
        <w:t>Р</w:t>
      </w:r>
      <w:proofErr w:type="gramEnd"/>
      <w:r>
        <w:rPr>
          <w:rFonts w:eastAsia="Times New Roman"/>
        </w:rPr>
        <w:t>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FD6B6F">
        <w:trPr>
          <w:tblCellSpacing w:w="22" w:type="dxa"/>
        </w:trPr>
        <w:tc>
          <w:tcPr>
            <w:tcW w:w="175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31.07.2015</w:t>
            </w:r>
          </w:p>
        </w:tc>
        <w:tc>
          <w:tcPr>
            <w:tcW w:w="150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м. Киї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</w:p>
        </w:tc>
        <w:tc>
          <w:tcPr>
            <w:tcW w:w="175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N 394</w:t>
            </w:r>
          </w:p>
        </w:tc>
      </w:tr>
    </w:tbl>
    <w:p w:rsidR="00FD6B6F" w:rsidRDefault="00DC00E1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FD6B6F" w:rsidRDefault="00DC00E1">
      <w:pPr>
        <w:pStyle w:val="a3"/>
        <w:jc w:val="center"/>
      </w:pPr>
      <w:r>
        <w:rPr>
          <w:b/>
          <w:bCs/>
        </w:rPr>
        <w:t>Зареєстровано в Міністерстві юстиції України</w:t>
      </w:r>
      <w:r>
        <w:br/>
      </w:r>
      <w:r>
        <w:rPr>
          <w:b/>
          <w:bCs/>
        </w:rPr>
        <w:t>21 серпня 2015 р. за N 1019/27464</w:t>
      </w:r>
    </w:p>
    <w:p w:rsidR="00FD6B6F" w:rsidRDefault="00DC00E1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Порядку надання послуг із перенесення абонентських номері</w:t>
      </w:r>
      <w:proofErr w:type="gramStart"/>
      <w:r>
        <w:rPr>
          <w:rFonts w:eastAsia="Times New Roman"/>
        </w:rPr>
        <w:t>в</w:t>
      </w:r>
      <w:proofErr w:type="gramEnd"/>
    </w:p>
    <w:p w:rsidR="00FD6B6F" w:rsidRDefault="00DC00E1">
      <w:pPr>
        <w:pStyle w:val="a3"/>
        <w:jc w:val="center"/>
      </w:pPr>
      <w:r>
        <w:t>Із змінами і доповненнями, внесеними</w:t>
      </w:r>
      <w:r>
        <w:br/>
      </w:r>
      <w:proofErr w:type="gramStart"/>
      <w:r>
        <w:t>р</w:t>
      </w:r>
      <w:proofErr w:type="gramEnd"/>
      <w:r>
        <w:t>ішеннями Національної комісії, що здійснює державне регулювання у сфері зв'язку та інформатизації,</w:t>
      </w:r>
      <w:r>
        <w:br/>
        <w:t> від 28 листопада 2017 року N 607,</w:t>
      </w:r>
      <w:r>
        <w:br/>
        <w:t>від 26 листопада 2019 року N 561</w:t>
      </w:r>
    </w:p>
    <w:p w:rsidR="00FD6B6F" w:rsidRDefault="00DC00E1">
      <w:pPr>
        <w:pStyle w:val="a3"/>
        <w:jc w:val="both"/>
      </w:pPr>
      <w:proofErr w:type="gramStart"/>
      <w:r>
        <w:t xml:space="preserve">Відповідно до </w:t>
      </w:r>
      <w:r>
        <w:rPr>
          <w:color w:val="0000FF"/>
        </w:rPr>
        <w:t>статей 18</w:t>
      </w:r>
      <w:r>
        <w:t xml:space="preserve">, </w:t>
      </w:r>
      <w:r>
        <w:rPr>
          <w:color w:val="0000FF"/>
        </w:rPr>
        <w:t>32</w:t>
      </w:r>
      <w:r>
        <w:t xml:space="preserve">, </w:t>
      </w:r>
      <w:r>
        <w:rPr>
          <w:color w:val="0000FF"/>
        </w:rPr>
        <w:t>39 Закону України "Про телекомунікації"</w:t>
      </w:r>
      <w:r>
        <w:t xml:space="preserve">, Положення про Національну комісію, що здійснює державне регулювання у сфері зв'язку та інформатизації, затвердженого </w:t>
      </w:r>
      <w:r>
        <w:rPr>
          <w:color w:val="0000FF"/>
        </w:rPr>
        <w:t>Указом Президента України від 23 листопада 2011 року N 1067</w:t>
      </w:r>
      <w:r>
        <w:t>, Національна комісія, що здійснює державне регулювання у сфері зв'язку та</w:t>
      </w:r>
      <w:proofErr w:type="gramEnd"/>
      <w:r>
        <w:t xml:space="preserve"> інформатизації,</w:t>
      </w:r>
    </w:p>
    <w:p w:rsidR="00FD6B6F" w:rsidRDefault="00DC00E1">
      <w:pPr>
        <w:pStyle w:val="a3"/>
        <w:jc w:val="both"/>
      </w:pPr>
      <w:r>
        <w:rPr>
          <w:b/>
          <w:bCs/>
        </w:rPr>
        <w:t>ВИРІШИЛА:</w:t>
      </w:r>
    </w:p>
    <w:p w:rsidR="00FD6B6F" w:rsidRDefault="00DC00E1">
      <w:pPr>
        <w:pStyle w:val="a3"/>
        <w:jc w:val="both"/>
      </w:pPr>
      <w:r>
        <w:t>1. Затвердити Порядок надання послуг із перенесення абонентських номерів, що додається.</w:t>
      </w:r>
    </w:p>
    <w:p w:rsidR="00FD6B6F" w:rsidRDefault="00DC00E1">
      <w:pPr>
        <w:pStyle w:val="a3"/>
        <w:jc w:val="both"/>
      </w:pPr>
      <w:r>
        <w:t>2</w:t>
      </w:r>
      <w:r>
        <w:rPr>
          <w:i/>
          <w:iCs/>
        </w:rPr>
        <w:t xml:space="preserve">. </w:t>
      </w:r>
      <w:r>
        <w:t xml:space="preserve">Департаменту зв'язку в установленому законодавством порядку подати це </w:t>
      </w:r>
      <w:proofErr w:type="gramStart"/>
      <w:r>
        <w:t>р</w:t>
      </w:r>
      <w:proofErr w:type="gramEnd"/>
      <w:r>
        <w:t>ішення на державну реєстрацію до Міністерства юстиції України.</w:t>
      </w:r>
    </w:p>
    <w:p w:rsidR="00FD6B6F" w:rsidRDefault="00DC00E1">
      <w:pPr>
        <w:pStyle w:val="a3"/>
        <w:jc w:val="both"/>
      </w:pPr>
      <w:r>
        <w:t xml:space="preserve">3. Це </w:t>
      </w:r>
      <w:proofErr w:type="gramStart"/>
      <w:r>
        <w:t>р</w:t>
      </w:r>
      <w:proofErr w:type="gramEnd"/>
      <w:r>
        <w:t>ішення набирає чинності з дня його офіційного опублікування.</w:t>
      </w:r>
    </w:p>
    <w:p w:rsidR="00FD6B6F" w:rsidRDefault="00DC00E1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FD6B6F">
        <w:trPr>
          <w:tblCellSpacing w:w="22" w:type="dxa"/>
        </w:trPr>
        <w:tc>
          <w:tcPr>
            <w:tcW w:w="250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Голова НКРЗІ</w:t>
            </w:r>
          </w:p>
        </w:tc>
        <w:tc>
          <w:tcPr>
            <w:tcW w:w="2500" w:type="pct"/>
            <w:vAlign w:val="bottom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О. Животовський</w:t>
            </w:r>
          </w:p>
        </w:tc>
      </w:tr>
      <w:tr w:rsidR="00FD6B6F">
        <w:trPr>
          <w:tblCellSpacing w:w="22" w:type="dxa"/>
        </w:trPr>
        <w:tc>
          <w:tcPr>
            <w:tcW w:w="250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>ПОГОДЖЕНО:</w:t>
            </w:r>
          </w:p>
        </w:tc>
        <w:tc>
          <w:tcPr>
            <w:tcW w:w="2500" w:type="pct"/>
            <w:vAlign w:val="bottom"/>
            <w:hideMark/>
          </w:tcPr>
          <w:p w:rsidR="00FD6B6F" w:rsidRDefault="00DC00E1">
            <w:pPr>
              <w:pStyle w:val="a3"/>
              <w:jc w:val="center"/>
            </w:pPr>
            <w:r>
              <w:t> </w:t>
            </w:r>
          </w:p>
        </w:tc>
      </w:tr>
      <w:tr w:rsidR="00FD6B6F">
        <w:trPr>
          <w:tblCellSpacing w:w="22" w:type="dxa"/>
        </w:trPr>
        <w:tc>
          <w:tcPr>
            <w:tcW w:w="250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Голова</w:t>
            </w:r>
            <w:proofErr w:type="gramStart"/>
            <w:r>
              <w:rPr>
                <w:b/>
                <w:bCs/>
              </w:rPr>
              <w:t xml:space="preserve"> Д</w:t>
            </w:r>
            <w:proofErr w:type="gramEnd"/>
            <w:r>
              <w:rPr>
                <w:b/>
                <w:bCs/>
              </w:rPr>
              <w:t xml:space="preserve">ержавної </w:t>
            </w:r>
            <w:r>
              <w:br/>
            </w:r>
            <w:r>
              <w:rPr>
                <w:b/>
                <w:bCs/>
              </w:rPr>
              <w:t>регуляторної служби України</w:t>
            </w:r>
          </w:p>
        </w:tc>
        <w:tc>
          <w:tcPr>
            <w:tcW w:w="2500" w:type="pct"/>
            <w:vAlign w:val="bottom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К. М. Ляпі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</w:p>
        </w:tc>
      </w:tr>
      <w:tr w:rsidR="00FD6B6F">
        <w:trPr>
          <w:tblCellSpacing w:w="22" w:type="dxa"/>
        </w:trPr>
        <w:tc>
          <w:tcPr>
            <w:tcW w:w="2500" w:type="pct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Голова</w:t>
            </w:r>
            <w:proofErr w:type="gramStart"/>
            <w:r>
              <w:rPr>
                <w:b/>
                <w:bCs/>
              </w:rPr>
              <w:t xml:space="preserve"> Д</w:t>
            </w:r>
            <w:proofErr w:type="gramEnd"/>
            <w:r>
              <w:rPr>
                <w:b/>
                <w:bCs/>
              </w:rPr>
              <w:t xml:space="preserve">ержавної служби </w:t>
            </w:r>
            <w:r>
              <w:br/>
            </w:r>
            <w:r>
              <w:rPr>
                <w:b/>
                <w:bCs/>
              </w:rPr>
              <w:t xml:space="preserve">спеціального зв'язку та </w:t>
            </w:r>
            <w:r>
              <w:br/>
            </w:r>
            <w:r>
              <w:rPr>
                <w:b/>
                <w:bCs/>
              </w:rPr>
              <w:t>захисту інформації України</w:t>
            </w:r>
          </w:p>
        </w:tc>
        <w:tc>
          <w:tcPr>
            <w:tcW w:w="2500" w:type="pct"/>
            <w:vAlign w:val="bottom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Л. О. Євдоченко</w:t>
            </w:r>
          </w:p>
        </w:tc>
      </w:tr>
      <w:tr w:rsidR="00FD6B6F">
        <w:trPr>
          <w:tblCellSpacing w:w="22" w:type="dxa"/>
        </w:trPr>
        <w:tc>
          <w:tcPr>
            <w:tcW w:w="0" w:type="auto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 xml:space="preserve">Голова </w:t>
            </w:r>
            <w:proofErr w:type="gramStart"/>
            <w:r>
              <w:rPr>
                <w:b/>
                <w:bCs/>
              </w:rPr>
              <w:t>Антимонопольного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>комітету України</w:t>
            </w:r>
          </w:p>
        </w:tc>
        <w:tc>
          <w:tcPr>
            <w:tcW w:w="0" w:type="auto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Ю. О. Терентьєв</w:t>
            </w:r>
          </w:p>
        </w:tc>
      </w:tr>
    </w:tbl>
    <w:p w:rsidR="00FD6B6F" w:rsidRDefault="00DC00E1">
      <w:pPr>
        <w:pStyle w:val="a3"/>
        <w:jc w:val="both"/>
      </w:pPr>
      <w:r>
        <w:br w:type="textWrapping" w:clear="all"/>
      </w:r>
    </w:p>
    <w:p w:rsidR="00FD6B6F" w:rsidRDefault="00DC00E1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D6B6F">
        <w:trPr>
          <w:tblCellSpacing w:w="22" w:type="dxa"/>
        </w:trPr>
        <w:tc>
          <w:tcPr>
            <w:tcW w:w="5000" w:type="pct"/>
            <w:hideMark/>
          </w:tcPr>
          <w:p w:rsidR="00FD6B6F" w:rsidRDefault="00DC00E1">
            <w:pPr>
              <w:pStyle w:val="a3"/>
            </w:pPr>
            <w:r>
              <w:t>ЗАТВЕРДЖЕНО</w:t>
            </w:r>
            <w:r>
              <w:br/>
            </w:r>
            <w:proofErr w:type="gramStart"/>
            <w:r>
              <w:t>Р</w:t>
            </w:r>
            <w:proofErr w:type="gramEnd"/>
            <w:r>
              <w:t>ішення Національної комісії, що здійснює державне регулювання у сфері зв'язку та інформатизації</w:t>
            </w:r>
            <w:r>
              <w:br/>
              <w:t>31 липня 2015 року N 394</w:t>
            </w:r>
          </w:p>
          <w:p w:rsidR="00FD6B6F" w:rsidRDefault="00DC00E1">
            <w:pPr>
              <w:pStyle w:val="a3"/>
            </w:pPr>
            <w:r>
              <w:t xml:space="preserve">Зареєстровано </w:t>
            </w:r>
            <w:r>
              <w:br/>
              <w:t>в Міністерстві юстиції України</w:t>
            </w:r>
            <w:r>
              <w:br/>
              <w:t>21 серпня 2015 р. за N 1019/27464</w:t>
            </w:r>
          </w:p>
        </w:tc>
      </w:tr>
    </w:tbl>
    <w:p w:rsidR="00FD6B6F" w:rsidRDefault="00DC00E1">
      <w:pPr>
        <w:pStyle w:val="a3"/>
        <w:jc w:val="both"/>
      </w:pPr>
      <w:r>
        <w:br w:type="textWrapping" w:clear="all"/>
      </w:r>
    </w:p>
    <w:p w:rsidR="00FD6B6F" w:rsidRDefault="00DC00E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ПОРЯДОК</w:t>
      </w:r>
      <w:r>
        <w:rPr>
          <w:rFonts w:eastAsia="Times New Roman"/>
        </w:rPr>
        <w:br/>
        <w:t>надання послуг із перенесення абонентських номері</w:t>
      </w:r>
      <w:proofErr w:type="gramStart"/>
      <w:r>
        <w:rPr>
          <w:rFonts w:eastAsia="Times New Roman"/>
        </w:rPr>
        <w:t>в</w:t>
      </w:r>
      <w:proofErr w:type="gramEnd"/>
    </w:p>
    <w:p w:rsidR="00FD6B6F" w:rsidRDefault="00DC00E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I. Загальні положення</w:t>
      </w:r>
    </w:p>
    <w:p w:rsidR="00FD6B6F" w:rsidRDefault="00DC00E1">
      <w:pPr>
        <w:pStyle w:val="a3"/>
        <w:jc w:val="both"/>
      </w:pPr>
      <w:r>
        <w:t>1. Цей Порядок врегульовує механізм:</w:t>
      </w:r>
    </w:p>
    <w:p w:rsidR="00FD6B6F" w:rsidRDefault="00DC00E1">
      <w:pPr>
        <w:pStyle w:val="a3"/>
        <w:jc w:val="both"/>
      </w:pPr>
      <w:r>
        <w:t>надання послуг з перенесення абонентських номері</w:t>
      </w:r>
      <w:proofErr w:type="gramStart"/>
      <w:r>
        <w:t>в</w:t>
      </w:r>
      <w:proofErr w:type="gramEnd"/>
      <w:r>
        <w:t xml:space="preserve"> (далі - ППН);</w:t>
      </w:r>
    </w:p>
    <w:p w:rsidR="00FD6B6F" w:rsidRDefault="00DC00E1">
      <w:pPr>
        <w:pStyle w:val="a3"/>
        <w:jc w:val="both"/>
      </w:pPr>
      <w:r>
        <w:t>досудового вирішення спорів щодо надання ППН.</w:t>
      </w:r>
    </w:p>
    <w:p w:rsidR="00FD6B6F" w:rsidRDefault="00DC00E1">
      <w:pPr>
        <w:pStyle w:val="a3"/>
        <w:jc w:val="both"/>
      </w:pPr>
      <w:r>
        <w:t xml:space="preserve">2. У цьому Порядку терміни вживаються </w:t>
      </w:r>
      <w:proofErr w:type="gramStart"/>
      <w:r>
        <w:t>в</w:t>
      </w:r>
      <w:proofErr w:type="gramEnd"/>
      <w:r>
        <w:t xml:space="preserve"> таких значеннях:</w:t>
      </w:r>
    </w:p>
    <w:p w:rsidR="00FD6B6F" w:rsidRDefault="00DC00E1">
      <w:pPr>
        <w:pStyle w:val="a3"/>
        <w:jc w:val="both"/>
      </w:pPr>
      <w:proofErr w:type="gramStart"/>
      <w:r>
        <w:t>адм</w:t>
      </w:r>
      <w:proofErr w:type="gramEnd"/>
      <w:r>
        <w:t>іністратор - організація, яка визначена НКРЗІ відповідно до законодавства для здійснення централізованого технічного адміністрування персональних номерів та перенесених абонентських номерів;</w:t>
      </w:r>
    </w:p>
    <w:p w:rsidR="00FD6B6F" w:rsidRDefault="00DC00E1">
      <w:pPr>
        <w:pStyle w:val="a3"/>
        <w:jc w:val="both"/>
      </w:pPr>
      <w:r>
        <w:t xml:space="preserve">базове надання телекомунікаційних послуг - надання телекомунікаційних послуг абоненту оператором телекомунікацій, </w:t>
      </w:r>
      <w:proofErr w:type="gramStart"/>
      <w:r>
        <w:t>в</w:t>
      </w:r>
      <w:proofErr w:type="gramEnd"/>
      <w:r>
        <w:t xml:space="preserve"> мережі якого абонент отримує телекомунікаційні послуги на момент подання заяви на ППН;</w:t>
      </w:r>
    </w:p>
    <w:p w:rsidR="00FD6B6F" w:rsidRDefault="00DC00E1">
      <w:pPr>
        <w:pStyle w:val="a3"/>
        <w:jc w:val="both"/>
      </w:pPr>
      <w:r>
        <w:t>базовий оператор - оператор телекомунікацій, у мережі якого забезпечується базове надання телекомунікаційних послуг;</w:t>
      </w:r>
    </w:p>
    <w:p w:rsidR="00FD6B6F" w:rsidRDefault="00DC00E1">
      <w:pPr>
        <w:pStyle w:val="a3"/>
        <w:jc w:val="both"/>
      </w:pPr>
      <w:r>
        <w:lastRenderedPageBreak/>
        <w:t>локальна база даних перенесених номері</w:t>
      </w:r>
      <w:proofErr w:type="gramStart"/>
      <w:r>
        <w:t>в</w:t>
      </w:r>
      <w:proofErr w:type="gramEnd"/>
      <w:r>
        <w:t xml:space="preserve"> (далі - ЛБД) - </w:t>
      </w:r>
      <w:proofErr w:type="gramStart"/>
      <w:r>
        <w:t>коп</w:t>
      </w:r>
      <w:proofErr w:type="gramEnd"/>
      <w:r>
        <w:t>ія централізованої бази даних або її частини, яка розміщена на власних ресурсах оператора телекомунікацій та використовується в операційних технологічних процесах встановлення з'єднання та/або передачі повідомлення;</w:t>
      </w:r>
    </w:p>
    <w:p w:rsidR="00FD6B6F" w:rsidRDefault="00DC00E1">
      <w:pPr>
        <w:pStyle w:val="a3"/>
        <w:jc w:val="both"/>
      </w:pPr>
      <w:r>
        <w:t xml:space="preserve">оператор-донор - оператор телекомунікацій, з діапазону номерного ресурсу якого здійснюється перенесення абонентського номера за заявою абонента та </w:t>
      </w:r>
      <w:proofErr w:type="gramStart"/>
      <w:r>
        <w:t>в</w:t>
      </w:r>
      <w:proofErr w:type="gramEnd"/>
      <w:r>
        <w:t xml:space="preserve"> мережі якого надавались телекомунікаційні послуги за цим абонентським номером до його перенесення;</w:t>
      </w:r>
    </w:p>
    <w:p w:rsidR="00FD6B6F" w:rsidRDefault="00DC00E1">
      <w:pPr>
        <w:pStyle w:val="a3"/>
        <w:jc w:val="both"/>
      </w:pPr>
      <w:r>
        <w:t>операто</w:t>
      </w:r>
      <w:proofErr w:type="gramStart"/>
      <w:r>
        <w:t>р-</w:t>
      </w:r>
      <w:proofErr w:type="gramEnd"/>
      <w:r>
        <w:t>ініціатор - оператор телекомунікацій, з мережі якого ініціюється виклик та/або повідомлення на абонентський номер, у тому числі на перенесений;</w:t>
      </w:r>
    </w:p>
    <w:p w:rsidR="00FD6B6F" w:rsidRDefault="00DC00E1">
      <w:pPr>
        <w:pStyle w:val="a3"/>
        <w:jc w:val="both"/>
      </w:pPr>
      <w:r>
        <w:t>оператор-отримувач - оператор телекомунікацій, якому подано заяву на ППН та до мережі якого здійснюється перенесення абонентського номера;</w:t>
      </w:r>
    </w:p>
    <w:p w:rsidR="00FD6B6F" w:rsidRDefault="00DC00E1">
      <w:pPr>
        <w:pStyle w:val="a3"/>
        <w:jc w:val="both"/>
      </w:pPr>
      <w:r>
        <w:t>оператор-транзитер - оператор телекомунікацій, який забезпечує транзит трафіку від мережі оператор</w:t>
      </w:r>
      <w:proofErr w:type="gramStart"/>
      <w:r>
        <w:t>а-</w:t>
      </w:r>
      <w:proofErr w:type="gramEnd"/>
      <w:r>
        <w:t>ініціатора до мережі оператора-отримувача або іншого оператора-транзитера, а у разі необхідності забезпечує запит до ЛБД або централізованої бази даних щодо отримання номера маршрутування;</w:t>
      </w:r>
    </w:p>
    <w:p w:rsidR="00FD6B6F" w:rsidRDefault="00DC00E1">
      <w:pPr>
        <w:pStyle w:val="a3"/>
        <w:jc w:val="both"/>
      </w:pPr>
      <w:r>
        <w:t xml:space="preserve">централізована база даних (далі - ЦБД) - єдина база даних, яка призначена для реалізації процесу перенесення абонентських номерів, періодичної синхронізації локальних баз даних та зберігання інформації </w:t>
      </w:r>
      <w:proofErr w:type="gramStart"/>
      <w:r>
        <w:t>про</w:t>
      </w:r>
      <w:proofErr w:type="gramEnd"/>
      <w:r>
        <w:t xml:space="preserve"> перенесені абонентські номери і їх номери маршрутування.</w:t>
      </w:r>
    </w:p>
    <w:p w:rsidR="00FD6B6F" w:rsidRDefault="00DC00E1">
      <w:pPr>
        <w:pStyle w:val="a3"/>
        <w:jc w:val="both"/>
      </w:pPr>
      <w:r>
        <w:t xml:space="preserve">3. Дія цього Порядку поширюється на всіх операторів телекомунікацій, що надають телекомунікаційні послуги з використанням номерного ресурсу, у тому числі організацію, яка визначена НКРЗІ відповідно до законодавства для здійснення централізованого </w:t>
      </w:r>
      <w:proofErr w:type="gramStart"/>
      <w:r>
        <w:t>техн</w:t>
      </w:r>
      <w:proofErr w:type="gramEnd"/>
      <w:r>
        <w:t>ічного адміністрування персональних номерів та перенесених абонентських номерів і абонентів.</w:t>
      </w:r>
    </w:p>
    <w:p w:rsidR="00FD6B6F" w:rsidRDefault="00DC00E1">
      <w:pPr>
        <w:pStyle w:val="a3"/>
        <w:jc w:val="both"/>
      </w:pPr>
      <w:r>
        <w:t xml:space="preserve">4. НКРЗІ своїм </w:t>
      </w:r>
      <w:proofErr w:type="gramStart"/>
      <w:r>
        <w:t>р</w:t>
      </w:r>
      <w:proofErr w:type="gramEnd"/>
      <w:r>
        <w:t>ішенням визначає організацію, яка здійснює централізоване технічне адміністрування персональних номерів та перенесених абонентських номерів.</w:t>
      </w:r>
    </w:p>
    <w:p w:rsidR="00FD6B6F" w:rsidRDefault="00DC00E1">
      <w:pPr>
        <w:pStyle w:val="a3"/>
        <w:jc w:val="both"/>
      </w:pPr>
      <w:r>
        <w:t xml:space="preserve">5. Строки початку впровадження ППН на телекомунікаційній мережі загального користування, включаючи створення локальних баз даних операторів телекомунікацій та їх </w:t>
      </w:r>
      <w:proofErr w:type="gramStart"/>
      <w:r>
        <w:t>п</w:t>
      </w:r>
      <w:proofErr w:type="gramEnd"/>
      <w:r>
        <w:t>ідключення до ЦБД, визначаються рішенням НКРЗІ.</w:t>
      </w:r>
    </w:p>
    <w:p w:rsidR="00FD6B6F" w:rsidRDefault="00DC00E1">
      <w:pPr>
        <w:pStyle w:val="a3"/>
        <w:jc w:val="both"/>
      </w:pPr>
      <w:r>
        <w:t xml:space="preserve">6. Діяльність з централізованого </w:t>
      </w:r>
      <w:proofErr w:type="gramStart"/>
      <w:r>
        <w:t>техн</w:t>
      </w:r>
      <w:proofErr w:type="gramEnd"/>
      <w:r>
        <w:t>ічного адміністрування перенесених абонентських номерів після визначення відповідної організації може здійснюватись тільки після набуття цією організацією статусу оператора телекомунікацій.</w:t>
      </w:r>
    </w:p>
    <w:p w:rsidR="00FD6B6F" w:rsidRDefault="00DC00E1">
      <w:pPr>
        <w:pStyle w:val="a3"/>
        <w:jc w:val="both"/>
      </w:pPr>
      <w:proofErr w:type="gramStart"/>
      <w:r>
        <w:t>П</w:t>
      </w:r>
      <w:proofErr w:type="gramEnd"/>
      <w:r>
        <w:t>ід час здійснення діяльності з централізованого технічного адміністрування перенесених абонентських номерів адміністратор не може здійснювати інші дії щодо централізованого технічного адміністрування перенесених абонентських номерів, які не передбачені законодавством.</w:t>
      </w:r>
    </w:p>
    <w:p w:rsidR="00FD6B6F" w:rsidRDefault="00DC00E1">
      <w:pPr>
        <w:pStyle w:val="a3"/>
        <w:jc w:val="both"/>
      </w:pPr>
      <w:r>
        <w:t xml:space="preserve">7. </w:t>
      </w:r>
      <w:proofErr w:type="gramStart"/>
      <w:r>
        <w:t>Адм</w:t>
      </w:r>
      <w:proofErr w:type="gramEnd"/>
      <w:r>
        <w:t>іністратор не має права в односторонньому порядку припинити централізоване технічне адміністрування перенесених абонентських номерів до моменту забезпечення можливості здійснення такого адміністрування визначеним відповідно до законодавства новим адміністратором.</w:t>
      </w:r>
    </w:p>
    <w:p w:rsidR="00FD6B6F" w:rsidRDefault="00DC00E1">
      <w:pPr>
        <w:pStyle w:val="a3"/>
        <w:jc w:val="both"/>
      </w:pPr>
      <w:r>
        <w:lastRenderedPageBreak/>
        <w:t>8. Право на ППН мають абоненти, які отримують телекомунікаційні послуги на умовах письмового договору про надання телекомунікаційних послуг або зареєстровані в оператора-донора відповідно до Порядку реєстрації абонентів, які отримують телекомунікаційні послуги без укладення договору в письмовій формі, затвердженого </w:t>
      </w:r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ішенням НКРЗІ</w:t>
      </w:r>
      <w:r>
        <w:t>.</w:t>
      </w:r>
    </w:p>
    <w:p w:rsidR="00FD6B6F" w:rsidRDefault="00DC00E1">
      <w:pPr>
        <w:pStyle w:val="a3"/>
        <w:jc w:val="right"/>
      </w:pPr>
      <w:r>
        <w:t xml:space="preserve">(пункт 8 розділу I із змінами, внесеними згідно з </w:t>
      </w:r>
      <w:proofErr w:type="gramStart"/>
      <w:r>
        <w:t>р</w:t>
      </w:r>
      <w:proofErr w:type="gramEnd"/>
      <w:r>
        <w:t>ішенням Національної</w:t>
      </w:r>
      <w:r>
        <w:br/>
        <w:t>комісії, що здійснює державне регулювання у сфері зв'язку та інформатизації,</w:t>
      </w:r>
      <w:r>
        <w:br/>
        <w:t> від 28.11.2017 р. N 607)</w:t>
      </w:r>
    </w:p>
    <w:p w:rsidR="00FD6B6F" w:rsidRDefault="00DC00E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II. Порядок надання послуги з перенесення абонентських номері</w:t>
      </w:r>
      <w:proofErr w:type="gramStart"/>
      <w:r>
        <w:rPr>
          <w:rFonts w:eastAsia="Times New Roman"/>
        </w:rPr>
        <w:t>в</w:t>
      </w:r>
      <w:proofErr w:type="gramEnd"/>
    </w:p>
    <w:p w:rsidR="00FD6B6F" w:rsidRDefault="00DC00E1">
      <w:pPr>
        <w:pStyle w:val="a3"/>
        <w:jc w:val="both"/>
      </w:pPr>
      <w:r>
        <w:t xml:space="preserve">1. Оператор телекомунікацій зобов'язаний надавати абонентам ППН, </w:t>
      </w:r>
      <w:proofErr w:type="gramStart"/>
      <w:r>
        <w:t>кр</w:t>
      </w:r>
      <w:proofErr w:type="gramEnd"/>
      <w:r>
        <w:t>ім випадків, визначених пунктом 28 цього розділу.</w:t>
      </w:r>
    </w:p>
    <w:p w:rsidR="00FD6B6F" w:rsidRDefault="00DC00E1">
      <w:pPr>
        <w:pStyle w:val="a3"/>
        <w:jc w:val="both"/>
      </w:pPr>
      <w:r>
        <w:t xml:space="preserve">2. </w:t>
      </w:r>
      <w:proofErr w:type="gramStart"/>
      <w:r>
        <w:t xml:space="preserve">Оператор телекомунікацій, що надає послуги фіксованого телефонного зв'язку з географічним планом нумерації, повинен надавати абонентам ППН у межах місцевої телефонної мережі або зони нумерації відповідно до Національного плану нумерації України, затвердженого </w:t>
      </w:r>
      <w:r>
        <w:rPr>
          <w:color w:val="0000FF"/>
        </w:rPr>
        <w:t>наказом Міністерства транспорту та зв'язку України від 23 листопада 2006 року N 1105</w:t>
      </w:r>
      <w:r>
        <w:t>, заре</w:t>
      </w:r>
      <w:proofErr w:type="gramEnd"/>
      <w:r>
        <w:t>єстрованого в Міністерстві юстиції України 07 грудня 2006 року за N 1284/13158 (із змінами) (далі - Національний план нумерації).</w:t>
      </w:r>
    </w:p>
    <w:p w:rsidR="00FD6B6F" w:rsidRDefault="00DC00E1">
      <w:pPr>
        <w:pStyle w:val="a3"/>
        <w:jc w:val="right"/>
      </w:pPr>
      <w:r>
        <w:t xml:space="preserve">(пункт 2 розділу II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комісії, що здійснює державне регулювання у сфері</w:t>
      </w:r>
      <w:r>
        <w:br/>
        <w:t> зв'язку та інформатизації, від 26.11.2019 р. N 561)</w:t>
      </w:r>
    </w:p>
    <w:p w:rsidR="00FD6B6F" w:rsidRDefault="00DC00E1">
      <w:pPr>
        <w:pStyle w:val="a3"/>
        <w:jc w:val="both"/>
      </w:pPr>
      <w:r>
        <w:t xml:space="preserve">3. Оператор телекомунікацій, що надає послуги рухомого (мобільного) зв'язку та/або фіксованого </w:t>
      </w:r>
      <w:proofErr w:type="gramStart"/>
      <w:r>
        <w:t>телефонного</w:t>
      </w:r>
      <w:proofErr w:type="gramEnd"/>
      <w:r>
        <w:t xml:space="preserve"> зв'язку з негеографічним планом нумерації, повинен надавати абонентам ППН у межах території України.</w:t>
      </w:r>
    </w:p>
    <w:p w:rsidR="00FD6B6F" w:rsidRDefault="00DC00E1">
      <w:pPr>
        <w:pStyle w:val="a3"/>
        <w:jc w:val="right"/>
      </w:pPr>
      <w:r>
        <w:t xml:space="preserve">(пункт 3 розділу II із змінами, внесеними згідно з </w:t>
      </w:r>
      <w:proofErr w:type="gramStart"/>
      <w:r>
        <w:t>р</w:t>
      </w:r>
      <w:proofErr w:type="gramEnd"/>
      <w:r>
        <w:t>ішенням</w:t>
      </w:r>
      <w:r>
        <w:br/>
        <w:t> Національної комісії, що здійснює державне регулювання у сфері</w:t>
      </w:r>
      <w:r>
        <w:br/>
        <w:t> зв'язку та інформатизації, від 26.11.2019 р. N 561)</w:t>
      </w:r>
    </w:p>
    <w:p w:rsidR="00FD6B6F" w:rsidRDefault="00DC00E1">
      <w:pPr>
        <w:pStyle w:val="a3"/>
        <w:jc w:val="both"/>
      </w:pPr>
      <w:r>
        <w:t>4. При наданні ППН та телекомунікаційних послуг абонентам за перенесеним абонентським номером оператор телекомунікацій повинен:</w:t>
      </w:r>
    </w:p>
    <w:p w:rsidR="00FD6B6F" w:rsidRDefault="00DC00E1">
      <w:pPr>
        <w:pStyle w:val="a3"/>
        <w:jc w:val="both"/>
      </w:pPr>
      <w:r>
        <w:t>1) інформувати абонентів через засоби масової інформації, веб-сайт, пункти обслуговування споживачів або у будь-який інший спосіб про умови і порядок надання ППН;</w:t>
      </w:r>
    </w:p>
    <w:p w:rsidR="00FD6B6F" w:rsidRDefault="00DC00E1">
      <w:pPr>
        <w:pStyle w:val="a3"/>
        <w:jc w:val="both"/>
      </w:pPr>
      <w:r>
        <w:t xml:space="preserve">2) надавати телекомунікаційні послуги на </w:t>
      </w:r>
      <w:proofErr w:type="gramStart"/>
      <w:r>
        <w:t>р</w:t>
      </w:r>
      <w:proofErr w:type="gramEnd"/>
      <w:r>
        <w:t>івних та недискримінаційних умовах абонентам у своїй мережі з власним номерним ресурсом та тим абонентам, які перенесли свої абонентські номери в мережу цього оператора;</w:t>
      </w:r>
    </w:p>
    <w:p w:rsidR="00FD6B6F" w:rsidRDefault="00DC00E1">
      <w:pPr>
        <w:pStyle w:val="a3"/>
        <w:jc w:val="both"/>
      </w:pPr>
      <w:r>
        <w:t xml:space="preserve">3) застосовувати вибрані абонентом тарифні плани оператора-отримувача, доступні для </w:t>
      </w:r>
      <w:proofErr w:type="gramStart"/>
      <w:r>
        <w:t>п</w:t>
      </w:r>
      <w:proofErr w:type="gramEnd"/>
      <w:r>
        <w:t>ідключення на момент перенесення номера;</w:t>
      </w:r>
    </w:p>
    <w:p w:rsidR="00FD6B6F" w:rsidRDefault="00DC00E1">
      <w:pPr>
        <w:pStyle w:val="a3"/>
        <w:jc w:val="both"/>
      </w:pPr>
      <w:r>
        <w:t>4) забезпечувати відповідно до законодавства захист персональних даних про абонента, отриманих при замовленні чи наданні послуг;</w:t>
      </w:r>
    </w:p>
    <w:p w:rsidR="00FD6B6F" w:rsidRDefault="00DC00E1">
      <w:pPr>
        <w:pStyle w:val="a3"/>
        <w:jc w:val="both"/>
      </w:pPr>
      <w:r>
        <w:lastRenderedPageBreak/>
        <w:t xml:space="preserve">5) вживати заходів для недопущення несанкціонованого доступу до власної ЛБД, а у випадку, коли оператор телекомунікацій є </w:t>
      </w:r>
      <w:proofErr w:type="gramStart"/>
      <w:r>
        <w:t>адм</w:t>
      </w:r>
      <w:proofErr w:type="gramEnd"/>
      <w:r>
        <w:t>іністратором, - до ЦБД</w:t>
      </w:r>
      <w:r>
        <w:rPr>
          <w:b/>
          <w:bCs/>
        </w:rPr>
        <w:t xml:space="preserve"> </w:t>
      </w:r>
      <w:r>
        <w:t>та наявної в них інформації, дотримуватись вимог законодавства щодо захисту інформації в інформаційно-телекомунікаційних системах;</w:t>
      </w:r>
    </w:p>
    <w:p w:rsidR="00FD6B6F" w:rsidRDefault="00DC00E1">
      <w:pPr>
        <w:pStyle w:val="a3"/>
        <w:jc w:val="both"/>
      </w:pPr>
      <w:r>
        <w:t xml:space="preserve">6) здійснювати маршрутизацію трафіку (викликів голосової телефонії, </w:t>
      </w:r>
      <w:proofErr w:type="gramStart"/>
      <w:r>
        <w:t>коротких</w:t>
      </w:r>
      <w:proofErr w:type="gramEnd"/>
      <w:r>
        <w:t xml:space="preserve"> текстових (SMS) та мультимедійних (MMS) повідомлень) на перенесені абонентські номери. У разі відсутності в оператора мережі фіксованого зв'язку </w:t>
      </w:r>
      <w:proofErr w:type="gramStart"/>
      <w:r>
        <w:t>техн</w:t>
      </w:r>
      <w:proofErr w:type="gramEnd"/>
      <w:r>
        <w:t>ічної можливості прямої маршрутизації викликів на мережу оператора-отримувача такий оператор повинен забезпечити маршрутизацію викликів та повідомлень до мережі оператора-донора;</w:t>
      </w:r>
    </w:p>
    <w:p w:rsidR="00FD6B6F" w:rsidRDefault="00DC00E1">
      <w:pPr>
        <w:pStyle w:val="a3"/>
        <w:jc w:val="both"/>
      </w:pPr>
      <w:r>
        <w:t xml:space="preserve">7) у випадку, коли перенесення абонентських номерів потребує заміни кінцевого обладнання, яке використовує абонент, здійснювати інформування абонента при отриманні від нього заяви на перенесення абонентського номера щодо необхідних </w:t>
      </w:r>
      <w:proofErr w:type="gramStart"/>
      <w:r>
        <w:t>техн</w:t>
      </w:r>
      <w:proofErr w:type="gramEnd"/>
      <w:r>
        <w:t>ічних характеристик кінцевого обладнання, яке може використовуватись для отримання послуг у мережі оператора-отримувача, а також у разі можливості про тип та умови придбання такого кінцевого обладнання.</w:t>
      </w:r>
    </w:p>
    <w:p w:rsidR="00FD6B6F" w:rsidRDefault="00DC00E1">
      <w:pPr>
        <w:pStyle w:val="a3"/>
        <w:jc w:val="both"/>
      </w:pPr>
      <w:r>
        <w:t xml:space="preserve">5. </w:t>
      </w:r>
      <w:proofErr w:type="gramStart"/>
      <w:r>
        <w:t>П</w:t>
      </w:r>
      <w:proofErr w:type="gramEnd"/>
      <w:r>
        <w:t>ісля отримання письмової або здійсненої дистанційно за допомогою засобів зв'язку заяви абонента про припинення надання послуги (послуг) у зв'язку з перенесенням абонентського номера до мережі оператора-отримувача базовий оператор припиняє базове надання телекомунікаційної послуги (послуг) та нарахування абонентної плати в момент завершення перенесення абонентського номера.</w:t>
      </w:r>
    </w:p>
    <w:p w:rsidR="00FD6B6F" w:rsidRDefault="00DC00E1">
      <w:pPr>
        <w:pStyle w:val="a3"/>
        <w:jc w:val="both"/>
      </w:pPr>
      <w:r>
        <w:t xml:space="preserve">6. Оператор телекомунікацій не може накладати обмеження </w:t>
      </w:r>
      <w:proofErr w:type="gramStart"/>
      <w:r>
        <w:t>на</w:t>
      </w:r>
      <w:proofErr w:type="gramEnd"/>
      <w:r>
        <w:t xml:space="preserve"> абонентів щодо можливості отримання ними ППН, у тому числі за наявності невиконаних зобов'язань за договором про надання телекомунікаційних послуг з базовим оператором.</w:t>
      </w:r>
    </w:p>
    <w:p w:rsidR="00FD6B6F" w:rsidRDefault="00DC00E1">
      <w:pPr>
        <w:pStyle w:val="a3"/>
        <w:jc w:val="both"/>
      </w:pPr>
      <w:r>
        <w:t xml:space="preserve">7. </w:t>
      </w:r>
      <w:proofErr w:type="gramStart"/>
      <w:r>
        <w:t>Оператор-донор не має права присвоювати іншому абоненту перенесений абонентський номер до моменту отримання повідомлення від оператора-отримувача про вивільнення цього номера.</w:t>
      </w:r>
      <w:proofErr w:type="gramEnd"/>
    </w:p>
    <w:p w:rsidR="00FD6B6F" w:rsidRDefault="00DC00E1">
      <w:pPr>
        <w:pStyle w:val="a3"/>
        <w:jc w:val="both"/>
      </w:pPr>
      <w:r>
        <w:t xml:space="preserve">8. </w:t>
      </w:r>
      <w:proofErr w:type="gramStart"/>
      <w:r>
        <w:t>П</w:t>
      </w:r>
      <w:proofErr w:type="gramEnd"/>
      <w:r>
        <w:t xml:space="preserve">ісля припинення надання телекомунікаційних послуг абоненту з використанням перенесеного номера згідно з пунктом 55 Правил надання та отримання телекомунікаційних послуг, затверджених </w:t>
      </w:r>
      <w:r>
        <w:rPr>
          <w:color w:val="0000FF"/>
        </w:rPr>
        <w:t>постановою Кабінету Міністрів України від 11 квітня 2012 року N 295</w:t>
      </w:r>
      <w:r>
        <w:t xml:space="preserve"> (далі - Правила), базовий оператор (крім випадку, коли базовий оператор є оператором-донором) не має права використовувати цей номер і повинен повідомити про його вивільнення оператора-донора та </w:t>
      </w:r>
      <w:proofErr w:type="gramStart"/>
      <w:r>
        <w:t>адм</w:t>
      </w:r>
      <w:proofErr w:type="gramEnd"/>
      <w:r>
        <w:t>іністратора не пізніше ніж через 24 години.</w:t>
      </w:r>
    </w:p>
    <w:p w:rsidR="00FD6B6F" w:rsidRDefault="00DC00E1">
      <w:pPr>
        <w:pStyle w:val="a3"/>
        <w:jc w:val="both"/>
      </w:pPr>
      <w:r>
        <w:t>9. Перед встановленням з'єднання з перенесеними абонентськими номерами операто</w:t>
      </w:r>
      <w:proofErr w:type="gramStart"/>
      <w:r>
        <w:t>р-</w:t>
      </w:r>
      <w:proofErr w:type="gramEnd"/>
      <w:r>
        <w:t>ініціатор повідомляє абонента, що викликає, шляхом надання відповідного голосового повідомлення, про дзвінок на перенесений абонентський номер.</w:t>
      </w:r>
    </w:p>
    <w:p w:rsidR="00FD6B6F" w:rsidRDefault="00DC00E1">
      <w:pPr>
        <w:pStyle w:val="a3"/>
        <w:jc w:val="both"/>
      </w:pPr>
      <w:r>
        <w:t>На мережах фіксованого телефонного зв'язку оператор телекомунікацій повідомляє абонента, що виклика</w:t>
      </w:r>
      <w:proofErr w:type="gramStart"/>
      <w:r>
        <w:t>є,</w:t>
      </w:r>
      <w:proofErr w:type="gramEnd"/>
      <w:r>
        <w:t xml:space="preserve"> про дзвінок на перенесений абонентський номер за наявності технічної можливості.</w:t>
      </w:r>
    </w:p>
    <w:p w:rsidR="00FD6B6F" w:rsidRDefault="00DC00E1">
      <w:pPr>
        <w:pStyle w:val="a3"/>
        <w:jc w:val="both"/>
      </w:pPr>
      <w:r>
        <w:t xml:space="preserve">10. </w:t>
      </w:r>
      <w:proofErr w:type="gramStart"/>
      <w:r>
        <w:t>Адм</w:t>
      </w:r>
      <w:proofErr w:type="gramEnd"/>
      <w:r>
        <w:t>іністратор забезпечує використання ЦБД всіма суб'єктами господарювання, які використовують дані про абонентські номери у своїх технологічних процесах, на рівній і недискримінаційній основі.</w:t>
      </w:r>
    </w:p>
    <w:p w:rsidR="00FD6B6F" w:rsidRDefault="00DC00E1">
      <w:pPr>
        <w:pStyle w:val="a3"/>
        <w:jc w:val="both"/>
      </w:pPr>
      <w:r>
        <w:lastRenderedPageBreak/>
        <w:t xml:space="preserve">11. </w:t>
      </w:r>
      <w:proofErr w:type="gramStart"/>
      <w:r>
        <w:t>Адм</w:t>
      </w:r>
      <w:proofErr w:type="gramEnd"/>
      <w:r>
        <w:t>іністратор підтримує інформаційний обмін між операторами телекомунікацій при наданні ППН та фіксує стан процесу перенесення абонентського номера. Інформація про стан процесу перенесення, а також перенесені абонентські номери та їх номери маршрутування зберігається в ЦБД.</w:t>
      </w:r>
    </w:p>
    <w:p w:rsidR="00FD6B6F" w:rsidRDefault="00DC00E1">
      <w:pPr>
        <w:pStyle w:val="a3"/>
        <w:jc w:val="both"/>
      </w:pPr>
      <w:r>
        <w:t>12. У разі якщо обладнання мережі оператор</w:t>
      </w:r>
      <w:proofErr w:type="gramStart"/>
      <w:r>
        <w:t>а-</w:t>
      </w:r>
      <w:proofErr w:type="gramEnd"/>
      <w:r>
        <w:t>ініціатора не підтримує взаємодію з ЦБД та/або ЛБД, то такий оператор повинен забезпечити маршрутизацію з'єднання або передачу повідомлення до мережі оператора-транзитера, який забезпечує їх подальшу маршрутизацію до мережі оператора-отримувача на основі даних, що отримуються оператором-транзитером з ЦБД.</w:t>
      </w:r>
    </w:p>
    <w:p w:rsidR="00FD6B6F" w:rsidRDefault="00DC00E1">
      <w:pPr>
        <w:pStyle w:val="a3"/>
        <w:jc w:val="both"/>
      </w:pPr>
      <w:r>
        <w:t xml:space="preserve">13. Організація ППН здійснюється оператором-отримувачем. У разі ненадання або неналежного надання ППН абонент звертається до оператора-отримувача для усунення </w:t>
      </w:r>
      <w:proofErr w:type="gramStart"/>
      <w:r>
        <w:t>таких</w:t>
      </w:r>
      <w:proofErr w:type="gramEnd"/>
      <w:r>
        <w:t xml:space="preserve"> порушень.</w:t>
      </w:r>
    </w:p>
    <w:p w:rsidR="00FD6B6F" w:rsidRDefault="00DC00E1">
      <w:pPr>
        <w:pStyle w:val="a3"/>
        <w:jc w:val="both"/>
      </w:pPr>
      <w:r>
        <w:t>14. Оператор-отримувач роз'яснює абоненту:</w:t>
      </w:r>
    </w:p>
    <w:p w:rsidR="00FD6B6F" w:rsidRDefault="00DC00E1">
      <w:pPr>
        <w:pStyle w:val="a3"/>
        <w:jc w:val="both"/>
      </w:pPr>
      <w:r>
        <w:t>його права та обов'язки;</w:t>
      </w:r>
    </w:p>
    <w:p w:rsidR="00FD6B6F" w:rsidRDefault="00DC00E1">
      <w:pPr>
        <w:pStyle w:val="a3"/>
        <w:jc w:val="both"/>
      </w:pPr>
      <w:r>
        <w:t>умови надання телекомунікаційних послуг за обраним тарифним планом;</w:t>
      </w:r>
    </w:p>
    <w:p w:rsidR="00FD6B6F" w:rsidRDefault="00DC00E1">
      <w:pPr>
        <w:pStyle w:val="a3"/>
        <w:jc w:val="both"/>
      </w:pPr>
      <w:r>
        <w:t>порядок, умови та вартість надання ППН, зазначаючи період часу, протягом якого не надаватимуться телекомунікаційні послуги за відповідним абонентським номером, та конкретний момент завершення перенесення цього номера.</w:t>
      </w:r>
    </w:p>
    <w:p w:rsidR="00FD6B6F" w:rsidRDefault="00DC00E1">
      <w:pPr>
        <w:pStyle w:val="a3"/>
        <w:jc w:val="both"/>
      </w:pPr>
      <w:r>
        <w:t xml:space="preserve">15. Абонент, який бажає отримати ППН, звертається до оператора-отримувача із заявою, оформленою одним з </w:t>
      </w:r>
      <w:proofErr w:type="gramStart"/>
      <w:r>
        <w:t>таких</w:t>
      </w:r>
      <w:proofErr w:type="gramEnd"/>
      <w:r>
        <w:t xml:space="preserve"> способів:</w:t>
      </w:r>
    </w:p>
    <w:p w:rsidR="00FD6B6F" w:rsidRDefault="00DC00E1">
      <w:pPr>
        <w:pStyle w:val="a3"/>
        <w:jc w:val="both"/>
      </w:pPr>
      <w:r>
        <w:t xml:space="preserve">в письмовому вигляді </w:t>
      </w:r>
      <w:proofErr w:type="gramStart"/>
      <w:r>
        <w:t>до</w:t>
      </w:r>
      <w:proofErr w:type="gramEnd"/>
      <w:r>
        <w:t xml:space="preserve"> пункту обслуговування абонентів оператора-отримувача;</w:t>
      </w:r>
    </w:p>
    <w:p w:rsidR="00FD6B6F" w:rsidRDefault="00DC00E1">
      <w:pPr>
        <w:pStyle w:val="a3"/>
        <w:jc w:val="both"/>
      </w:pPr>
      <w:r>
        <w:t>дистанційно з використанням засобів зв'язку за допомогою телефону або з заповненням інтерактивної форми заяви на офіційному веб-сайті оператора-отримувача.</w:t>
      </w:r>
    </w:p>
    <w:p w:rsidR="00FD6B6F" w:rsidRDefault="00DC00E1">
      <w:pPr>
        <w:pStyle w:val="a3"/>
        <w:jc w:val="both"/>
      </w:pPr>
      <w:r>
        <w:t>У заяві зазначаються:</w:t>
      </w:r>
    </w:p>
    <w:p w:rsidR="00FD6B6F" w:rsidRDefault="00DC00E1">
      <w:pPr>
        <w:pStyle w:val="a3"/>
        <w:jc w:val="both"/>
      </w:pPr>
      <w:r>
        <w:t>1) абонентський номер (номери), перенесення якого (яких) вимагається;</w:t>
      </w:r>
    </w:p>
    <w:p w:rsidR="00FD6B6F" w:rsidRDefault="00DC00E1">
      <w:pPr>
        <w:pStyle w:val="a3"/>
        <w:jc w:val="both"/>
      </w:pPr>
      <w:r>
        <w:t xml:space="preserve">2) найменування базового оператора, якщо таким оператором є юридична особа, або </w:t>
      </w:r>
      <w:proofErr w:type="gramStart"/>
      <w:r>
        <w:t>пр</w:t>
      </w:r>
      <w:proofErr w:type="gramEnd"/>
      <w:r>
        <w:t>ізвище, ім'я, по батькові фізичної особи, якщо таким оператором є фізична особа - підприємець;</w:t>
      </w:r>
    </w:p>
    <w:p w:rsidR="00FD6B6F" w:rsidRDefault="00DC00E1">
      <w:pPr>
        <w:pStyle w:val="a3"/>
        <w:jc w:val="both"/>
      </w:pPr>
      <w:r>
        <w:t xml:space="preserve">3) найменування оператора-отримувача, якщо таким оператором є юридична особа, або </w:t>
      </w:r>
      <w:proofErr w:type="gramStart"/>
      <w:r>
        <w:t>пр</w:t>
      </w:r>
      <w:proofErr w:type="gramEnd"/>
      <w:r>
        <w:t>ізвище, ім'я, по батькові фізичної особи, якщо таким оператором є фізична особа - підприємець, та підтвердження того, що заявникові відомі і зрозумілі умови надання телекомунікаційних послуг оператором-отримувачем за обраним тарифним планом;</w:t>
      </w:r>
    </w:p>
    <w:p w:rsidR="00FD6B6F" w:rsidRDefault="00DC00E1">
      <w:pPr>
        <w:pStyle w:val="a3"/>
        <w:jc w:val="both"/>
      </w:pPr>
      <w:r>
        <w:t>4) номер іншого телефону або адреса електронної пошти для зворотного зв'язку;</w:t>
      </w:r>
    </w:p>
    <w:p w:rsidR="00FD6B6F" w:rsidRDefault="00DC00E1">
      <w:pPr>
        <w:pStyle w:val="a3"/>
        <w:jc w:val="both"/>
      </w:pPr>
      <w:r>
        <w:t xml:space="preserve">5) поштова адреса </w:t>
      </w:r>
      <w:proofErr w:type="gramStart"/>
      <w:r>
        <w:t>м</w:t>
      </w:r>
      <w:proofErr w:type="gramEnd"/>
      <w:r>
        <w:t>ісцезнаходження / місця проживання, за якою абонент мережі фіксованого телефонного зв'язку планує отримувати телекомунікаційні послуги з використанням перенесеного абонентського номера;</w:t>
      </w:r>
    </w:p>
    <w:p w:rsidR="00FD6B6F" w:rsidRDefault="00DC00E1">
      <w:pPr>
        <w:pStyle w:val="a3"/>
        <w:jc w:val="both"/>
      </w:pPr>
      <w:r>
        <w:lastRenderedPageBreak/>
        <w:t>6) бажаний час перенесення абонентського номера (номерів);</w:t>
      </w:r>
    </w:p>
    <w:p w:rsidR="00FD6B6F" w:rsidRDefault="00DC00E1">
      <w:pPr>
        <w:pStyle w:val="a3"/>
        <w:jc w:val="both"/>
      </w:pPr>
      <w:r>
        <w:t>7) обраний тариф та/або тарифний план у мережі оператора-отримувача та умови оплати;</w:t>
      </w:r>
    </w:p>
    <w:p w:rsidR="00FD6B6F" w:rsidRDefault="00DC00E1">
      <w:pPr>
        <w:pStyle w:val="a3"/>
        <w:jc w:val="both"/>
      </w:pPr>
      <w:r>
        <w:t xml:space="preserve">8) для абонентів - юридичних осіб - повне найменування, місцезнаходження та ідентифікаційний код згідно з Єдиним державним реєстром </w:t>
      </w:r>
      <w:proofErr w:type="gramStart"/>
      <w:r>
        <w:t>п</w:t>
      </w:r>
      <w:proofErr w:type="gramEnd"/>
      <w:r>
        <w:t>ідприємств та організацій України.</w:t>
      </w:r>
    </w:p>
    <w:p w:rsidR="00FD6B6F" w:rsidRDefault="00DC00E1">
      <w:pPr>
        <w:pStyle w:val="a3"/>
        <w:jc w:val="both"/>
      </w:pPr>
      <w:r>
        <w:t xml:space="preserve">Абонент - фізична особа вказує в заяві </w:t>
      </w:r>
      <w:proofErr w:type="gramStart"/>
      <w:r>
        <w:t>пр</w:t>
      </w:r>
      <w:proofErr w:type="gramEnd"/>
      <w:r>
        <w:t>ізвище, ім'я, по батькові, місце проживання, серію та номер паспорта або іншого документа, що посвідчує особу.</w:t>
      </w:r>
    </w:p>
    <w:p w:rsidR="00FD6B6F" w:rsidRDefault="00DC00E1">
      <w:pPr>
        <w:pStyle w:val="a3"/>
        <w:jc w:val="both"/>
      </w:pPr>
      <w:r>
        <w:t xml:space="preserve">Уповноважена особа абонента - юридичної особи повинна пред'явити оригінал документа, що </w:t>
      </w:r>
      <w:proofErr w:type="gramStart"/>
      <w:r>
        <w:t>п</w:t>
      </w:r>
      <w:proofErr w:type="gramEnd"/>
      <w:r>
        <w:t>ідтверджує повноваження на здійснення перенесення абонентського номера (номерів) такої юридичної особи.</w:t>
      </w:r>
    </w:p>
    <w:p w:rsidR="00FD6B6F" w:rsidRDefault="00DC00E1">
      <w:pPr>
        <w:pStyle w:val="a3"/>
        <w:jc w:val="both"/>
      </w:pPr>
      <w:r>
        <w:t xml:space="preserve">16. Якщо абонент планує отримувати телекомунікаційні послуги на </w:t>
      </w:r>
      <w:proofErr w:type="gramStart"/>
      <w:r>
        <w:t>п</w:t>
      </w:r>
      <w:proofErr w:type="gramEnd"/>
      <w:r>
        <w:t>ідставі укладеного в письмовій формі договору, то він додатково до інформації, зазначеної в пункті 15 цього розділу, надає відомості, передбачені законодавством для укладення договору про надання телекомунікаційних послуг, у письмовій формі.</w:t>
      </w:r>
    </w:p>
    <w:p w:rsidR="00FD6B6F" w:rsidRDefault="00DC00E1">
      <w:pPr>
        <w:pStyle w:val="a3"/>
        <w:jc w:val="both"/>
      </w:pPr>
      <w:r>
        <w:t>17. При надходженні заяви до оператора-отримувача від абонента про отримання ППН:</w:t>
      </w:r>
    </w:p>
    <w:p w:rsidR="00FD6B6F" w:rsidRDefault="00DC00E1">
      <w:pPr>
        <w:pStyle w:val="a3"/>
        <w:jc w:val="both"/>
      </w:pPr>
      <w:r>
        <w:t xml:space="preserve">1) оператор-отримувач фіксує дату та час отримання заяви та протягом 8 робочих годин з моменту реєстрації заяви робить запит до базового оператора щодо можливості здійснення ППН за певним абонентським номером та повідомляє про це </w:t>
      </w:r>
      <w:proofErr w:type="gramStart"/>
      <w:r>
        <w:t>адм</w:t>
      </w:r>
      <w:proofErr w:type="gramEnd"/>
      <w:r>
        <w:t>іністратора.</w:t>
      </w:r>
    </w:p>
    <w:p w:rsidR="00FD6B6F" w:rsidRDefault="00DC00E1">
      <w:pPr>
        <w:pStyle w:val="a3"/>
        <w:jc w:val="both"/>
      </w:pPr>
      <w:r>
        <w:t xml:space="preserve">Запит оператора-отримувача має містити абонентський номер і </w:t>
      </w:r>
      <w:proofErr w:type="gramStart"/>
      <w:r>
        <w:t>пр</w:t>
      </w:r>
      <w:proofErr w:type="gramEnd"/>
      <w:r>
        <w:t>ізвище, ім'я та по батькові фізичної особи або найменування юридичної особи;</w:t>
      </w:r>
    </w:p>
    <w:p w:rsidR="00FD6B6F" w:rsidRDefault="00DC00E1">
      <w:pPr>
        <w:pStyle w:val="a3"/>
        <w:jc w:val="both"/>
      </w:pPr>
      <w:r>
        <w:t xml:space="preserve">2) базовий оператор протягом 8 робочих годин з моменту отримання відповідного запиту від оператора-отримувача інформує оператора-отримувача про можливість надання ППН за певним абонентським номером або про </w:t>
      </w:r>
      <w:proofErr w:type="gramStart"/>
      <w:r>
        <w:t>п</w:t>
      </w:r>
      <w:proofErr w:type="gramEnd"/>
      <w:r>
        <w:t>ідстави для відмови в перенесенні абонентського номера згідно з пунктом 28 цього розділу;</w:t>
      </w:r>
    </w:p>
    <w:p w:rsidR="00FD6B6F" w:rsidRDefault="00DC00E1">
      <w:pPr>
        <w:pStyle w:val="a3"/>
        <w:jc w:val="both"/>
      </w:pPr>
      <w:r>
        <w:t>3) оператор-отримувач повідомляє абонента про можливість надання ППН:</w:t>
      </w:r>
    </w:p>
    <w:p w:rsidR="00FD6B6F" w:rsidRDefault="00DC00E1">
      <w:pPr>
        <w:pStyle w:val="a3"/>
        <w:jc w:val="both"/>
      </w:pPr>
      <w:r>
        <w:t xml:space="preserve">рухомого (мобільного) зв'язку - час та місце для отримання ідентифікаційної телекомунікаційної картки, </w:t>
      </w:r>
      <w:proofErr w:type="gramStart"/>
      <w:r>
        <w:t>у</w:t>
      </w:r>
      <w:proofErr w:type="gramEnd"/>
      <w:r>
        <w:t xml:space="preserve"> разі необхідності кінцевого обладнання та укладення договору;</w:t>
      </w:r>
    </w:p>
    <w:p w:rsidR="00FD6B6F" w:rsidRDefault="00DC00E1">
      <w:pPr>
        <w:pStyle w:val="a3"/>
        <w:jc w:val="both"/>
      </w:pPr>
      <w:r>
        <w:t xml:space="preserve">фіксованого зв'язку - час та місце укладення договору та </w:t>
      </w:r>
      <w:proofErr w:type="gramStart"/>
      <w:r>
        <w:t>у</w:t>
      </w:r>
      <w:proofErr w:type="gramEnd"/>
      <w:r>
        <w:t xml:space="preserve"> разі необхідності отримання кінцевого обладнання;</w:t>
      </w:r>
    </w:p>
    <w:p w:rsidR="00FD6B6F" w:rsidRDefault="00DC00E1">
      <w:pPr>
        <w:pStyle w:val="a3"/>
        <w:jc w:val="both"/>
      </w:pPr>
      <w:r>
        <w:t xml:space="preserve">4) у разі відмови у ППН оператор-отримувач зобов'язаний повідомити абоненту відповідні </w:t>
      </w:r>
      <w:proofErr w:type="gramStart"/>
      <w:r>
        <w:t>п</w:t>
      </w:r>
      <w:proofErr w:type="gramEnd"/>
      <w:r>
        <w:t>ідстави, передбачені пунктом 28 цього розділу;</w:t>
      </w:r>
    </w:p>
    <w:p w:rsidR="00FD6B6F" w:rsidRDefault="00DC00E1">
      <w:pPr>
        <w:pStyle w:val="a3"/>
        <w:jc w:val="both"/>
      </w:pPr>
      <w:r>
        <w:t xml:space="preserve">5) </w:t>
      </w:r>
      <w:proofErr w:type="gramStart"/>
      <w:r>
        <w:t>п</w:t>
      </w:r>
      <w:proofErr w:type="gramEnd"/>
      <w:r>
        <w:t>ісля отримання повідомлення відповідно до підпункту 3 цього пункту абонент:</w:t>
      </w:r>
    </w:p>
    <w:p w:rsidR="00FD6B6F" w:rsidRDefault="00DC00E1">
      <w:pPr>
        <w:pStyle w:val="a3"/>
        <w:jc w:val="both"/>
      </w:pPr>
      <w:r>
        <w:t>рухомого (мобільного) зв'язку повинен у визначений оператором-отримувачем час і місце отримати ідентифікаційну телекомунікаційну картку, укласти догові</w:t>
      </w:r>
      <w:proofErr w:type="gramStart"/>
      <w:r>
        <w:t>р</w:t>
      </w:r>
      <w:proofErr w:type="gramEnd"/>
      <w:r>
        <w:t xml:space="preserve"> та за необхідності придбати кінцеве обладнання за умови пред'явлення документа, що посвідчує фізичну особу або уповноважену особу абонента - юридичної особи, та ідентифікаційної </w:t>
      </w:r>
      <w:r>
        <w:lastRenderedPageBreak/>
        <w:t>телекомунікаційної картки, за якою він отримував телекомунікаційні послуги базового оператора, абонентський номер якого бажає перенести;</w:t>
      </w:r>
    </w:p>
    <w:p w:rsidR="00FD6B6F" w:rsidRDefault="00DC00E1">
      <w:pPr>
        <w:pStyle w:val="a3"/>
        <w:jc w:val="both"/>
      </w:pPr>
      <w:r>
        <w:t>фіксованого зв'язку - у визначені оператором-отримувачем час і місце укласти догові</w:t>
      </w:r>
      <w:proofErr w:type="gramStart"/>
      <w:r>
        <w:t>р</w:t>
      </w:r>
      <w:proofErr w:type="gramEnd"/>
      <w:r>
        <w:t xml:space="preserve"> та за необхідності придбати кінцеве обладнання за умови пред'явлення документа, що посвідчує фізичну особу або уповноважену особу абонента - юридичної особи, та договору (за умови укладення його у письмовій формі), за яким отримував телекомунікаційні послуги у базового оператора, абонентський номер якого бажає перенести.</w:t>
      </w:r>
    </w:p>
    <w:p w:rsidR="00FD6B6F" w:rsidRDefault="00DC00E1">
      <w:pPr>
        <w:pStyle w:val="a3"/>
        <w:jc w:val="both"/>
      </w:pPr>
      <w:r>
        <w:t>18. У випадку, якщо абонент не прийшов за ідентифікаційною телекомунікаційною карткою та/або не уклав догові</w:t>
      </w:r>
      <w:proofErr w:type="gramStart"/>
      <w:r>
        <w:t>р</w:t>
      </w:r>
      <w:proofErr w:type="gramEnd"/>
      <w:r>
        <w:t xml:space="preserve"> у визначений оператором-отримувачем строк, надання ППН призупиняється. Якщо абонент не прийшов до оператора-отримувача протягом 30 календарних днів, заява на ППН скасовується та абонент продовжує отримувати телекомунікаційні послуги у базового оператора.</w:t>
      </w:r>
    </w:p>
    <w:p w:rsidR="00FD6B6F" w:rsidRDefault="00DC00E1">
      <w:pPr>
        <w:pStyle w:val="a3"/>
        <w:jc w:val="both"/>
      </w:pPr>
      <w:r>
        <w:t xml:space="preserve">19. Оператор-отримувач </w:t>
      </w:r>
      <w:proofErr w:type="gramStart"/>
      <w:r>
        <w:t>п</w:t>
      </w:r>
      <w:proofErr w:type="gramEnd"/>
      <w:r>
        <w:t>ісля виконання заходів, передбачених пунктом 17 цього розділу, повідомляє базового оператора та адміністратора про початок перенесення номера.</w:t>
      </w:r>
    </w:p>
    <w:p w:rsidR="00FD6B6F" w:rsidRDefault="00DC00E1">
      <w:pPr>
        <w:pStyle w:val="a3"/>
        <w:jc w:val="both"/>
      </w:pPr>
      <w:r>
        <w:t xml:space="preserve">20. </w:t>
      </w:r>
      <w:proofErr w:type="gramStart"/>
      <w:r>
        <w:t>Адм</w:t>
      </w:r>
      <w:proofErr w:type="gramEnd"/>
      <w:r>
        <w:t>іністратор повідомляє оператора-отримувача та базового оператора про готовність ЦБД для обслуговування перенесеного номера в мережі оператора-отримувача або про відсутність технічної можливості надання ППН.</w:t>
      </w:r>
    </w:p>
    <w:p w:rsidR="00FD6B6F" w:rsidRDefault="00DC00E1">
      <w:pPr>
        <w:pStyle w:val="a3"/>
        <w:jc w:val="both"/>
      </w:pPr>
      <w:r>
        <w:t>21. Оператор-отримувач повідомляє базового оператора та абонента про конкретний момент завершення перенесення абонентського номера у зручний для абонента спосіб.</w:t>
      </w:r>
    </w:p>
    <w:p w:rsidR="00FD6B6F" w:rsidRDefault="00DC00E1">
      <w:pPr>
        <w:pStyle w:val="a3"/>
        <w:jc w:val="both"/>
      </w:pPr>
      <w:r>
        <w:t>22. До завершення перенесення номера базовий оператор зобов'язаний надавати телекомунікаційні послуги абоненту, який подав заяву про перенесення номера, недискримінаційно, за встановленими показниками якості, за тарифами і на умовах, які були визначені договором про надання телекомунікаційних послуг із цим абонентом.</w:t>
      </w:r>
    </w:p>
    <w:p w:rsidR="00FD6B6F" w:rsidRDefault="00DC00E1">
      <w:pPr>
        <w:pStyle w:val="a3"/>
        <w:jc w:val="both"/>
      </w:pPr>
      <w:r>
        <w:t>23. ППН абоненту надається за плату, розмі</w:t>
      </w:r>
      <w:proofErr w:type="gramStart"/>
      <w:r>
        <w:t>р</w:t>
      </w:r>
      <w:proofErr w:type="gramEnd"/>
      <w:r>
        <w:t xml:space="preserve"> якої встановлює оператор-отримувач.</w:t>
      </w:r>
    </w:p>
    <w:p w:rsidR="00FD6B6F" w:rsidRDefault="00DC00E1">
      <w:pPr>
        <w:pStyle w:val="a3"/>
        <w:jc w:val="both"/>
      </w:pPr>
      <w:r>
        <w:t xml:space="preserve">24. Абонент сплачує за ППН оператору-отримувачу </w:t>
      </w:r>
      <w:proofErr w:type="gramStart"/>
      <w:r>
        <w:t>п</w:t>
      </w:r>
      <w:proofErr w:type="gramEnd"/>
      <w:r>
        <w:t>ід час:</w:t>
      </w:r>
    </w:p>
    <w:p w:rsidR="00FD6B6F" w:rsidRDefault="00DC00E1">
      <w:pPr>
        <w:pStyle w:val="a3"/>
        <w:jc w:val="both"/>
      </w:pPr>
      <w:r>
        <w:t xml:space="preserve">отримання ідентифікаційної телекомунікаційної картки </w:t>
      </w:r>
      <w:proofErr w:type="gramStart"/>
      <w:r>
        <w:t>для</w:t>
      </w:r>
      <w:proofErr w:type="gramEnd"/>
      <w:r>
        <w:t xml:space="preserve"> абонентів рухомого (мобільного) зв'язку;</w:t>
      </w:r>
    </w:p>
    <w:p w:rsidR="00FD6B6F" w:rsidRDefault="00DC00E1">
      <w:pPr>
        <w:pStyle w:val="a3"/>
        <w:jc w:val="both"/>
      </w:pPr>
      <w:r>
        <w:t xml:space="preserve">укладення договору </w:t>
      </w:r>
      <w:proofErr w:type="gramStart"/>
      <w:r>
        <w:t>для</w:t>
      </w:r>
      <w:proofErr w:type="gramEnd"/>
      <w:r>
        <w:t xml:space="preserve"> абонентів фіксованого зв'язку.</w:t>
      </w:r>
    </w:p>
    <w:p w:rsidR="00FD6B6F" w:rsidRDefault="00DC00E1">
      <w:pPr>
        <w:pStyle w:val="a3"/>
        <w:jc w:val="both"/>
      </w:pPr>
      <w:r>
        <w:t xml:space="preserve">Порядок оплати і форма розрахунків за надання телекомунікаційних послуг </w:t>
      </w:r>
      <w:proofErr w:type="gramStart"/>
      <w:r>
        <w:t>п</w:t>
      </w:r>
      <w:proofErr w:type="gramEnd"/>
      <w:r>
        <w:t>ісля завершення перенесення абонентського номера визначаються договором про надання телекомунікаційних послуг відповідно до законодавства.</w:t>
      </w:r>
    </w:p>
    <w:p w:rsidR="00FD6B6F" w:rsidRDefault="00DC00E1">
      <w:pPr>
        <w:pStyle w:val="a3"/>
        <w:jc w:val="both"/>
      </w:pPr>
      <w:r>
        <w:t xml:space="preserve">25. Перенесення абонентського номера відбувається протягом 3 робочих днів у мережах рухомого (мобільного) зв'язку та протягом 7 робочих днів у мережах фіксованого телефонного зв'язку з моменту реєстрації заяви, за винятком випадку, коли абонент вказує у заяві </w:t>
      </w:r>
      <w:proofErr w:type="gramStart"/>
      <w:r>
        <w:t>п</w:t>
      </w:r>
      <w:proofErr w:type="gramEnd"/>
      <w:r>
        <w:t>ізніший строк перенесення абонентського номера (номерів), який не може перевищувати 30 днів.</w:t>
      </w:r>
    </w:p>
    <w:p w:rsidR="00FD6B6F" w:rsidRDefault="00DC00E1">
      <w:pPr>
        <w:pStyle w:val="a3"/>
        <w:jc w:val="both"/>
      </w:pPr>
      <w:r>
        <w:t xml:space="preserve">26. </w:t>
      </w:r>
      <w:proofErr w:type="gramStart"/>
      <w:r>
        <w:t xml:space="preserve">Якщо перенесення абонентського номера в мережі фіксованого телефонного зв'язку пов'язане з необхідністю організації оператором-отримувачем нової абонентської лінії, </w:t>
      </w:r>
      <w:r>
        <w:lastRenderedPageBreak/>
        <w:t>строк реалізації перенесення може бути встановлений до 24 робочих днів з моменту укладення договору з оператором-отримувачем.</w:t>
      </w:r>
      <w:proofErr w:type="gramEnd"/>
    </w:p>
    <w:p w:rsidR="00FD6B6F" w:rsidRDefault="00DC00E1">
      <w:pPr>
        <w:pStyle w:val="a3"/>
        <w:jc w:val="both"/>
      </w:pPr>
      <w:r>
        <w:t>27. Час, протягом якого абонент не буде отримувати телекомунікаційні послуги за номером, який переноситься, не може перевищувати 3 годин.</w:t>
      </w:r>
    </w:p>
    <w:p w:rsidR="00FD6B6F" w:rsidRDefault="00DC00E1">
      <w:pPr>
        <w:pStyle w:val="a3"/>
        <w:jc w:val="both"/>
      </w:pPr>
      <w:r>
        <w:t>28. Абоненту відмовляється у ППН, якщо:</w:t>
      </w:r>
    </w:p>
    <w:p w:rsidR="00FD6B6F" w:rsidRDefault="00DC00E1">
      <w:pPr>
        <w:pStyle w:val="a3"/>
        <w:jc w:val="both"/>
      </w:pPr>
      <w:r>
        <w:t>1) абонент отримує телекомунікаційні послуги знеособлено;</w:t>
      </w:r>
    </w:p>
    <w:p w:rsidR="00FD6B6F" w:rsidRDefault="00DC00E1">
      <w:pPr>
        <w:pStyle w:val="a3"/>
        <w:jc w:val="both"/>
      </w:pPr>
      <w:r>
        <w:t xml:space="preserve">2) право користування абонентським номером, на перенесення якого подана заява, належить іншій особі, або якщо на </w:t>
      </w:r>
      <w:proofErr w:type="gramStart"/>
      <w:r>
        <w:t>п</w:t>
      </w:r>
      <w:proofErr w:type="gramEnd"/>
      <w:r>
        <w:t>ідставах, визначених законодавством, за цим номером припинено надання послуг абоненту, який заявляє про бажання його перенести;</w:t>
      </w:r>
    </w:p>
    <w:p w:rsidR="00FD6B6F" w:rsidRDefault="00DC00E1">
      <w:pPr>
        <w:pStyle w:val="a3"/>
        <w:jc w:val="both"/>
      </w:pPr>
      <w:r>
        <w:t xml:space="preserve">3) абонент, який бажає перенести номер, </w:t>
      </w:r>
      <w:proofErr w:type="gramStart"/>
      <w:r>
        <w:t>п</w:t>
      </w:r>
      <w:proofErr w:type="gramEnd"/>
      <w:r>
        <w:t>ід час перенесення абонентського номера подав заяву про перенесення цього самого абонентського номера іншому оператору-отримувачу;</w:t>
      </w:r>
    </w:p>
    <w:p w:rsidR="00FD6B6F" w:rsidRDefault="00DC00E1">
      <w:pPr>
        <w:pStyle w:val="a3"/>
        <w:jc w:val="both"/>
      </w:pPr>
      <w:r>
        <w:t xml:space="preserve">4) </w:t>
      </w:r>
      <w:proofErr w:type="gramStart"/>
      <w:r>
        <w:t>п</w:t>
      </w:r>
      <w:proofErr w:type="gramEnd"/>
      <w:r>
        <w:t>ісля останнього перенесення абонентського номера не минуло 30 календарних днів;</w:t>
      </w:r>
    </w:p>
    <w:p w:rsidR="00FD6B6F" w:rsidRDefault="00DC00E1">
      <w:pPr>
        <w:pStyle w:val="a3"/>
        <w:jc w:val="both"/>
      </w:pPr>
      <w:r>
        <w:t xml:space="preserve">5) абонентом у заяві про перенесення абонентського номера зазначено неповні та/або недостовірні </w:t>
      </w:r>
      <w:proofErr w:type="gramStart"/>
      <w:r>
        <w:t>дан</w:t>
      </w:r>
      <w:proofErr w:type="gramEnd"/>
      <w:r>
        <w:t>і;</w:t>
      </w:r>
    </w:p>
    <w:p w:rsidR="00FD6B6F" w:rsidRDefault="00DC00E1">
      <w:pPr>
        <w:pStyle w:val="a3"/>
        <w:jc w:val="both"/>
      </w:pPr>
      <w:r>
        <w:t>6) оператор-отримувач не здійснює діяльність в населеному пункті, у якому абонент планує отримувати послуги з використанням перенесеного абонентського номера;</w:t>
      </w:r>
    </w:p>
    <w:p w:rsidR="00FD6B6F" w:rsidRDefault="00DC00E1">
      <w:pPr>
        <w:pStyle w:val="a3"/>
        <w:jc w:val="both"/>
      </w:pPr>
      <w:r>
        <w:t xml:space="preserve">7) у зоні нумерації, в якій знаходиться номер абонента, що подав заяву на перенесення, не забезпечується процедура встановлення внутрішньозонових з'єднань з використанням семизначних зонових номерів </w:t>
      </w:r>
      <w:proofErr w:type="gramStart"/>
      <w:r>
        <w:t>в</w:t>
      </w:r>
      <w:proofErr w:type="gramEnd"/>
      <w:r>
        <w:t xml:space="preserve">ідповідно до Плану переходу на перспективну систему нумерації телефонної мережі загального користування України, затвердженого </w:t>
      </w:r>
      <w:r>
        <w:rPr>
          <w:color w:val="0000FF"/>
        </w:rPr>
        <w:t>наказом Міністерства транспорту та зв'язку України від 29 вересня 2008 року N 1200</w:t>
      </w:r>
      <w:r>
        <w:t>, зареєстрованого в Міністерстві юстиції України 22 жовтня 2008 року за N 1014/15705;</w:t>
      </w:r>
    </w:p>
    <w:p w:rsidR="00FD6B6F" w:rsidRDefault="00DC00E1">
      <w:pPr>
        <w:pStyle w:val="a3"/>
        <w:jc w:val="both"/>
      </w:pPr>
      <w:r>
        <w:t xml:space="preserve">8) абонентський номер обслуговується аналоговою комутаційною станцією або комутаційною станцією, яка не забезпечує інформаційний обмін з ЛБД, ЦБД, що </w:t>
      </w:r>
      <w:proofErr w:type="gramStart"/>
      <w:r>
        <w:t>п</w:t>
      </w:r>
      <w:proofErr w:type="gramEnd"/>
      <w:r>
        <w:t>ідтверджується повідомленням адміністратора;</w:t>
      </w:r>
    </w:p>
    <w:p w:rsidR="00FD6B6F" w:rsidRDefault="00DC00E1">
      <w:pPr>
        <w:pStyle w:val="a3"/>
        <w:jc w:val="both"/>
      </w:pPr>
      <w:r>
        <w:t xml:space="preserve">9) відсутня </w:t>
      </w:r>
      <w:proofErr w:type="gramStart"/>
      <w:r>
        <w:t>техн</w:t>
      </w:r>
      <w:proofErr w:type="gramEnd"/>
      <w:r>
        <w:t>ічна можливість організації нової абонентської лінії оператором-отримувачем.</w:t>
      </w:r>
    </w:p>
    <w:p w:rsidR="00FD6B6F" w:rsidRDefault="00DC00E1">
      <w:pPr>
        <w:pStyle w:val="a3"/>
        <w:jc w:val="both"/>
      </w:pPr>
      <w:r>
        <w:t xml:space="preserve">29. Абонент має право відмовитись від поданої ним заяви про перенесення абонентського номера, повідомивши про це оператора-отримувача в такий самий спосіб, яким </w:t>
      </w:r>
      <w:proofErr w:type="gramStart"/>
      <w:r>
        <w:t>подавав</w:t>
      </w:r>
      <w:proofErr w:type="gramEnd"/>
      <w:r>
        <w:t xml:space="preserve"> заяву, у строк, що не перевищує половину строку на здійснення перенесення абонентського номера, зазначеного в пунктах 25, 26 цього розділу.</w:t>
      </w:r>
    </w:p>
    <w:p w:rsidR="00FD6B6F" w:rsidRDefault="00DC00E1">
      <w:pPr>
        <w:pStyle w:val="a3"/>
        <w:jc w:val="both"/>
      </w:pPr>
      <w:r>
        <w:t xml:space="preserve">30. Взаєморозрахунки між операторами телекомунікацій </w:t>
      </w:r>
      <w:proofErr w:type="gramStart"/>
      <w:r>
        <w:t>п</w:t>
      </w:r>
      <w:proofErr w:type="gramEnd"/>
      <w:r>
        <w:t>ід час обслуговування абонентів з перенесеними абонентськими номерами здійснюються за послуги пропуску трафіку відповідно до договорів про взаємоз'єднання, укладених між цими операторами телекомунікацій.</w:t>
      </w:r>
    </w:p>
    <w:p w:rsidR="00FD6B6F" w:rsidRDefault="00DC00E1">
      <w:pPr>
        <w:pStyle w:val="a3"/>
        <w:jc w:val="both"/>
      </w:pPr>
      <w:r>
        <w:t xml:space="preserve">31. </w:t>
      </w:r>
      <w:proofErr w:type="gramStart"/>
      <w:r>
        <w:t>Адм</w:t>
      </w:r>
      <w:proofErr w:type="gramEnd"/>
      <w:r>
        <w:t>іністратор забезпечує безоплатний електронний доступ НКРЗІ до інформації про перенесені номери, зокрема до статистичних даних, які необхідні для аналізу процесу надання ППН.</w:t>
      </w:r>
    </w:p>
    <w:p w:rsidR="00FD6B6F" w:rsidRDefault="00DC00E1">
      <w:pPr>
        <w:pStyle w:val="a3"/>
        <w:jc w:val="both"/>
      </w:pPr>
      <w:r>
        <w:lastRenderedPageBreak/>
        <w:t xml:space="preserve">32. Оплата послуг </w:t>
      </w:r>
      <w:proofErr w:type="gramStart"/>
      <w:r>
        <w:t>адм</w:t>
      </w:r>
      <w:proofErr w:type="gramEnd"/>
      <w:r>
        <w:t>іністратора встановлюється в установленому законодавством порядку на договірних засадах та здійснюється:</w:t>
      </w:r>
    </w:p>
    <w:p w:rsidR="00FD6B6F" w:rsidRDefault="00DC00E1">
      <w:pPr>
        <w:pStyle w:val="a3"/>
        <w:jc w:val="both"/>
      </w:pPr>
      <w:r>
        <w:t>оператором-отримувачем за кожне перенесення абонентського номера;</w:t>
      </w:r>
    </w:p>
    <w:p w:rsidR="00FD6B6F" w:rsidRDefault="00DC00E1">
      <w:pPr>
        <w:pStyle w:val="a3"/>
        <w:jc w:val="both"/>
      </w:pPr>
      <w:r>
        <w:t>операторами телекомунікацій, які використовують номерний ресурс, за доступ до інформації ЦБД з урахуванням кількості задіяного номерного ресурсу та собівартості утримання ЦБД;</w:t>
      </w:r>
    </w:p>
    <w:p w:rsidR="00FD6B6F" w:rsidRDefault="00DC00E1">
      <w:pPr>
        <w:pStyle w:val="a3"/>
        <w:jc w:val="both"/>
      </w:pPr>
      <w:r>
        <w:t>іншими суб'єктами господарювання, які використовують дані про абонентські номери у своїх технологічних процесах.</w:t>
      </w:r>
    </w:p>
    <w:p w:rsidR="00FD6B6F" w:rsidRDefault="00DC00E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III. Порядок досудового вирішення спорів щодо надання послуг з перенесення абонентських номері</w:t>
      </w:r>
      <w:proofErr w:type="gramStart"/>
      <w:r>
        <w:rPr>
          <w:rFonts w:eastAsia="Times New Roman"/>
        </w:rPr>
        <w:t>в</w:t>
      </w:r>
      <w:proofErr w:type="gramEnd"/>
    </w:p>
    <w:p w:rsidR="00FD6B6F" w:rsidRDefault="00DC00E1">
      <w:pPr>
        <w:pStyle w:val="a3"/>
        <w:jc w:val="both"/>
      </w:pPr>
      <w:r>
        <w:t xml:space="preserve">1. Врегулювання спорів між сторонами, які виникають </w:t>
      </w:r>
      <w:proofErr w:type="gramStart"/>
      <w:r>
        <w:t>п</w:t>
      </w:r>
      <w:proofErr w:type="gramEnd"/>
      <w:r>
        <w:t>ід час надання ППН, вирішуються шляхом проведення двосторонніх консультацій та переговорів. Консультації та переговори проводяться уповноваженими представниками сторін після попереднього повідомлення однієї зі сторін про ініціювання проведення переговорів.</w:t>
      </w:r>
    </w:p>
    <w:p w:rsidR="00FD6B6F" w:rsidRDefault="00DC00E1">
      <w:pPr>
        <w:pStyle w:val="a3"/>
        <w:jc w:val="both"/>
      </w:pPr>
      <w:r>
        <w:t xml:space="preserve">2. Якщо за результатами переговорів з'ясовано, що сторони спору не можуть дійти згоди, позиції сторін оформлюються протоколом розбіжностей, </w:t>
      </w:r>
      <w:proofErr w:type="gramStart"/>
      <w:r>
        <w:t>п</w:t>
      </w:r>
      <w:proofErr w:type="gramEnd"/>
      <w:r>
        <w:t>ісля чого заявник може подати письмове звернення до НКРЗІ щодо досудового вирішення спору відповідно до законодавства.</w:t>
      </w:r>
    </w:p>
    <w:p w:rsidR="00FD6B6F" w:rsidRDefault="00DC00E1">
      <w:pPr>
        <w:pStyle w:val="a3"/>
        <w:jc w:val="both"/>
      </w:pPr>
      <w:r>
        <w:t xml:space="preserve">3. Досудове врегулювання спору між сторонами щодо ППН здійснюється НКРЗІ в разі відсутності судового </w:t>
      </w:r>
      <w:proofErr w:type="gramStart"/>
      <w:r>
        <w:t>р</w:t>
      </w:r>
      <w:proofErr w:type="gramEnd"/>
      <w:r>
        <w:t>ішення у справі про спір між тими самими сторонами, про той самий предмет і з тих самих підстав та/або ухвали про відкриття провадження у зазначеній справі.</w:t>
      </w:r>
    </w:p>
    <w:p w:rsidR="00FD6B6F" w:rsidRDefault="00DC00E1">
      <w:pPr>
        <w:pStyle w:val="a3"/>
        <w:jc w:val="both"/>
      </w:pPr>
      <w:r>
        <w:t xml:space="preserve">4. Розгляд питання щодо досудового врегулювання спору на засіданні НКРЗІ відбувається з обов'язковим запрошенням, а також за присутності обох сторін. При цьому відсутність однієї або обох сторін не є </w:t>
      </w:r>
      <w:proofErr w:type="gramStart"/>
      <w:r>
        <w:t>п</w:t>
      </w:r>
      <w:proofErr w:type="gramEnd"/>
      <w:r>
        <w:t xml:space="preserve">ідставою для перенесення розгляду, якщо їх вчасно повідомили про дату та час розгляду. За результатами розгляду НКРЗІ приймає </w:t>
      </w:r>
      <w:proofErr w:type="gramStart"/>
      <w:r>
        <w:t>р</w:t>
      </w:r>
      <w:proofErr w:type="gramEnd"/>
      <w:r>
        <w:t xml:space="preserve">ішення щодо врегулювання спору або про проведення експертизи згідно з Порядком проведення експертизи при досудовому врегулюванні спору, затвердженим </w:t>
      </w:r>
      <w:r>
        <w:rPr>
          <w:color w:val="0000FF"/>
        </w:rPr>
        <w:t>рішенням Національної комісії з питань регулювання зв'язку України від 13 травня 2010 року N 217</w:t>
      </w:r>
      <w:r>
        <w:t>, зареєстрованим у Міністерстві юстиції України 14 липня 2010 року за N 525/17820.</w:t>
      </w:r>
    </w:p>
    <w:p w:rsidR="00FD6B6F" w:rsidRDefault="00DC00E1">
      <w:pPr>
        <w:pStyle w:val="a3"/>
        <w:jc w:val="both"/>
      </w:pPr>
      <w:r>
        <w:t xml:space="preserve">5. </w:t>
      </w:r>
      <w:proofErr w:type="gramStart"/>
      <w:r>
        <w:t>Р</w:t>
      </w:r>
      <w:proofErr w:type="gramEnd"/>
      <w:r>
        <w:t xml:space="preserve">ішення НКРЗІ є обов'язковим для виконання учасниками спору. У разі прийняття НКРЗІ </w:t>
      </w:r>
      <w:proofErr w:type="gramStart"/>
      <w:r>
        <w:t>р</w:t>
      </w:r>
      <w:proofErr w:type="gramEnd"/>
      <w:r>
        <w:t>ішення, яке не задовольняє одну зі сторін, заінтересована сторона має право звернутися до суду.</w:t>
      </w:r>
    </w:p>
    <w:p w:rsidR="00FD6B6F" w:rsidRDefault="00DC00E1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"/>
        <w:gridCol w:w="4661"/>
        <w:gridCol w:w="3524"/>
        <w:gridCol w:w="1166"/>
        <w:gridCol w:w="81"/>
      </w:tblGrid>
      <w:tr w:rsidR="00FD6B6F" w:rsidTr="00EC7F6F">
        <w:trPr>
          <w:tblCellSpacing w:w="22" w:type="dxa"/>
        </w:trPr>
        <w:tc>
          <w:tcPr>
            <w:tcW w:w="2465" w:type="pct"/>
            <w:gridSpan w:val="2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Директор Департаменту зв'язку</w:t>
            </w:r>
          </w:p>
        </w:tc>
        <w:tc>
          <w:tcPr>
            <w:tcW w:w="2466" w:type="pct"/>
            <w:gridSpan w:val="3"/>
            <w:vAlign w:val="bottom"/>
            <w:hideMark/>
          </w:tcPr>
          <w:p w:rsidR="00FD6B6F" w:rsidRDefault="00DC00E1">
            <w:pPr>
              <w:pStyle w:val="a3"/>
              <w:jc w:val="center"/>
            </w:pPr>
            <w:r>
              <w:rPr>
                <w:b/>
                <w:bCs/>
              </w:rPr>
              <w:t>І. Хохотва</w:t>
            </w:r>
          </w:p>
        </w:tc>
      </w:tr>
      <w:tr w:rsidR="00FD6B6F" w:rsidTr="00EC7F6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1"/>
          <w:tblCellSpacing w:w="15" w:type="dxa"/>
        </w:trPr>
        <w:tc>
          <w:tcPr>
            <w:tcW w:w="4323" w:type="pct"/>
            <w:gridSpan w:val="2"/>
            <w:vAlign w:val="center"/>
          </w:tcPr>
          <w:p w:rsidR="00FD6B6F" w:rsidRDefault="00FD6B6F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600" w:type="pct"/>
            <w:vAlign w:val="center"/>
          </w:tcPr>
          <w:p w:rsidR="00FD6B6F" w:rsidRDefault="00FD6B6F">
            <w:pPr>
              <w:rPr>
                <w:rFonts w:eastAsia="Times New Roman"/>
              </w:rPr>
            </w:pPr>
          </w:p>
        </w:tc>
      </w:tr>
    </w:tbl>
    <w:p w:rsidR="00DC00E1" w:rsidRDefault="00DC00E1">
      <w:pPr>
        <w:rPr>
          <w:rFonts w:eastAsia="Times New Roman"/>
        </w:rPr>
      </w:pPr>
    </w:p>
    <w:sectPr w:rsidR="00DC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E1093"/>
    <w:rsid w:val="00DC00E1"/>
    <w:rsid w:val="00EC7F6F"/>
    <w:rsid w:val="00FD6B6F"/>
    <w:rsid w:val="00FE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10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09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10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09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Гладенька Ірина Борисівна</dc:creator>
  <cp:lastModifiedBy>Чепура Вячеслав Миколайович</cp:lastModifiedBy>
  <cp:revision>3</cp:revision>
  <dcterms:created xsi:type="dcterms:W3CDTF">2020-01-13T08:30:00Z</dcterms:created>
  <dcterms:modified xsi:type="dcterms:W3CDTF">2020-01-13T10:20:00Z</dcterms:modified>
</cp:coreProperties>
</file>