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21129F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29F" w:rsidRPr="002E1F08" w:rsidRDefault="0021129F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48.7pt;margin-top:-12.3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DUHoT53wAAAAkBAAAPAAAAAAAA&#10;AAAAAAAAAJAEAABkcnMvZG93bnJldi54bWxQSwUGAAAAAAQABADzAAAAnAUAAAAA&#10;">
                  <v:textbox>
                    <w:txbxContent>
                      <w:p w:rsidR="0021129F" w:rsidRPr="00CA6F05" w:rsidRDefault="0021129F" w:rsidP="003A6D12">
                        <w:r>
                          <w:t>17</w:t>
                        </w:r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  <w:bookmarkStart w:id="0" w:name="_GoBack"/>
                        <w:bookmarkEnd w:id="0"/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21129F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29F" w:rsidRDefault="0021129F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21129F" w:rsidRPr="00ED7CD7" w:rsidRDefault="0021129F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21129F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29F" w:rsidRPr="00ED7CD7" w:rsidRDefault="0021129F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21129F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29F" w:rsidRPr="006176EB" w:rsidRDefault="0021129F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21129F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29F" w:rsidRPr="0081428C" w:rsidRDefault="0021129F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21129F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29F" w:rsidRPr="008503C0" w:rsidRDefault="0021129F" w:rsidP="00850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8503C0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21129F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29F" w:rsidRPr="0081428C" w:rsidRDefault="0021129F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21129F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29F" w:rsidRPr="006176EB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21129F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29F" w:rsidRPr="0081428C" w:rsidRDefault="0021129F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21129F" w:rsidRDefault="0021129F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21129F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29F" w:rsidRPr="00ED7CD7" w:rsidRDefault="0021129F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21129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29F" w:rsidRDefault="0021129F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м. Дніпро.</w:t>
            </w:r>
            <w:r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129F" w:rsidRDefault="0021129F" w:rsidP="002A1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Вул. Калинова, 89</w:t>
            </w:r>
          </w:p>
        </w:tc>
      </w:tr>
      <w:tr w:rsidR="0021129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4517EA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129F" w:rsidRPr="00ED7CD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21129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129F" w:rsidRPr="00ED7CD7" w:rsidRDefault="0021129F" w:rsidP="009A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21129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129F" w:rsidRPr="00ED7CD7" w:rsidRDefault="0021129F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21129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12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21129F" w:rsidRPr="00200207" w:rsidRDefault="0021129F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40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21129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29F" w:rsidRPr="00AF2679" w:rsidRDefault="0021129F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21129F" w:rsidRPr="00AF2679" w:rsidRDefault="0021129F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21129F" w:rsidRPr="0081428C" w:rsidRDefault="0021129F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21129F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29F" w:rsidRPr="00ED7CD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21129F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8503C0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29F" w:rsidRPr="0027462C" w:rsidRDefault="0021129F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21129F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1E2D80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29F" w:rsidRPr="001E2D80" w:rsidRDefault="0021129F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21129F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8503C0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1E2D80" w:rsidRDefault="0021129F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B720A6" w:rsidRDefault="0021129F" w:rsidP="00D22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D224B5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504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21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: </w:t>
            </w:r>
            <w:r w:rsidRPr="00D224B5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15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Е1 – місцевий, 6 Е1 – міжміський</w:t>
            </w:r>
          </w:p>
        </w:tc>
      </w:tr>
      <w:tr w:rsidR="0021129F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8503C0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1129F" w:rsidRDefault="0021129F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  <w:p w:rsidR="0021129F" w:rsidRPr="00DE5435" w:rsidRDefault="0021129F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</w:p>
        </w:tc>
      </w:tr>
      <w:tr w:rsidR="0021129F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8503C0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29F" w:rsidRPr="00394EE9" w:rsidRDefault="0021129F" w:rsidP="009A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CE7683">
              <w:rPr>
                <w:rFonts w:ascii="Times New Roman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21129F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29F" w:rsidRPr="00FE109F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29F" w:rsidRPr="00FE109F" w:rsidRDefault="0021129F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29F" w:rsidRPr="00361248" w:rsidRDefault="0021129F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21129F" w:rsidRPr="00361248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21129F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29F" w:rsidRPr="0050564E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21129F" w:rsidRPr="00ED7CD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21129F" w:rsidRPr="00ED7CD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21129F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5A15C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5A15C7" w:rsidRDefault="0021129F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29F" w:rsidRPr="00E133C5" w:rsidRDefault="0021129F" w:rsidP="00C12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432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 xml:space="preserve">підключенні однієї лінії зв'язку до </w:t>
            </w:r>
            <w:r w:rsidRPr="00E133C5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>/</w:t>
            </w:r>
            <w:r w:rsidRPr="00E133C5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 xml:space="preserve"> складає </w:t>
            </w:r>
            <w:r w:rsidRPr="00340BB3">
              <w:rPr>
                <w:rFonts w:ascii="Times New Roman" w:hAnsi="Times New Roman"/>
                <w:sz w:val="28"/>
                <w:szCs w:val="28"/>
              </w:rPr>
              <w:t>1600</w:t>
            </w:r>
            <w:r w:rsidRPr="00F61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  <w:p w:rsidR="0021129F" w:rsidRPr="00913D3A" w:rsidRDefault="0021129F" w:rsidP="000E2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3C5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одного ММ потоку Е1 до ODF/DDF </w:t>
            </w:r>
            <w:r w:rsidRPr="000E2073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Pr="000E207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404 </w:t>
            </w:r>
            <w:r w:rsidRPr="000E2073">
              <w:rPr>
                <w:rFonts w:ascii="Times New Roman" w:hAnsi="Times New Roman"/>
                <w:sz w:val="28"/>
                <w:szCs w:val="28"/>
              </w:rPr>
              <w:t>грн</w:t>
            </w:r>
            <w:r w:rsidRPr="00F30265">
              <w:rPr>
                <w:rFonts w:ascii="Times New Roman" w:hAnsi="Times New Roman"/>
                <w:sz w:val="28"/>
                <w:szCs w:val="28"/>
              </w:rPr>
              <w:t>., без ПДВ.</w:t>
            </w:r>
          </w:p>
        </w:tc>
      </w:tr>
      <w:tr w:rsidR="0021129F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5A15C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129F" w:rsidRPr="005A15C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AF2679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1129F" w:rsidRPr="005A15C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29F" w:rsidRPr="005A15C7" w:rsidRDefault="0021129F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1129F" w:rsidRPr="005A15C7" w:rsidRDefault="0021129F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21129F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29F" w:rsidRPr="005A15C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21129F" w:rsidRPr="005A15C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129F" w:rsidRPr="005A15C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129F" w:rsidRPr="005A15C7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1129F" w:rsidRPr="00814819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21129F" w:rsidRPr="00814819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1129F" w:rsidRPr="00814819" w:rsidRDefault="0021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29F" w:rsidRPr="00814819" w:rsidRDefault="0021129F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21129F" w:rsidRPr="00814819" w:rsidRDefault="0021129F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1129F" w:rsidRPr="00814819" w:rsidRDefault="0021129F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1129F" w:rsidRPr="00814819" w:rsidRDefault="0021129F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21129F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29F" w:rsidRPr="005A15C7" w:rsidRDefault="0021129F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21129F" w:rsidRPr="005A15C7" w:rsidRDefault="0021129F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21129F" w:rsidRPr="0050564E" w:rsidRDefault="0021129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21129F" w:rsidRPr="00A01B7F" w:rsidRDefault="0021129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21129F" w:rsidRPr="00A01B7F" w:rsidRDefault="0021129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21129F" w:rsidRPr="00A01B7F" w:rsidRDefault="0021129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21129F" w:rsidRPr="00A01B7F" w:rsidRDefault="0021129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21129F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52389"/>
    <w:rsid w:val="00054B2F"/>
    <w:rsid w:val="00087D52"/>
    <w:rsid w:val="000A7355"/>
    <w:rsid w:val="000D5118"/>
    <w:rsid w:val="000E2073"/>
    <w:rsid w:val="000E491B"/>
    <w:rsid w:val="00100D7A"/>
    <w:rsid w:val="00132049"/>
    <w:rsid w:val="001353DF"/>
    <w:rsid w:val="001428E9"/>
    <w:rsid w:val="001B1789"/>
    <w:rsid w:val="001E2D80"/>
    <w:rsid w:val="00200207"/>
    <w:rsid w:val="002042FC"/>
    <w:rsid w:val="0021129F"/>
    <w:rsid w:val="0027462C"/>
    <w:rsid w:val="002A1D02"/>
    <w:rsid w:val="002D0D64"/>
    <w:rsid w:val="002E1F08"/>
    <w:rsid w:val="002F084E"/>
    <w:rsid w:val="00340BB3"/>
    <w:rsid w:val="00361248"/>
    <w:rsid w:val="00394EE9"/>
    <w:rsid w:val="003A6895"/>
    <w:rsid w:val="003A6D12"/>
    <w:rsid w:val="003B0F23"/>
    <w:rsid w:val="003E4811"/>
    <w:rsid w:val="00412084"/>
    <w:rsid w:val="00414362"/>
    <w:rsid w:val="004517EA"/>
    <w:rsid w:val="0046779B"/>
    <w:rsid w:val="0047510E"/>
    <w:rsid w:val="0050564E"/>
    <w:rsid w:val="00516CDD"/>
    <w:rsid w:val="0054616C"/>
    <w:rsid w:val="00561E29"/>
    <w:rsid w:val="005738C4"/>
    <w:rsid w:val="00593AC3"/>
    <w:rsid w:val="005A15C7"/>
    <w:rsid w:val="005C3E79"/>
    <w:rsid w:val="005E224D"/>
    <w:rsid w:val="005F7F9C"/>
    <w:rsid w:val="006074A7"/>
    <w:rsid w:val="006176EB"/>
    <w:rsid w:val="00672114"/>
    <w:rsid w:val="00675410"/>
    <w:rsid w:val="006D0BCE"/>
    <w:rsid w:val="0076486B"/>
    <w:rsid w:val="0077105E"/>
    <w:rsid w:val="0077348D"/>
    <w:rsid w:val="00792432"/>
    <w:rsid w:val="0081428C"/>
    <w:rsid w:val="00814819"/>
    <w:rsid w:val="00842639"/>
    <w:rsid w:val="008503C0"/>
    <w:rsid w:val="00855883"/>
    <w:rsid w:val="00891E6E"/>
    <w:rsid w:val="008E14FA"/>
    <w:rsid w:val="00905A2D"/>
    <w:rsid w:val="00913D3A"/>
    <w:rsid w:val="009211E8"/>
    <w:rsid w:val="009A0C70"/>
    <w:rsid w:val="009E681D"/>
    <w:rsid w:val="009F2614"/>
    <w:rsid w:val="00A01B7F"/>
    <w:rsid w:val="00A444AC"/>
    <w:rsid w:val="00AF2679"/>
    <w:rsid w:val="00AF57B9"/>
    <w:rsid w:val="00B05D7A"/>
    <w:rsid w:val="00B306D0"/>
    <w:rsid w:val="00B720A6"/>
    <w:rsid w:val="00C040D7"/>
    <w:rsid w:val="00C12E08"/>
    <w:rsid w:val="00C13607"/>
    <w:rsid w:val="00C34A49"/>
    <w:rsid w:val="00CA6F05"/>
    <w:rsid w:val="00CD6306"/>
    <w:rsid w:val="00CD755F"/>
    <w:rsid w:val="00CE7683"/>
    <w:rsid w:val="00CF056D"/>
    <w:rsid w:val="00D224B5"/>
    <w:rsid w:val="00D35BDB"/>
    <w:rsid w:val="00DE5435"/>
    <w:rsid w:val="00DF6ACE"/>
    <w:rsid w:val="00E133C5"/>
    <w:rsid w:val="00EB01A4"/>
    <w:rsid w:val="00EB62E6"/>
    <w:rsid w:val="00ED748E"/>
    <w:rsid w:val="00ED7CD7"/>
    <w:rsid w:val="00F03552"/>
    <w:rsid w:val="00F21F1C"/>
    <w:rsid w:val="00F30265"/>
    <w:rsid w:val="00F52B5D"/>
    <w:rsid w:val="00F61722"/>
    <w:rsid w:val="00F7552B"/>
    <w:rsid w:val="00F90894"/>
    <w:rsid w:val="00FA2949"/>
    <w:rsid w:val="00FD6C94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2191</Words>
  <Characters>1249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2018-03-02T16:37:00Z</cp:lastPrinted>
  <dcterms:created xsi:type="dcterms:W3CDTF">2020-03-31T11:44:00Z</dcterms:created>
  <dcterms:modified xsi:type="dcterms:W3CDTF">2020-03-31T11:44:00Z</dcterms:modified>
</cp:coreProperties>
</file>