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DE" w:rsidRPr="007B30DE" w:rsidRDefault="007B30DE" w:rsidP="007B30DE">
      <w:pPr>
        <w:suppressAutoHyphens/>
        <w:autoSpaceDE/>
        <w:autoSpaceDN/>
        <w:adjustRightInd/>
        <w:spacing w:after="200" w:line="276" w:lineRule="auto"/>
        <w:ind w:left="-180" w:right="-2"/>
        <w:jc w:val="center"/>
        <w:rPr>
          <w:rFonts w:eastAsia="Calibri"/>
          <w:spacing w:val="20"/>
          <w:lang w:val="uk-UA" w:eastAsia="ar-SA"/>
        </w:rPr>
      </w:pPr>
      <w:r w:rsidRPr="007B30DE">
        <w:rPr>
          <w:rFonts w:ascii="Calibri" w:eastAsia="Calibri" w:hAnsi="Calibri"/>
          <w:noProof/>
          <w:lang w:val="uk-UA" w:eastAsia="uk-UA"/>
        </w:rPr>
        <w:drawing>
          <wp:inline distT="0" distB="0" distL="0" distR="0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DE" w:rsidRPr="007B30DE" w:rsidRDefault="007B30DE" w:rsidP="007B30DE">
      <w:pPr>
        <w:suppressAutoHyphens/>
        <w:autoSpaceDE/>
        <w:autoSpaceDN/>
        <w:adjustRightInd/>
        <w:spacing w:after="200" w:line="200" w:lineRule="atLeast"/>
        <w:jc w:val="center"/>
        <w:rPr>
          <w:rFonts w:eastAsia="Calibri"/>
          <w:lang w:val="uk-UA" w:eastAsia="en-US"/>
        </w:rPr>
      </w:pPr>
      <w:r w:rsidRPr="007B30DE">
        <w:rPr>
          <w:rFonts w:eastAsia="Calibri"/>
          <w:spacing w:val="20"/>
          <w:lang w:val="uk-UA" w:eastAsia="ar-SA"/>
        </w:rPr>
        <w:t>ЧЕРКАСЬКА МІСЬКА РАДА</w:t>
      </w:r>
    </w:p>
    <w:p w:rsidR="007B30DE" w:rsidRPr="007B30DE" w:rsidRDefault="007B30DE" w:rsidP="007B30DE">
      <w:pPr>
        <w:suppressAutoHyphens/>
        <w:autoSpaceDE/>
        <w:autoSpaceDN/>
        <w:adjustRightInd/>
        <w:spacing w:after="200" w:line="200" w:lineRule="atLeast"/>
        <w:jc w:val="center"/>
        <w:rPr>
          <w:rFonts w:eastAsia="Calibri"/>
          <w:b/>
          <w:lang w:val="uk-UA" w:eastAsia="ar-SA"/>
        </w:rPr>
      </w:pPr>
      <w:r w:rsidRPr="007B30DE">
        <w:rPr>
          <w:rFonts w:eastAsia="Calibri"/>
          <w:lang w:val="uk-UA" w:eastAsia="ar-SA"/>
        </w:rPr>
        <w:t>ВИКОНАВЧИЙ КОМІТЕТ</w:t>
      </w:r>
    </w:p>
    <w:p w:rsidR="007B30DE" w:rsidRPr="007B30DE" w:rsidRDefault="007B30DE" w:rsidP="007B30DE">
      <w:pPr>
        <w:suppressAutoHyphens/>
        <w:autoSpaceDE/>
        <w:autoSpaceDN/>
        <w:adjustRightInd/>
        <w:spacing w:after="200" w:line="200" w:lineRule="atLeast"/>
        <w:jc w:val="center"/>
        <w:rPr>
          <w:rFonts w:eastAsia="Calibri"/>
          <w:lang w:val="uk-UA" w:eastAsia="ar-SA"/>
        </w:rPr>
      </w:pPr>
      <w:r w:rsidRPr="007B30DE">
        <w:rPr>
          <w:rFonts w:eastAsia="Calibri"/>
          <w:b/>
          <w:lang w:val="uk-UA" w:eastAsia="ar-SA"/>
        </w:rPr>
        <w:t>РІШЕННЯ</w:t>
      </w:r>
    </w:p>
    <w:p w:rsidR="007B30DE" w:rsidRPr="007B30DE" w:rsidRDefault="007B30DE" w:rsidP="007B30DE">
      <w:pPr>
        <w:suppressAutoHyphens/>
        <w:autoSpaceDE/>
        <w:autoSpaceDN/>
        <w:adjustRightInd/>
        <w:spacing w:after="200" w:line="200" w:lineRule="atLeast"/>
        <w:jc w:val="center"/>
        <w:rPr>
          <w:rFonts w:eastAsia="Calibri"/>
          <w:lang w:val="uk-UA" w:eastAsia="ar-SA"/>
        </w:rPr>
      </w:pPr>
    </w:p>
    <w:p w:rsidR="007B30DE" w:rsidRPr="007B30DE" w:rsidRDefault="007B30DE" w:rsidP="007B30DE">
      <w:pPr>
        <w:suppressAutoHyphens/>
        <w:autoSpaceDE/>
        <w:autoSpaceDN/>
        <w:adjustRightInd/>
        <w:spacing w:after="200" w:line="200" w:lineRule="atLeast"/>
        <w:jc w:val="center"/>
        <w:rPr>
          <w:sz w:val="24"/>
          <w:szCs w:val="24"/>
          <w:lang w:val="uk-UA" w:eastAsia="ar-SA"/>
        </w:rPr>
      </w:pPr>
      <w:r w:rsidRPr="007B30DE">
        <w:rPr>
          <w:rFonts w:eastAsia="Calibri"/>
          <w:lang w:val="uk-UA" w:eastAsia="ar-SA"/>
        </w:rPr>
        <w:t xml:space="preserve">Від  </w:t>
      </w:r>
      <w:r w:rsidRPr="007B30DE">
        <w:rPr>
          <w:rFonts w:eastAsia="Calibri"/>
          <w:u w:val="single"/>
          <w:lang w:val="uk-UA" w:eastAsia="ar-SA"/>
        </w:rPr>
        <w:t>04</w:t>
      </w:r>
      <w:r w:rsidRPr="007B30DE">
        <w:rPr>
          <w:rFonts w:eastAsia="Calibri"/>
          <w:u w:val="single"/>
          <w:lang w:val="uk-UA" w:eastAsia="ar-SA"/>
        </w:rPr>
        <w:t>.</w:t>
      </w:r>
      <w:r w:rsidRPr="007B30DE">
        <w:rPr>
          <w:rFonts w:eastAsia="Calibri"/>
          <w:u w:val="single"/>
          <w:lang w:val="uk-UA" w:eastAsia="ar-SA"/>
        </w:rPr>
        <w:t>11</w:t>
      </w:r>
      <w:r w:rsidRPr="007B30DE">
        <w:rPr>
          <w:rFonts w:eastAsia="Calibri"/>
          <w:u w:val="single"/>
          <w:lang w:val="uk-UA" w:eastAsia="ar-SA"/>
        </w:rPr>
        <w:t>.202</w:t>
      </w:r>
      <w:r>
        <w:rPr>
          <w:rFonts w:eastAsia="Calibri"/>
          <w:u w:val="single"/>
          <w:lang w:val="uk-UA" w:eastAsia="ar-SA"/>
        </w:rPr>
        <w:t>2</w:t>
      </w:r>
      <w:r>
        <w:rPr>
          <w:rFonts w:eastAsia="Calibri"/>
          <w:lang w:val="uk-UA" w:eastAsia="ar-SA"/>
        </w:rPr>
        <w:t xml:space="preserve"> № </w:t>
      </w:r>
      <w:r w:rsidRPr="007B30DE">
        <w:rPr>
          <w:rFonts w:eastAsia="Calibri"/>
          <w:lang w:val="uk-UA" w:eastAsia="ar-SA"/>
        </w:rPr>
        <w:t>9</w:t>
      </w:r>
      <w:r>
        <w:rPr>
          <w:rFonts w:eastAsia="Calibri"/>
          <w:lang w:val="uk-UA" w:eastAsia="ar-SA"/>
        </w:rPr>
        <w:t>64</w:t>
      </w:r>
    </w:p>
    <w:p w:rsidR="007B30DE" w:rsidRPr="007B30DE" w:rsidRDefault="007B30DE" w:rsidP="007B30DE">
      <w:pPr>
        <w:suppressAutoHyphens/>
        <w:autoSpaceDE/>
        <w:autoSpaceDN/>
        <w:adjustRightInd/>
        <w:spacing w:before="240" w:line="200" w:lineRule="atLeast"/>
        <w:ind w:left="-180" w:right="-2"/>
        <w:jc w:val="center"/>
        <w:rPr>
          <w:lang w:val="uk-UA" w:eastAsia="ar-SA"/>
        </w:rPr>
      </w:pPr>
      <w:r w:rsidRPr="007B30DE">
        <w:rPr>
          <w:sz w:val="24"/>
          <w:szCs w:val="24"/>
          <w:lang w:val="uk-UA" w:eastAsia="ar-SA"/>
        </w:rPr>
        <w:t>м. Черкаси</w:t>
      </w:r>
    </w:p>
    <w:p w:rsidR="007B30DE" w:rsidRPr="007B30DE" w:rsidRDefault="007B30DE" w:rsidP="007B30DE">
      <w:pPr>
        <w:suppressAutoHyphens/>
        <w:autoSpaceDE/>
        <w:autoSpaceDN/>
        <w:adjustRightInd/>
        <w:jc w:val="both"/>
        <w:rPr>
          <w:lang w:val="uk-UA" w:eastAsia="ar-SA"/>
        </w:rPr>
      </w:pPr>
    </w:p>
    <w:p w:rsidR="007B30DE" w:rsidRDefault="007B30DE" w:rsidP="000F590F">
      <w:pPr>
        <w:ind w:left="-426" w:right="-284"/>
        <w:rPr>
          <w:lang w:val="uk-UA"/>
        </w:rPr>
      </w:pPr>
    </w:p>
    <w:p w:rsidR="000F590F" w:rsidRDefault="007F193F" w:rsidP="000F590F">
      <w:pPr>
        <w:ind w:left="-426" w:right="-284"/>
        <w:rPr>
          <w:lang w:val="uk-UA"/>
        </w:rPr>
      </w:pPr>
      <w:r>
        <w:rPr>
          <w:lang w:val="uk-UA"/>
        </w:rPr>
        <w:t xml:space="preserve">Про </w:t>
      </w:r>
      <w:r w:rsidR="00E56281">
        <w:rPr>
          <w:lang w:val="uk-UA"/>
        </w:rPr>
        <w:t xml:space="preserve">затвердження Програми </w:t>
      </w:r>
    </w:p>
    <w:p w:rsidR="000F590F" w:rsidRDefault="00E56281" w:rsidP="000F590F">
      <w:pPr>
        <w:ind w:left="-426" w:right="-284"/>
        <w:rPr>
          <w:lang w:val="uk-UA"/>
        </w:rPr>
      </w:pPr>
      <w:r>
        <w:rPr>
          <w:lang w:val="uk-UA"/>
        </w:rPr>
        <w:t>впорядкування тимчасових споруд</w:t>
      </w:r>
    </w:p>
    <w:p w:rsidR="00E56281" w:rsidRDefault="00E56281" w:rsidP="000F590F">
      <w:pPr>
        <w:ind w:left="-426" w:right="-284"/>
        <w:rPr>
          <w:lang w:val="uk-UA"/>
        </w:rPr>
      </w:pPr>
      <w:r>
        <w:rPr>
          <w:lang w:val="uk-UA"/>
        </w:rPr>
        <w:t xml:space="preserve">і зовнішньої реклами на території </w:t>
      </w:r>
    </w:p>
    <w:p w:rsidR="00E56281" w:rsidRDefault="00411762" w:rsidP="002D4299">
      <w:pPr>
        <w:ind w:left="-426" w:right="-284"/>
        <w:rPr>
          <w:lang w:val="uk-UA"/>
        </w:rPr>
      </w:pPr>
      <w:r>
        <w:rPr>
          <w:lang w:val="uk-UA"/>
        </w:rPr>
        <w:t>міста Черкаси на 2023-2025</w:t>
      </w:r>
      <w:r w:rsidR="000F590F">
        <w:rPr>
          <w:lang w:val="uk-UA"/>
        </w:rPr>
        <w:t xml:space="preserve"> роки</w:t>
      </w:r>
    </w:p>
    <w:p w:rsidR="007132A3" w:rsidRDefault="007132A3" w:rsidP="002D4299">
      <w:pPr>
        <w:ind w:left="-426" w:right="-284"/>
        <w:rPr>
          <w:sz w:val="16"/>
          <w:szCs w:val="16"/>
          <w:lang w:val="uk-UA"/>
        </w:rPr>
      </w:pPr>
    </w:p>
    <w:p w:rsidR="000F590F" w:rsidRDefault="000F590F" w:rsidP="00F12F98">
      <w:pPr>
        <w:ind w:left="-426" w:right="-284" w:firstLine="568"/>
        <w:jc w:val="both"/>
        <w:rPr>
          <w:lang w:val="uk-UA"/>
        </w:rPr>
      </w:pPr>
    </w:p>
    <w:p w:rsidR="000F590F" w:rsidRDefault="000F590F" w:rsidP="00F12F98">
      <w:pPr>
        <w:ind w:left="-426" w:right="-284" w:firstLine="568"/>
        <w:jc w:val="both"/>
        <w:rPr>
          <w:lang w:val="uk-UA"/>
        </w:rPr>
      </w:pPr>
    </w:p>
    <w:p w:rsidR="00F12F98" w:rsidRDefault="00F12F98" w:rsidP="00C46418">
      <w:pPr>
        <w:ind w:left="-426" w:right="-1" w:firstLine="568"/>
        <w:jc w:val="both"/>
        <w:rPr>
          <w:lang w:val="uk-UA"/>
        </w:rPr>
      </w:pPr>
      <w:r w:rsidRPr="00F12F98">
        <w:rPr>
          <w:lang w:val="uk-UA"/>
        </w:rPr>
        <w:t>Відповідно до статті</w:t>
      </w:r>
      <w:r w:rsidR="002978A4">
        <w:rPr>
          <w:lang w:val="uk-UA"/>
        </w:rPr>
        <w:t xml:space="preserve"> 91 Бюджетного кодексу України</w:t>
      </w:r>
      <w:r w:rsidRPr="00F12F98">
        <w:rPr>
          <w:lang w:val="uk-UA"/>
        </w:rPr>
        <w:t xml:space="preserve">, </w:t>
      </w:r>
      <w:r w:rsidR="00097DDE">
        <w:rPr>
          <w:lang w:val="uk-UA"/>
        </w:rPr>
        <w:t>п</w:t>
      </w:r>
      <w:r w:rsidRPr="00F12F98">
        <w:rPr>
          <w:lang w:val="uk-UA"/>
        </w:rPr>
        <w:t xml:space="preserve">останови Кабінету Міністрів України </w:t>
      </w:r>
      <w:r w:rsidR="00097DDE">
        <w:rPr>
          <w:lang w:val="uk-UA"/>
        </w:rPr>
        <w:t xml:space="preserve">від 11.03.2022 </w:t>
      </w:r>
      <w:r w:rsidRPr="00F12F98">
        <w:rPr>
          <w:lang w:val="uk-UA"/>
        </w:rPr>
        <w:t>№ 252</w:t>
      </w:r>
      <w:r w:rsidR="00097DDE">
        <w:rPr>
          <w:lang w:val="uk-UA"/>
        </w:rPr>
        <w:t xml:space="preserve"> «Про деякі питання формування та виконання місцевих бюджетів у період воєнного стану»</w:t>
      </w:r>
      <w:r w:rsidRPr="00F12F98">
        <w:rPr>
          <w:lang w:val="uk-UA"/>
        </w:rPr>
        <w:t xml:space="preserve">, </w:t>
      </w:r>
      <w:r w:rsidR="002978A4" w:rsidRPr="002978A4">
        <w:rPr>
          <w:lang w:val="uk-UA"/>
        </w:rPr>
        <w:t>статті 5 та статті 10 Закону України «Про благоустрій населених пунктів»,</w:t>
      </w:r>
      <w:r w:rsidR="002978A4">
        <w:rPr>
          <w:lang w:val="uk-UA"/>
        </w:rPr>
        <w:t xml:space="preserve"> </w:t>
      </w:r>
      <w:r w:rsidRPr="00F12F98">
        <w:rPr>
          <w:lang w:val="uk-UA"/>
        </w:rPr>
        <w:t>пунктів 2.30, 2.31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керуючись рішенням виконавчого комітету Черкаської міської ради від 17.06.2009 № 752 «Про затвердження Порядку розміщення реклами у м.</w:t>
      </w:r>
      <w:r w:rsidR="00097DDE">
        <w:rPr>
          <w:lang w:val="uk-UA"/>
        </w:rPr>
        <w:t xml:space="preserve"> </w:t>
      </w:r>
      <w:r w:rsidRPr="00F12F98">
        <w:rPr>
          <w:lang w:val="uk-UA"/>
        </w:rPr>
        <w:t>Черкаси», рішенням виконавчого комітету Черкаської міської ради від 18.12.2007 №</w:t>
      </w:r>
      <w:r w:rsidR="002978A4">
        <w:rPr>
          <w:lang w:val="uk-UA"/>
        </w:rPr>
        <w:t xml:space="preserve"> </w:t>
      </w:r>
      <w:r w:rsidRPr="00F12F98">
        <w:rPr>
          <w:lang w:val="uk-UA"/>
        </w:rPr>
        <w:t>1722 «Про затвердження Положення про порядок розроблення міських програм, моніторингу та звітності про їх виконання та правила складання паспортів місцевих бюджетних програм»,</w:t>
      </w:r>
      <w:r>
        <w:rPr>
          <w:lang w:val="uk-UA"/>
        </w:rPr>
        <w:t xml:space="preserve"> </w:t>
      </w:r>
      <w:r w:rsidR="00097DDE">
        <w:rPr>
          <w:lang w:val="uk-UA"/>
        </w:rPr>
        <w:t xml:space="preserve">враховуючи пропозиції управління інспектування Черкаської міської ради, </w:t>
      </w:r>
      <w:r>
        <w:rPr>
          <w:lang w:val="uk-UA"/>
        </w:rPr>
        <w:t>виконавчий комітет Черкаської міської ради</w:t>
      </w:r>
    </w:p>
    <w:p w:rsidR="00F12F98" w:rsidRPr="0078150B" w:rsidRDefault="00F12F98" w:rsidP="00C46418">
      <w:pPr>
        <w:ind w:left="-426" w:right="-1"/>
        <w:jc w:val="both"/>
        <w:rPr>
          <w:sz w:val="20"/>
          <w:szCs w:val="20"/>
          <w:lang w:val="uk-UA"/>
        </w:rPr>
      </w:pPr>
    </w:p>
    <w:p w:rsidR="0078150B" w:rsidRPr="0078150B" w:rsidRDefault="0078150B" w:rsidP="00C46418">
      <w:pPr>
        <w:ind w:left="-426" w:right="-1"/>
        <w:jc w:val="both"/>
        <w:rPr>
          <w:sz w:val="20"/>
          <w:szCs w:val="20"/>
          <w:lang w:val="uk-UA"/>
        </w:rPr>
      </w:pPr>
    </w:p>
    <w:p w:rsidR="007F193F" w:rsidRDefault="007F193F" w:rsidP="00C46418">
      <w:pPr>
        <w:ind w:left="-426" w:right="-1"/>
        <w:jc w:val="both"/>
        <w:rPr>
          <w:lang w:val="uk-UA"/>
        </w:rPr>
      </w:pPr>
      <w:r w:rsidRPr="00B03357">
        <w:rPr>
          <w:lang w:val="uk-UA"/>
        </w:rPr>
        <w:t>ВИРІШИВ:</w:t>
      </w:r>
    </w:p>
    <w:p w:rsidR="005B71B3" w:rsidRDefault="00097DDE" w:rsidP="00C46418">
      <w:pPr>
        <w:pStyle w:val="a3"/>
        <w:numPr>
          <w:ilvl w:val="0"/>
          <w:numId w:val="4"/>
        </w:numPr>
        <w:tabs>
          <w:tab w:val="left" w:pos="-426"/>
        </w:tabs>
        <w:ind w:left="-426" w:right="-1" w:firstLine="568"/>
        <w:jc w:val="both"/>
        <w:rPr>
          <w:lang w:val="uk-UA"/>
        </w:rPr>
      </w:pPr>
      <w:r w:rsidRPr="000F590F">
        <w:rPr>
          <w:lang w:val="uk-UA"/>
        </w:rPr>
        <w:t>Затвердити Програму</w:t>
      </w:r>
      <w:r w:rsidR="001E6BA4" w:rsidRPr="000F590F">
        <w:rPr>
          <w:lang w:val="uk-UA"/>
        </w:rPr>
        <w:t xml:space="preserve"> впорядкування тимчасових споруд і зовнішньої реклами на</w:t>
      </w:r>
      <w:r w:rsidR="00411762" w:rsidRPr="000F590F">
        <w:rPr>
          <w:lang w:val="uk-UA"/>
        </w:rPr>
        <w:t xml:space="preserve"> території міста Черкаси на 2023-2025</w:t>
      </w:r>
      <w:r w:rsidR="000F590F">
        <w:rPr>
          <w:lang w:val="uk-UA"/>
        </w:rPr>
        <w:t xml:space="preserve"> роки</w:t>
      </w:r>
      <w:r w:rsidR="002978A4">
        <w:rPr>
          <w:lang w:val="uk-UA"/>
        </w:rPr>
        <w:t xml:space="preserve"> (додається</w:t>
      </w:r>
      <w:r w:rsidR="005B71B3">
        <w:rPr>
          <w:lang w:val="uk-UA"/>
        </w:rPr>
        <w:t>).</w:t>
      </w:r>
      <w:r w:rsidR="00906C1D">
        <w:rPr>
          <w:lang w:val="uk-UA"/>
        </w:rPr>
        <w:t xml:space="preserve"> </w:t>
      </w:r>
    </w:p>
    <w:p w:rsidR="007F193F" w:rsidRDefault="005B71B3" w:rsidP="00C46418">
      <w:pPr>
        <w:ind w:left="-426" w:right="-1"/>
        <w:jc w:val="both"/>
        <w:rPr>
          <w:lang w:val="uk-UA"/>
        </w:rPr>
      </w:pPr>
      <w:r>
        <w:rPr>
          <w:lang w:val="uk-UA"/>
        </w:rPr>
        <w:t xml:space="preserve">      </w:t>
      </w:r>
      <w:r w:rsidR="002978A4">
        <w:rPr>
          <w:lang w:val="uk-UA"/>
        </w:rPr>
        <w:t xml:space="preserve">  2</w:t>
      </w:r>
      <w:r w:rsidR="007F193F">
        <w:rPr>
          <w:lang w:val="uk-UA"/>
        </w:rPr>
        <w:t xml:space="preserve">. </w:t>
      </w:r>
      <w:r w:rsidR="006116DF">
        <w:rPr>
          <w:lang w:val="uk-UA"/>
        </w:rPr>
        <w:t xml:space="preserve"> </w:t>
      </w:r>
      <w:r w:rsidR="007F193F" w:rsidRPr="00B03357">
        <w:rPr>
          <w:lang w:val="uk-UA"/>
        </w:rPr>
        <w:t>Контроль за</w:t>
      </w:r>
      <w:r w:rsidR="007F193F">
        <w:rPr>
          <w:lang w:val="uk-UA"/>
        </w:rPr>
        <w:t xml:space="preserve"> виконанням рішення покласти на </w:t>
      </w:r>
      <w:r w:rsidR="00411762">
        <w:rPr>
          <w:lang w:val="uk-UA"/>
        </w:rPr>
        <w:t xml:space="preserve">першого </w:t>
      </w:r>
      <w:r w:rsidR="007F193F">
        <w:rPr>
          <w:lang w:val="uk-UA"/>
        </w:rPr>
        <w:t>заступника міського голови з питань діяльності вико</w:t>
      </w:r>
      <w:r w:rsidR="00411762">
        <w:rPr>
          <w:lang w:val="uk-UA"/>
        </w:rPr>
        <w:t>навчих органів ради Тищенка С.О.</w:t>
      </w:r>
    </w:p>
    <w:p w:rsidR="00EB34FC" w:rsidRDefault="00EB34FC" w:rsidP="00C46418">
      <w:pPr>
        <w:tabs>
          <w:tab w:val="left" w:pos="567"/>
        </w:tabs>
        <w:ind w:left="-426" w:right="-1"/>
        <w:jc w:val="both"/>
        <w:rPr>
          <w:lang w:val="uk-UA"/>
        </w:rPr>
      </w:pPr>
    </w:p>
    <w:p w:rsidR="00272535" w:rsidRDefault="00272535" w:rsidP="00C46418">
      <w:pPr>
        <w:tabs>
          <w:tab w:val="left" w:pos="567"/>
        </w:tabs>
        <w:ind w:left="-426" w:right="-1"/>
        <w:jc w:val="both"/>
        <w:rPr>
          <w:lang w:val="uk-UA"/>
        </w:rPr>
      </w:pPr>
    </w:p>
    <w:p w:rsidR="007F193F" w:rsidRDefault="007F193F" w:rsidP="00C46418">
      <w:pPr>
        <w:tabs>
          <w:tab w:val="left" w:pos="284"/>
        </w:tabs>
        <w:ind w:left="-426" w:right="-1"/>
        <w:rPr>
          <w:lang w:val="uk-UA"/>
        </w:rPr>
      </w:pPr>
      <w:r w:rsidRPr="00B03357">
        <w:rPr>
          <w:lang w:val="uk-UA"/>
        </w:rPr>
        <w:t>Міськ</w:t>
      </w:r>
      <w:r w:rsidR="00411762">
        <w:rPr>
          <w:lang w:val="uk-UA"/>
        </w:rPr>
        <w:t xml:space="preserve">ий голова                                    </w:t>
      </w:r>
      <w:r w:rsidR="00C46418">
        <w:rPr>
          <w:lang w:val="uk-UA"/>
        </w:rPr>
        <w:t xml:space="preserve">                           </w:t>
      </w:r>
      <w:r w:rsidR="00411762">
        <w:rPr>
          <w:lang w:val="uk-UA"/>
        </w:rPr>
        <w:t xml:space="preserve">     Анатолій БОНДАРЕНКО</w:t>
      </w:r>
    </w:p>
    <w:p w:rsidR="00100577" w:rsidRDefault="00100577" w:rsidP="00C46418">
      <w:pPr>
        <w:tabs>
          <w:tab w:val="left" w:pos="284"/>
        </w:tabs>
        <w:ind w:left="-567" w:right="-1"/>
        <w:rPr>
          <w:lang w:val="uk-UA"/>
        </w:rPr>
      </w:pPr>
    </w:p>
    <w:p w:rsidR="00100577" w:rsidRDefault="00100577" w:rsidP="00272535">
      <w:pPr>
        <w:tabs>
          <w:tab w:val="left" w:pos="284"/>
        </w:tabs>
        <w:ind w:left="-567"/>
        <w:rPr>
          <w:lang w:val="uk-UA"/>
        </w:rPr>
      </w:pPr>
    </w:p>
    <w:p w:rsidR="00100577" w:rsidRDefault="00100577" w:rsidP="00272535">
      <w:pPr>
        <w:tabs>
          <w:tab w:val="left" w:pos="284"/>
        </w:tabs>
        <w:ind w:left="-567"/>
        <w:rPr>
          <w:lang w:val="uk-UA"/>
        </w:rPr>
      </w:pPr>
    </w:p>
    <w:p w:rsidR="00100577" w:rsidRDefault="00100577" w:rsidP="00272535">
      <w:pPr>
        <w:tabs>
          <w:tab w:val="left" w:pos="284"/>
        </w:tabs>
        <w:ind w:left="-567"/>
        <w:rPr>
          <w:lang w:val="uk-UA"/>
        </w:rPr>
      </w:pPr>
    </w:p>
    <w:p w:rsidR="003D242A" w:rsidRPr="003D242A" w:rsidRDefault="003D242A" w:rsidP="003D242A">
      <w:pPr>
        <w:autoSpaceDE/>
        <w:adjustRightInd/>
        <w:ind w:left="6237" w:right="-1054"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ind w:left="6237" w:right="-1054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Додаток</w:t>
      </w:r>
    </w:p>
    <w:p w:rsidR="003D242A" w:rsidRPr="003D242A" w:rsidRDefault="003D242A" w:rsidP="003D242A">
      <w:pPr>
        <w:autoSpaceDE/>
        <w:adjustRightInd/>
        <w:ind w:left="6237" w:right="-1054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ЗАТВЕРДЖЕНО</w:t>
      </w:r>
    </w:p>
    <w:p w:rsidR="003D242A" w:rsidRPr="003D242A" w:rsidRDefault="003D242A" w:rsidP="003D242A">
      <w:pPr>
        <w:autoSpaceDE/>
        <w:adjustRightInd/>
        <w:ind w:left="6237" w:right="-1054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рішення виконавчого комітету</w:t>
      </w:r>
    </w:p>
    <w:p w:rsidR="003D242A" w:rsidRPr="003D242A" w:rsidRDefault="003D242A" w:rsidP="003D242A">
      <w:pPr>
        <w:autoSpaceDE/>
        <w:adjustRightInd/>
        <w:ind w:left="6237" w:right="-1054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від</w:t>
      </w:r>
      <w:r w:rsidR="007B30DE">
        <w:rPr>
          <w:sz w:val="26"/>
          <w:szCs w:val="26"/>
          <w:lang w:val="uk-UA"/>
        </w:rPr>
        <w:t xml:space="preserve"> </w:t>
      </w:r>
      <w:r w:rsidR="007B30DE" w:rsidRPr="007B30DE">
        <w:rPr>
          <w:sz w:val="26"/>
          <w:szCs w:val="26"/>
          <w:u w:val="single"/>
          <w:lang w:val="uk-UA"/>
        </w:rPr>
        <w:t>04.11.2022</w:t>
      </w:r>
      <w:r w:rsidR="007B30DE">
        <w:rPr>
          <w:sz w:val="26"/>
          <w:szCs w:val="26"/>
          <w:lang w:val="uk-UA"/>
        </w:rPr>
        <w:t xml:space="preserve"> </w:t>
      </w:r>
      <w:r w:rsidRPr="003D242A">
        <w:rPr>
          <w:sz w:val="26"/>
          <w:szCs w:val="26"/>
          <w:lang w:val="uk-UA"/>
        </w:rPr>
        <w:t>№</w:t>
      </w:r>
      <w:r w:rsidR="007B30DE">
        <w:rPr>
          <w:sz w:val="26"/>
          <w:szCs w:val="26"/>
          <w:lang w:val="uk-UA"/>
        </w:rPr>
        <w:t xml:space="preserve"> </w:t>
      </w:r>
      <w:r w:rsidR="007B30DE" w:rsidRPr="007B30DE">
        <w:rPr>
          <w:sz w:val="26"/>
          <w:szCs w:val="26"/>
          <w:u w:val="single"/>
          <w:lang w:val="uk-UA"/>
        </w:rPr>
        <w:t>964</w:t>
      </w:r>
    </w:p>
    <w:p w:rsidR="003D242A" w:rsidRPr="003D242A" w:rsidRDefault="003D242A" w:rsidP="003D242A">
      <w:pPr>
        <w:autoSpaceDE/>
        <w:adjustRightInd/>
        <w:rPr>
          <w:b/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  <w:lang w:val="uk-UA"/>
        </w:rPr>
        <w:t>ПРОГРАМА</w:t>
      </w:r>
    </w:p>
    <w:p w:rsidR="003D242A" w:rsidRPr="003D242A" w:rsidRDefault="003D242A" w:rsidP="003D242A">
      <w:pPr>
        <w:autoSpaceDE/>
        <w:adjustRightInd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  <w:lang w:val="uk-UA"/>
        </w:rPr>
        <w:t xml:space="preserve"> впорядкування тимчасових споруд і зовнішньої реклами на території міста Черкаси на 2023 – 2025 роки</w:t>
      </w:r>
    </w:p>
    <w:p w:rsidR="003D242A" w:rsidRPr="003D242A" w:rsidRDefault="003D242A" w:rsidP="003D242A">
      <w:pPr>
        <w:autoSpaceDE/>
        <w:adjustRightInd/>
        <w:jc w:val="center"/>
        <w:rPr>
          <w:b/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  <w:lang w:val="uk-UA"/>
        </w:rPr>
        <w:t>1. Загальні положення</w:t>
      </w:r>
    </w:p>
    <w:p w:rsidR="003D242A" w:rsidRPr="003D242A" w:rsidRDefault="003D242A" w:rsidP="003D242A">
      <w:pPr>
        <w:autoSpaceDE/>
        <w:adjustRightInd/>
        <w:jc w:val="center"/>
        <w:rPr>
          <w:b/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Статус обласного центру вимагає відповідального ставлення до збереження історично складеного та формування сучасного міського середовища.</w:t>
      </w:r>
    </w:p>
    <w:p w:rsidR="003D242A" w:rsidRPr="003D242A" w:rsidRDefault="003D242A" w:rsidP="003D242A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D242A">
        <w:rPr>
          <w:color w:val="000000"/>
          <w:sz w:val="26"/>
          <w:szCs w:val="26"/>
          <w:lang w:val="uk-UA"/>
        </w:rPr>
        <w:t xml:space="preserve">Ситуація з розміщенням тимчасових споруд та зовнішньої реклами окреслила коло проблем, які потребують негайного вирішення. Велика кількість тимчасових споруд та рекламних засобів, які знаходяться на території міста, встановлені без дозвільних документів. </w:t>
      </w:r>
    </w:p>
    <w:p w:rsidR="003D242A" w:rsidRPr="003D242A" w:rsidRDefault="003D242A" w:rsidP="003D242A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D242A">
        <w:rPr>
          <w:color w:val="000000"/>
          <w:sz w:val="26"/>
          <w:szCs w:val="26"/>
          <w:lang w:val="uk-UA"/>
        </w:rPr>
        <w:t xml:space="preserve">Несанкціоноване розміщення тимчасових споруд та рекламних засобів створює незручні, а іноді і небезпечні умови для людей, адже такі споруди мають неналежний технічний стан, обмежують прохід до зупинок громадського транспорту, встановлені на інженерних мережах та тротуарах, перешкоджають роботі екстрених та комунальних служб. У деяких тимчасових спорудах, які розміщені біля навчальних закладів, здійснюється продаж алкогольних напоїв та тютюнових виробів. </w:t>
      </w:r>
    </w:p>
    <w:p w:rsidR="003D242A" w:rsidRPr="003D242A" w:rsidRDefault="003D242A" w:rsidP="003D242A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D242A">
        <w:rPr>
          <w:color w:val="000000"/>
          <w:sz w:val="26"/>
          <w:szCs w:val="26"/>
          <w:lang w:val="uk-UA"/>
        </w:rPr>
        <w:t>Програма впорядкування тимчасових споруд і зовнішньої реклами на території міста Черкаси на 2023 – 2025 роки передбачає основні пріоритети, цілі і способи впорядкування міського простору, покращення благоустрою міста шляхом притягнення порушників до адміністративної відповідальності та демонтажу тимчасових споруд та рекламних засобів, які розміщені з порушенням Порядку розміщення тимчасових споруд для провадження підприємницької діяльності та Порядку розміщення зовнішньої реклами.</w:t>
      </w: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center"/>
        <w:rPr>
          <w:b/>
          <w:sz w:val="26"/>
          <w:szCs w:val="26"/>
          <w:lang w:val="uk-UA"/>
        </w:rPr>
      </w:pP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  <w:lang w:val="uk-UA"/>
        </w:rPr>
        <w:t>2. Паспорт програми</w:t>
      </w: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Паспорт програми визначає суму коштів, необхідних для виконання Програми, законодавчі підстави її реалізації, мету, завдання, напрямки діяльності, а також результативні показники, на підставі яких здійснюється контроль за цільовим та ефективним використанням бюджетних коштів і аналіз бюджетної програми.</w:t>
      </w: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Головний розпорядник бюджетних коштів розробляє та впродовж 45 днів з дня набрання чинності рішення про місцевий бюджет затверджує паспорт бюджетної програми.</w:t>
      </w: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center"/>
        <w:rPr>
          <w:b/>
          <w:sz w:val="26"/>
          <w:szCs w:val="26"/>
          <w:lang w:val="uk-UA"/>
        </w:rPr>
      </w:pP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  <w:lang w:val="uk-UA"/>
        </w:rPr>
        <w:t>3. Визначення проблеми, на розв’язання якої спрямована Програма</w:t>
      </w: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D242A">
        <w:rPr>
          <w:color w:val="000000"/>
          <w:sz w:val="26"/>
          <w:szCs w:val="26"/>
          <w:lang w:val="uk-UA"/>
        </w:rPr>
        <w:t>Нагальною проблемою на сьогодні є поява тимчасових споруд та рекламних засобів, які встановлені з порушенням Правил благоустрою міста Черкаси, Порядку розміщення тимчасових споруд для провадження підприємницької діяльності та Порядку розміщення зовнішньої реклами у м. Черкаси.</w:t>
      </w:r>
    </w:p>
    <w:p w:rsidR="003D242A" w:rsidRPr="003D242A" w:rsidRDefault="003D242A" w:rsidP="003D242A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D242A">
        <w:rPr>
          <w:color w:val="000000"/>
          <w:sz w:val="26"/>
          <w:szCs w:val="26"/>
          <w:lang w:val="uk-UA"/>
        </w:rPr>
        <w:t xml:space="preserve">Слід зазначити, що незаконно встановлені тимчасові споруди захаращують місто, створюють непривабливий вигляд, закривають фасади історичних будівель. </w:t>
      </w:r>
    </w:p>
    <w:p w:rsidR="003D242A" w:rsidRPr="003D242A" w:rsidRDefault="003D242A" w:rsidP="003D242A">
      <w:pPr>
        <w:tabs>
          <w:tab w:val="left" w:pos="540"/>
        </w:tabs>
        <w:autoSpaceDE/>
        <w:adjustRightInd/>
        <w:ind w:firstLine="540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lastRenderedPageBreak/>
        <w:tab/>
        <w:t>Критична ситуація склалася і з розміщенням зовнішньої реклами – частина рекламних засобів розташована над тротуарами, на перехрестях, у місцях скупчення людей і має неналежний технічний стан та зовнішній вигляд. Багато рекламних засобів розміщено на парканах вздовж вулиць, що створює їх непривабливий вигляд.</w:t>
      </w:r>
    </w:p>
    <w:p w:rsidR="003D242A" w:rsidRPr="003D242A" w:rsidRDefault="003D242A" w:rsidP="003D242A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D242A">
        <w:rPr>
          <w:color w:val="000000"/>
          <w:sz w:val="26"/>
          <w:szCs w:val="26"/>
          <w:lang w:val="uk-UA"/>
        </w:rPr>
        <w:t xml:space="preserve">На виконання вимог Правил благоустрою міста Черкаси, затверджених рішенням Черкаської міської ради від 11.11.2008 № 4-688, із введенням в дію комплексних заходів здійснення контролю за виконанням правил благоустрою шляхом притягнення порушників до адміністративної відповідальності, частина тимчасових споруд та рекламних засобів демонтована власниками. </w:t>
      </w:r>
    </w:p>
    <w:p w:rsidR="003D242A" w:rsidRPr="003D242A" w:rsidRDefault="003D242A" w:rsidP="003D242A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D242A">
        <w:rPr>
          <w:color w:val="000000"/>
          <w:sz w:val="26"/>
          <w:szCs w:val="26"/>
          <w:lang w:val="uk-UA"/>
        </w:rPr>
        <w:t>Так, за 2020-2022 роки власниками самостійно демонтовано 45 тимчасових споруд та 10 рекламних засобів. Проте, налічується ще близько 130 незаконних тимчасових споруд та 200 рекламних конструкцій, які необхідно демонтувати.</w:t>
      </w:r>
    </w:p>
    <w:p w:rsidR="003D242A" w:rsidRPr="003D242A" w:rsidRDefault="003D242A" w:rsidP="003D242A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  <w:lang w:val="uk-UA"/>
        </w:rPr>
        <w:t>4. Мета та завдання Програми</w:t>
      </w:r>
    </w:p>
    <w:p w:rsidR="003D242A" w:rsidRPr="003D242A" w:rsidRDefault="003D242A" w:rsidP="003D242A">
      <w:pPr>
        <w:tabs>
          <w:tab w:val="left" w:pos="435"/>
        </w:tabs>
        <w:autoSpaceDE/>
        <w:adjustRightInd/>
        <w:ind w:firstLine="720"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 xml:space="preserve">Метою цієї Програми є впорядкування тимчасових споруд і зовнішньої реклами, забезпечення належного утримання та експлуатації об’єктів вуличної мережі, інженерних комунікацій, належного рівня благоустрою, озеленення, естетичного вигляду та якісного формування забудови вулиць міста, поліпшення якості життя мешканців і підвищення привабливості міста. </w:t>
      </w: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Для досягнення мети та цілей програми необхідна реалізація і вирішення першочергових завдань:</w:t>
      </w: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-  контроль за розміщенням тимчасових споруд та зовнішньої реклами на території міста;</w:t>
      </w: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-  демонтаж тимчасових споруд, що розміщені з порушенням Порядку розміщення тимчасових споруд для провадження підприємницької діяльності;</w:t>
      </w: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- демонтаж рекламних засобів, що розміщені з порушенням Порядку розміщення зовнішньої реклами.</w:t>
      </w:r>
    </w:p>
    <w:p w:rsidR="003D242A" w:rsidRPr="003D242A" w:rsidRDefault="003D242A" w:rsidP="003D242A">
      <w:pPr>
        <w:numPr>
          <w:ilvl w:val="0"/>
          <w:numId w:val="3"/>
        </w:numPr>
        <w:suppressAutoHyphens/>
        <w:autoSpaceDE/>
        <w:adjustRightInd/>
        <w:jc w:val="center"/>
        <w:rPr>
          <w:rFonts w:eastAsia="SimSun"/>
          <w:b/>
          <w:kern w:val="2"/>
          <w:sz w:val="26"/>
          <w:szCs w:val="26"/>
          <w:lang w:val="uk-UA" w:eastAsia="ar-SA"/>
        </w:rPr>
      </w:pPr>
      <w:r w:rsidRPr="003D242A">
        <w:rPr>
          <w:rFonts w:eastAsia="SimSun"/>
          <w:b/>
          <w:kern w:val="2"/>
          <w:sz w:val="26"/>
          <w:szCs w:val="26"/>
          <w:lang w:val="uk-UA" w:eastAsia="ar-SA"/>
        </w:rPr>
        <w:t>Перелік заходів</w:t>
      </w:r>
    </w:p>
    <w:p w:rsidR="003D242A" w:rsidRPr="003D242A" w:rsidRDefault="003D242A" w:rsidP="003D242A">
      <w:pPr>
        <w:suppressAutoHyphens/>
        <w:autoSpaceDE/>
        <w:adjustRightInd/>
        <w:ind w:left="360"/>
        <w:rPr>
          <w:rFonts w:eastAsia="SimSun"/>
          <w:b/>
          <w:kern w:val="2"/>
          <w:sz w:val="26"/>
          <w:szCs w:val="26"/>
          <w:lang w:val="uk-UA"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209"/>
        <w:gridCol w:w="3004"/>
        <w:gridCol w:w="2700"/>
      </w:tblGrid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jc w:val="center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№</w:t>
            </w: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jc w:val="center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з/п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jc w:val="center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Заходи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jc w:val="center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Відповідальні за проведення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jc w:val="center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Термін</w:t>
            </w: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jc w:val="center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виконання</w:t>
            </w: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jc w:val="center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Визначення тимчасових споруд та рекламних засобів, які встановлені без дозвільних документів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Управління інспектування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постійно</w:t>
            </w: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Оперативне реагування на встановлені факти шляхом складання протоколів про адміністративне правопорушення та приписів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Управління інспектування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постійно</w:t>
            </w: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3.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Відкриття адміністративного провадження та притягнення порушників до адміністративної відповідальності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Адміністративна комісія виконавчого комітету Черкаської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 xml:space="preserve">постійно </w:t>
            </w: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lastRenderedPageBreak/>
              <w:t>4.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Надання інформації робочій групі з впорядкування території м. Черкаси, підготовки та проведення демонтажу тимчасових споруд та рекламних засобів (далі – Робоча група)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Управління інспектування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 xml:space="preserve">постійно  </w:t>
            </w: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5.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Обробка інформації та прийняття рішення про демонтаж тимчасових споруд та рекламних засобів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 xml:space="preserve">Робоча група Виконавчий комітет </w:t>
            </w: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Черкаської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постійно</w:t>
            </w: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6.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Організація демонтажу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Управління інспектування</w:t>
            </w: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Робоча група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постійно</w:t>
            </w: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7.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Виконання демонтажу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Підрядна організація з виконання робіт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постійно</w:t>
            </w: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8.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Зберігання демонтованих ТС та рекламних засобів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Підрядна організація з виконання робіт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постійно</w:t>
            </w:r>
          </w:p>
        </w:tc>
      </w:tr>
      <w:tr w:rsidR="003D242A" w:rsidRPr="003D242A" w:rsidTr="002602A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9.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Повернення власнику об’єктів після відшкодування витрат на демонтаж та зберігання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 xml:space="preserve">Управління інспектування </w:t>
            </w: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Підрядна організація з виконання робіт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</w:p>
          <w:p w:rsidR="003D242A" w:rsidRPr="003D242A" w:rsidRDefault="003D242A" w:rsidP="003D242A">
            <w:pPr>
              <w:suppressAutoHyphens/>
              <w:autoSpaceDE/>
              <w:adjustRightInd/>
              <w:spacing w:line="256" w:lineRule="auto"/>
              <w:rPr>
                <w:rFonts w:eastAsia="SimSun"/>
                <w:kern w:val="2"/>
                <w:sz w:val="26"/>
                <w:szCs w:val="26"/>
                <w:lang w:val="uk-UA" w:eastAsia="ar-SA"/>
              </w:rPr>
            </w:pPr>
            <w:r w:rsidRPr="003D242A">
              <w:rPr>
                <w:rFonts w:eastAsia="SimSun"/>
                <w:kern w:val="2"/>
                <w:sz w:val="26"/>
                <w:szCs w:val="26"/>
                <w:lang w:val="uk-UA" w:eastAsia="ar-SA"/>
              </w:rPr>
              <w:t>постійно</w:t>
            </w:r>
          </w:p>
        </w:tc>
      </w:tr>
    </w:tbl>
    <w:p w:rsidR="003D242A" w:rsidRPr="003D242A" w:rsidRDefault="003D242A" w:rsidP="003D242A">
      <w:pPr>
        <w:suppressAutoHyphens/>
        <w:autoSpaceDE/>
        <w:adjustRightInd/>
        <w:ind w:left="360"/>
        <w:jc w:val="center"/>
        <w:rPr>
          <w:rFonts w:eastAsia="SimSun"/>
          <w:b/>
          <w:kern w:val="2"/>
          <w:sz w:val="26"/>
          <w:szCs w:val="26"/>
          <w:lang w:val="uk-UA" w:eastAsia="ar-SA"/>
        </w:rPr>
      </w:pPr>
    </w:p>
    <w:p w:rsidR="003D242A" w:rsidRPr="003D242A" w:rsidRDefault="003D242A" w:rsidP="003D242A">
      <w:pPr>
        <w:numPr>
          <w:ilvl w:val="0"/>
          <w:numId w:val="3"/>
        </w:numPr>
        <w:suppressAutoHyphens/>
        <w:autoSpaceDE/>
        <w:adjustRightInd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  <w:lang w:val="uk-UA"/>
        </w:rPr>
        <w:t xml:space="preserve"> Обсяги і джерела фінансування Програми</w:t>
      </w:r>
    </w:p>
    <w:p w:rsidR="003D242A" w:rsidRPr="003D242A" w:rsidRDefault="003D242A" w:rsidP="003D242A">
      <w:pPr>
        <w:autoSpaceDE/>
        <w:adjustRightInd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Фінансування заходів, визначених програмою, здійснюється за рахунок коштів бюджету Черкаської міської територіальної громади по кодах програмної класифікації видатків, визначених в рішенні про бюджет громади міста на відповідний рік у межах встановлених планових асигнувань. Фінансування може здійснюватися і за рахунок інших джерел, що не суперечать чинному законодавству.</w:t>
      </w: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Обсяг орієнтовної потреби у видатках на 2023-2025 роки (грн):</w:t>
      </w:r>
    </w:p>
    <w:p w:rsidR="003D242A" w:rsidRPr="003D242A" w:rsidRDefault="003D242A" w:rsidP="003D242A">
      <w:pPr>
        <w:autoSpaceDE/>
        <w:adjustRightInd/>
        <w:ind w:firstLine="708"/>
        <w:jc w:val="both"/>
        <w:rPr>
          <w:lang w:val="uk-UA"/>
        </w:rPr>
      </w:pPr>
    </w:p>
    <w:tbl>
      <w:tblPr>
        <w:tblStyle w:val="2"/>
        <w:tblW w:w="9636" w:type="dxa"/>
        <w:jc w:val="center"/>
        <w:tblLook w:val="04A0" w:firstRow="1" w:lastRow="0" w:firstColumn="1" w:lastColumn="0" w:noHBand="0" w:noVBand="1"/>
      </w:tblPr>
      <w:tblGrid>
        <w:gridCol w:w="3214"/>
        <w:gridCol w:w="1797"/>
        <w:gridCol w:w="1542"/>
        <w:gridCol w:w="1542"/>
        <w:gridCol w:w="1541"/>
      </w:tblGrid>
      <w:tr w:rsidR="003D242A" w:rsidRPr="003D242A" w:rsidTr="002602A4">
        <w:trPr>
          <w:jc w:val="center"/>
        </w:trPr>
        <w:tc>
          <w:tcPr>
            <w:tcW w:w="3256" w:type="dxa"/>
          </w:tcPr>
          <w:p w:rsidR="003D242A" w:rsidRPr="003D242A" w:rsidRDefault="003D242A" w:rsidP="003D242A">
            <w:pPr>
              <w:autoSpaceDE/>
              <w:adjustRightInd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Обсяг фінансування, всього</w:t>
            </w:r>
          </w:p>
        </w:tc>
        <w:tc>
          <w:tcPr>
            <w:tcW w:w="1560" w:type="dxa"/>
            <w:vAlign w:val="center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2023 рік</w:t>
            </w:r>
          </w:p>
        </w:tc>
        <w:tc>
          <w:tcPr>
            <w:tcW w:w="1560" w:type="dxa"/>
            <w:vAlign w:val="center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2024 рік</w:t>
            </w:r>
          </w:p>
        </w:tc>
        <w:tc>
          <w:tcPr>
            <w:tcW w:w="1559" w:type="dxa"/>
            <w:vAlign w:val="center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2025 рік</w:t>
            </w:r>
          </w:p>
        </w:tc>
      </w:tr>
      <w:tr w:rsidR="003D242A" w:rsidRPr="003D242A" w:rsidTr="002602A4">
        <w:trPr>
          <w:jc w:val="center"/>
        </w:trPr>
        <w:tc>
          <w:tcPr>
            <w:tcW w:w="3256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Місцевий бюджет</w:t>
            </w:r>
          </w:p>
        </w:tc>
        <w:tc>
          <w:tcPr>
            <w:tcW w:w="1701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3 290 000</w:t>
            </w: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1 087 000</w:t>
            </w: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1 087 000</w:t>
            </w:r>
          </w:p>
        </w:tc>
        <w:tc>
          <w:tcPr>
            <w:tcW w:w="1559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1 116 000</w:t>
            </w:r>
          </w:p>
        </w:tc>
      </w:tr>
      <w:tr w:rsidR="003D242A" w:rsidRPr="003D242A" w:rsidTr="002602A4">
        <w:trPr>
          <w:jc w:val="center"/>
        </w:trPr>
        <w:tc>
          <w:tcPr>
            <w:tcW w:w="3256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Інші джерела</w:t>
            </w:r>
          </w:p>
        </w:tc>
        <w:tc>
          <w:tcPr>
            <w:tcW w:w="1701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-</w:t>
            </w:r>
          </w:p>
        </w:tc>
      </w:tr>
      <w:tr w:rsidR="003D242A" w:rsidRPr="003D242A" w:rsidTr="002602A4">
        <w:trPr>
          <w:jc w:val="center"/>
        </w:trPr>
        <w:tc>
          <w:tcPr>
            <w:tcW w:w="3256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З них:</w:t>
            </w:r>
          </w:p>
        </w:tc>
        <w:tc>
          <w:tcPr>
            <w:tcW w:w="1701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3D242A" w:rsidRPr="003D242A" w:rsidTr="002602A4">
        <w:trPr>
          <w:jc w:val="center"/>
        </w:trPr>
        <w:tc>
          <w:tcPr>
            <w:tcW w:w="3256" w:type="dxa"/>
          </w:tcPr>
          <w:p w:rsidR="003D242A" w:rsidRPr="003D242A" w:rsidRDefault="003D242A" w:rsidP="003D242A">
            <w:pPr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Демонтаж тимчасових споруд</w:t>
            </w:r>
          </w:p>
        </w:tc>
        <w:tc>
          <w:tcPr>
            <w:tcW w:w="1701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1 690 000</w:t>
            </w: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559 000</w:t>
            </w: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559 000</w:t>
            </w:r>
          </w:p>
        </w:tc>
        <w:tc>
          <w:tcPr>
            <w:tcW w:w="1559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572 000</w:t>
            </w:r>
          </w:p>
        </w:tc>
      </w:tr>
      <w:tr w:rsidR="003D242A" w:rsidRPr="003D242A" w:rsidTr="002602A4">
        <w:trPr>
          <w:jc w:val="center"/>
        </w:trPr>
        <w:tc>
          <w:tcPr>
            <w:tcW w:w="3256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Демонтаж рекламних засобів</w:t>
            </w:r>
          </w:p>
        </w:tc>
        <w:tc>
          <w:tcPr>
            <w:tcW w:w="1701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1 600 000</w:t>
            </w: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528 000</w:t>
            </w:r>
          </w:p>
        </w:tc>
        <w:tc>
          <w:tcPr>
            <w:tcW w:w="1560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528 000</w:t>
            </w:r>
          </w:p>
        </w:tc>
        <w:tc>
          <w:tcPr>
            <w:tcW w:w="1559" w:type="dxa"/>
          </w:tcPr>
          <w:p w:rsidR="003D242A" w:rsidRPr="003D242A" w:rsidRDefault="003D242A" w:rsidP="003D242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D242A">
              <w:rPr>
                <w:sz w:val="26"/>
                <w:szCs w:val="26"/>
              </w:rPr>
              <w:t>544 000</w:t>
            </w:r>
          </w:p>
        </w:tc>
      </w:tr>
    </w:tbl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</w:p>
    <w:p w:rsid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 xml:space="preserve">Головним розпорядником коштів по Програмі та відповідальним виконавцем є управління інспектування Черкаської міської ради. </w:t>
      </w:r>
    </w:p>
    <w:p w:rsid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ind w:firstLine="708"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numPr>
          <w:ilvl w:val="0"/>
          <w:numId w:val="3"/>
        </w:numPr>
        <w:autoSpaceDE/>
        <w:adjustRightInd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  <w:lang w:val="uk-UA"/>
        </w:rPr>
        <w:lastRenderedPageBreak/>
        <w:t>К</w:t>
      </w:r>
      <w:bookmarkStart w:id="0" w:name="_GoBack"/>
      <w:bookmarkEnd w:id="0"/>
      <w:r w:rsidRPr="003D242A">
        <w:rPr>
          <w:b/>
          <w:sz w:val="26"/>
          <w:szCs w:val="26"/>
          <w:lang w:val="uk-UA"/>
        </w:rPr>
        <w:t>онтроль за ходом виконання Програми</w:t>
      </w:r>
    </w:p>
    <w:p w:rsidR="003D242A" w:rsidRPr="003D242A" w:rsidRDefault="003D242A" w:rsidP="003D242A">
      <w:pPr>
        <w:autoSpaceDE/>
        <w:adjustRightInd/>
        <w:ind w:left="720"/>
        <w:rPr>
          <w:b/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ind w:firstLine="900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Контроль та координацію дій між виконавцями здійснює управління інспектування Черкаської міської ради.</w:t>
      </w:r>
    </w:p>
    <w:p w:rsidR="003D242A" w:rsidRPr="003D242A" w:rsidRDefault="003D242A" w:rsidP="003D242A">
      <w:pPr>
        <w:autoSpaceDE/>
        <w:adjustRightInd/>
        <w:ind w:firstLine="900"/>
        <w:jc w:val="both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Моніторинг виконання окремих заходів програми здійснює відповідальний виконавець щоквартально та подає результати моніторингу до департаменту фінансової політики не пізніше 20-го числа місяця наступного за звітним періодом.</w:t>
      </w:r>
    </w:p>
    <w:p w:rsidR="003D242A" w:rsidRPr="003D242A" w:rsidRDefault="003D242A" w:rsidP="003D242A">
      <w:pPr>
        <w:autoSpaceDE/>
        <w:adjustRightInd/>
        <w:ind w:firstLine="900"/>
        <w:jc w:val="both"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ind w:firstLine="900"/>
        <w:jc w:val="center"/>
        <w:rPr>
          <w:b/>
          <w:sz w:val="26"/>
          <w:szCs w:val="26"/>
          <w:lang w:val="uk-UA"/>
        </w:rPr>
      </w:pPr>
      <w:r w:rsidRPr="003D242A">
        <w:rPr>
          <w:b/>
          <w:sz w:val="26"/>
          <w:szCs w:val="26"/>
        </w:rPr>
        <w:t>8</w:t>
      </w:r>
      <w:r w:rsidRPr="003D242A">
        <w:rPr>
          <w:b/>
          <w:sz w:val="26"/>
          <w:szCs w:val="26"/>
          <w:lang w:val="uk-UA"/>
        </w:rPr>
        <w:t>. Очікуваний кінцевий результат виконання Програми</w:t>
      </w:r>
    </w:p>
    <w:p w:rsidR="003D242A" w:rsidRP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Pr="003D242A" w:rsidRDefault="003D242A" w:rsidP="003D242A">
      <w:pPr>
        <w:keepNext/>
        <w:widowControl w:val="0"/>
        <w:ind w:firstLine="708"/>
        <w:jc w:val="both"/>
        <w:outlineLvl w:val="1"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Результатом виконання Програми впорядкування тимчасових споруд, зовнішньої реклами на території міста Черкаси на 2023 – 2025 роки буде досягнення наступних показників:</w:t>
      </w:r>
      <w:r w:rsidRPr="003D242A">
        <w:rPr>
          <w:sz w:val="26"/>
          <w:szCs w:val="26"/>
          <w:lang w:val="uk-UA"/>
        </w:rPr>
        <w:tab/>
      </w:r>
    </w:p>
    <w:p w:rsidR="003D242A" w:rsidRPr="003D242A" w:rsidRDefault="003D242A" w:rsidP="003D242A">
      <w:pPr>
        <w:keepNext/>
        <w:widowControl w:val="0"/>
        <w:ind w:firstLine="708"/>
        <w:jc w:val="both"/>
        <w:outlineLvl w:val="1"/>
        <w:rPr>
          <w:sz w:val="26"/>
          <w:szCs w:val="26"/>
          <w:lang w:val="uk-UA"/>
        </w:rPr>
      </w:pPr>
    </w:p>
    <w:tbl>
      <w:tblPr>
        <w:tblStyle w:val="11"/>
        <w:tblW w:w="9627" w:type="dxa"/>
        <w:tblLayout w:type="fixed"/>
        <w:tblLook w:val="04A0" w:firstRow="1" w:lastRow="0" w:firstColumn="1" w:lastColumn="0" w:noHBand="0" w:noVBand="1"/>
      </w:tblPr>
      <w:tblGrid>
        <w:gridCol w:w="2122"/>
        <w:gridCol w:w="917"/>
        <w:gridCol w:w="918"/>
        <w:gridCol w:w="1010"/>
        <w:gridCol w:w="832"/>
        <w:gridCol w:w="992"/>
        <w:gridCol w:w="851"/>
        <w:gridCol w:w="984"/>
        <w:gridCol w:w="1001"/>
      </w:tblGrid>
      <w:tr w:rsidR="003D242A" w:rsidRPr="003D242A" w:rsidTr="002602A4">
        <w:trPr>
          <w:trHeight w:val="47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Одиниці виміру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  <w:lang w:val="uk-UA"/>
              </w:rPr>
              <w:t>2024 рік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  <w:lang w:val="uk-UA"/>
              </w:rPr>
              <w:t>2025 рік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Загальні показ-</w:t>
            </w:r>
            <w:proofErr w:type="spellStart"/>
            <w:r w:rsidRPr="003D242A">
              <w:rPr>
                <w:sz w:val="18"/>
                <w:szCs w:val="18"/>
                <w:lang w:val="uk-UA"/>
              </w:rPr>
              <w:t>ники</w:t>
            </w:r>
            <w:proofErr w:type="spellEnd"/>
            <w:r w:rsidRPr="003D242A">
              <w:rPr>
                <w:sz w:val="18"/>
                <w:szCs w:val="18"/>
                <w:lang w:val="uk-UA"/>
              </w:rPr>
              <w:t xml:space="preserve"> по програмі</w:t>
            </w:r>
          </w:p>
        </w:tc>
      </w:tr>
      <w:tr w:rsidR="003D242A" w:rsidRPr="003D242A" w:rsidTr="002602A4">
        <w:trPr>
          <w:trHeight w:val="63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Сума витрат на один об’єкт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Сума витрат на один об’єкт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Сума витрат на один об’єкт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18"/>
                <w:szCs w:val="18"/>
                <w:lang w:val="uk-UA"/>
              </w:rPr>
            </w:pPr>
            <w:r w:rsidRPr="003D242A">
              <w:rPr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</w:tr>
      <w:tr w:rsidR="003D242A" w:rsidRPr="003D242A" w:rsidTr="002602A4">
        <w:trPr>
          <w:trHeight w:val="2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i/>
                <w:sz w:val="16"/>
                <w:szCs w:val="16"/>
              </w:rPr>
            </w:pPr>
            <w:r w:rsidRPr="003D242A">
              <w:rPr>
                <w:i/>
                <w:sz w:val="16"/>
                <w:szCs w:val="16"/>
              </w:rPr>
              <w:t>9</w:t>
            </w:r>
          </w:p>
        </w:tc>
      </w:tr>
      <w:tr w:rsidR="003D242A" w:rsidRPr="003D242A" w:rsidTr="002602A4">
        <w:trPr>
          <w:trHeight w:val="2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b/>
                <w:sz w:val="20"/>
                <w:szCs w:val="20"/>
                <w:lang w:val="uk-UA"/>
              </w:rPr>
            </w:pPr>
            <w:r w:rsidRPr="003D242A">
              <w:rPr>
                <w:b/>
                <w:sz w:val="20"/>
                <w:szCs w:val="20"/>
                <w:lang w:val="uk-UA"/>
              </w:rPr>
              <w:t>Продукту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</w:tr>
      <w:tr w:rsidR="003D242A" w:rsidRPr="003D242A" w:rsidTr="002602A4">
        <w:trPr>
          <w:trHeight w:val="73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sz w:val="20"/>
                <w:szCs w:val="20"/>
                <w:lang w:val="uk-UA"/>
              </w:rPr>
            </w:pPr>
            <w:r w:rsidRPr="003D242A">
              <w:rPr>
                <w:sz w:val="20"/>
                <w:szCs w:val="20"/>
                <w:lang w:val="uk-UA"/>
              </w:rPr>
              <w:t>Загальна кількість тимчасових споруд, що підлягають демонтажу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</w:p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  <w:r w:rsidRPr="003D242A">
              <w:rPr>
                <w:sz w:val="20"/>
                <w:szCs w:val="20"/>
              </w:rPr>
              <w:t>од.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130</w:t>
            </w:r>
          </w:p>
        </w:tc>
      </w:tr>
      <w:tr w:rsidR="003D242A" w:rsidRPr="003D242A" w:rsidTr="002602A4">
        <w:trPr>
          <w:trHeight w:val="7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sz w:val="20"/>
                <w:szCs w:val="20"/>
                <w:lang w:val="uk-UA"/>
              </w:rPr>
            </w:pPr>
            <w:r w:rsidRPr="003D242A">
              <w:rPr>
                <w:sz w:val="20"/>
                <w:szCs w:val="20"/>
                <w:lang w:val="uk-UA"/>
              </w:rPr>
              <w:t>Загальна кількість рекламних засобів, що підлягають демонтажу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</w:p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  <w:r w:rsidRPr="003D242A">
              <w:rPr>
                <w:sz w:val="20"/>
                <w:szCs w:val="20"/>
              </w:rPr>
              <w:t>од.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200</w:t>
            </w:r>
          </w:p>
        </w:tc>
      </w:tr>
      <w:tr w:rsidR="003D242A" w:rsidRPr="003D242A" w:rsidTr="002602A4">
        <w:trPr>
          <w:trHeight w:val="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b/>
                <w:sz w:val="20"/>
                <w:szCs w:val="20"/>
                <w:lang w:val="uk-UA"/>
              </w:rPr>
            </w:pPr>
            <w:r w:rsidRPr="003D242A">
              <w:rPr>
                <w:b/>
                <w:sz w:val="20"/>
                <w:szCs w:val="20"/>
                <w:lang w:val="uk-UA"/>
              </w:rPr>
              <w:t>Затрат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</w:tr>
      <w:tr w:rsidR="003D242A" w:rsidRPr="003D242A" w:rsidTr="002602A4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sz w:val="20"/>
                <w:szCs w:val="20"/>
                <w:lang w:val="uk-UA"/>
              </w:rPr>
            </w:pPr>
            <w:r w:rsidRPr="003D242A">
              <w:rPr>
                <w:sz w:val="20"/>
                <w:szCs w:val="20"/>
                <w:lang w:val="uk-UA"/>
              </w:rPr>
              <w:t>Витрати на демонтаж тимчасових споруд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  <w:r w:rsidRPr="003D242A">
              <w:rPr>
                <w:sz w:val="20"/>
                <w:szCs w:val="20"/>
              </w:rPr>
              <w:t>тис. грн.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13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559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13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559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13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572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1690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</w:tr>
      <w:tr w:rsidR="003D242A" w:rsidRPr="003D242A" w:rsidTr="002602A4">
        <w:trPr>
          <w:trHeight w:val="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sz w:val="20"/>
                <w:szCs w:val="20"/>
                <w:lang w:val="uk-UA"/>
              </w:rPr>
            </w:pPr>
            <w:r w:rsidRPr="003D242A">
              <w:rPr>
                <w:sz w:val="20"/>
                <w:szCs w:val="20"/>
                <w:lang w:val="uk-UA"/>
              </w:rPr>
              <w:t>Витрати на демонтаж рекламних засобів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  <w:r w:rsidRPr="003D242A">
              <w:rPr>
                <w:sz w:val="20"/>
                <w:szCs w:val="20"/>
              </w:rPr>
              <w:t>тис. грн.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8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528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8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528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8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544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1600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</w:tr>
      <w:tr w:rsidR="003D242A" w:rsidRPr="003D242A" w:rsidTr="002602A4">
        <w:trPr>
          <w:trHeight w:val="2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b/>
                <w:sz w:val="20"/>
                <w:szCs w:val="20"/>
                <w:lang w:val="uk-UA"/>
              </w:rPr>
            </w:pPr>
            <w:r w:rsidRPr="003D242A">
              <w:rPr>
                <w:b/>
                <w:sz w:val="20"/>
                <w:szCs w:val="20"/>
                <w:lang w:val="uk-UA"/>
              </w:rPr>
              <w:t>Ефективності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</w:tr>
      <w:tr w:rsidR="003D242A" w:rsidRPr="003D242A" w:rsidTr="002602A4">
        <w:trPr>
          <w:trHeight w:val="5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sz w:val="20"/>
                <w:szCs w:val="20"/>
                <w:lang w:val="uk-UA"/>
              </w:rPr>
            </w:pPr>
            <w:r w:rsidRPr="003D242A">
              <w:rPr>
                <w:sz w:val="20"/>
                <w:szCs w:val="20"/>
                <w:lang w:val="uk-UA"/>
              </w:rPr>
              <w:t>Демонтовано тимчасових споруд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  <w:r w:rsidRPr="003D242A">
              <w:rPr>
                <w:sz w:val="20"/>
                <w:szCs w:val="20"/>
              </w:rPr>
              <w:t>од.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130</w:t>
            </w:r>
          </w:p>
        </w:tc>
      </w:tr>
      <w:tr w:rsidR="003D242A" w:rsidRPr="003D242A" w:rsidTr="002602A4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sz w:val="20"/>
                <w:szCs w:val="20"/>
                <w:lang w:val="uk-UA"/>
              </w:rPr>
            </w:pPr>
            <w:r w:rsidRPr="003D242A">
              <w:rPr>
                <w:sz w:val="20"/>
                <w:szCs w:val="20"/>
                <w:lang w:val="uk-UA"/>
              </w:rPr>
              <w:t>Демонтовано рекламних засобів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  <w:r w:rsidRPr="003D242A">
              <w:rPr>
                <w:sz w:val="20"/>
                <w:szCs w:val="20"/>
              </w:rPr>
              <w:t>од.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66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  <w:r w:rsidRPr="003D242A">
              <w:rPr>
                <w:sz w:val="22"/>
                <w:szCs w:val="22"/>
              </w:rPr>
              <w:t>200</w:t>
            </w:r>
          </w:p>
        </w:tc>
      </w:tr>
      <w:tr w:rsidR="003D242A" w:rsidRPr="003D242A" w:rsidTr="002602A4">
        <w:trPr>
          <w:trHeight w:val="2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b/>
                <w:sz w:val="20"/>
                <w:szCs w:val="20"/>
                <w:lang w:val="uk-UA"/>
              </w:rPr>
            </w:pPr>
            <w:r w:rsidRPr="003D242A">
              <w:rPr>
                <w:b/>
                <w:sz w:val="20"/>
                <w:szCs w:val="20"/>
                <w:lang w:val="uk-UA"/>
              </w:rPr>
              <w:t xml:space="preserve">Якості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</w:tr>
      <w:tr w:rsidR="003D242A" w:rsidRPr="003D242A" w:rsidTr="002602A4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sz w:val="20"/>
                <w:szCs w:val="20"/>
                <w:lang w:val="uk-UA"/>
              </w:rPr>
            </w:pPr>
            <w:r w:rsidRPr="003D242A">
              <w:rPr>
                <w:sz w:val="20"/>
                <w:szCs w:val="20"/>
                <w:lang w:val="uk-UA"/>
              </w:rPr>
              <w:t>Охоплення демонтажем тимчасові споруди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  <w:r w:rsidRPr="003D242A">
              <w:rPr>
                <w:sz w:val="20"/>
                <w:szCs w:val="20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</w:tr>
      <w:tr w:rsidR="003D242A" w:rsidRPr="003D242A" w:rsidTr="002602A4">
        <w:trPr>
          <w:trHeight w:val="7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2A" w:rsidRPr="003D242A" w:rsidRDefault="003D242A" w:rsidP="003D242A">
            <w:pPr>
              <w:rPr>
                <w:sz w:val="20"/>
                <w:szCs w:val="20"/>
                <w:lang w:val="uk-UA"/>
              </w:rPr>
            </w:pPr>
            <w:r w:rsidRPr="003D242A">
              <w:rPr>
                <w:sz w:val="20"/>
                <w:szCs w:val="20"/>
                <w:lang w:val="uk-UA"/>
              </w:rPr>
              <w:t>Охоплення демонтажем рекламні засоби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2A" w:rsidRPr="003D242A" w:rsidRDefault="003D242A" w:rsidP="003D242A">
            <w:pPr>
              <w:jc w:val="center"/>
              <w:rPr>
                <w:sz w:val="20"/>
                <w:szCs w:val="20"/>
              </w:rPr>
            </w:pPr>
            <w:r w:rsidRPr="003D242A">
              <w:rPr>
                <w:sz w:val="20"/>
                <w:szCs w:val="20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2A" w:rsidRPr="003D242A" w:rsidRDefault="003D242A" w:rsidP="003D242A">
            <w:pPr>
              <w:jc w:val="center"/>
              <w:rPr>
                <w:sz w:val="22"/>
                <w:szCs w:val="22"/>
              </w:rPr>
            </w:pPr>
          </w:p>
          <w:p w:rsidR="003D242A" w:rsidRPr="003D242A" w:rsidRDefault="003D242A" w:rsidP="003D242A">
            <w:pPr>
              <w:jc w:val="center"/>
              <w:rPr>
                <w:sz w:val="22"/>
                <w:szCs w:val="22"/>
                <w:lang w:val="uk-UA"/>
              </w:rPr>
            </w:pPr>
            <w:r w:rsidRPr="003D242A">
              <w:rPr>
                <w:sz w:val="22"/>
                <w:szCs w:val="22"/>
              </w:rPr>
              <w:t>100</w:t>
            </w:r>
            <w:r w:rsidRPr="003D242A">
              <w:rPr>
                <w:sz w:val="22"/>
                <w:szCs w:val="22"/>
                <w:lang w:val="uk-UA"/>
              </w:rPr>
              <w:t>,0</w:t>
            </w:r>
          </w:p>
        </w:tc>
      </w:tr>
    </w:tbl>
    <w:p w:rsidR="003D242A" w:rsidRPr="003D242A" w:rsidRDefault="003D242A" w:rsidP="003D242A">
      <w:pPr>
        <w:autoSpaceDE/>
        <w:adjustRightInd/>
        <w:rPr>
          <w:b/>
          <w:sz w:val="16"/>
          <w:szCs w:val="16"/>
          <w:lang w:val="uk-UA"/>
        </w:rPr>
      </w:pPr>
    </w:p>
    <w:p w:rsidR="003D242A" w:rsidRP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>Начальник управління інспектування</w:t>
      </w:r>
    </w:p>
    <w:p w:rsidR="003D242A" w:rsidRDefault="003D242A" w:rsidP="003D242A">
      <w:pPr>
        <w:autoSpaceDE/>
        <w:adjustRightInd/>
        <w:rPr>
          <w:sz w:val="26"/>
          <w:szCs w:val="26"/>
          <w:lang w:val="uk-UA"/>
        </w:rPr>
      </w:pPr>
      <w:r w:rsidRPr="003D242A">
        <w:rPr>
          <w:sz w:val="26"/>
          <w:szCs w:val="26"/>
          <w:lang w:val="uk-UA"/>
        </w:rPr>
        <w:t xml:space="preserve">Черкаської міської ради                             </w:t>
      </w:r>
      <w:r>
        <w:rPr>
          <w:sz w:val="26"/>
          <w:szCs w:val="26"/>
          <w:lang w:val="uk-UA"/>
        </w:rPr>
        <w:t xml:space="preserve">                            </w:t>
      </w:r>
      <w:r w:rsidRPr="003D242A">
        <w:rPr>
          <w:sz w:val="26"/>
          <w:szCs w:val="26"/>
          <w:lang w:val="uk-UA"/>
        </w:rPr>
        <w:t xml:space="preserve">    Станіслав КОЛОМІЄЦЬ</w:t>
      </w:r>
    </w:p>
    <w:p w:rsid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Pr="003D242A" w:rsidRDefault="003D242A" w:rsidP="003D242A">
      <w:pPr>
        <w:suppressAutoHyphens/>
        <w:autoSpaceDE/>
        <w:adjustRightInd/>
        <w:jc w:val="center"/>
        <w:rPr>
          <w:lang w:val="uk-UA" w:eastAsia="ar-SA"/>
        </w:rPr>
      </w:pPr>
      <w:r w:rsidRPr="003D242A">
        <w:rPr>
          <w:noProof/>
          <w:lang w:val="uk-UA" w:eastAsia="uk-UA"/>
        </w:rPr>
        <w:lastRenderedPageBreak/>
        <w:drawing>
          <wp:inline distT="0" distB="0" distL="0" distR="0" wp14:anchorId="5D046568" wp14:editId="0CB32C2A">
            <wp:extent cx="370840" cy="494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2A" w:rsidRPr="003D242A" w:rsidRDefault="003D242A" w:rsidP="003D242A">
      <w:pPr>
        <w:suppressAutoHyphens/>
        <w:autoSpaceDE/>
        <w:adjustRightInd/>
        <w:jc w:val="center"/>
        <w:rPr>
          <w:lang w:val="uk-UA" w:eastAsia="ar-SA"/>
        </w:rPr>
      </w:pPr>
      <w:r w:rsidRPr="003D242A">
        <w:rPr>
          <w:lang w:val="uk-UA" w:eastAsia="ar-SA"/>
        </w:rPr>
        <w:t>УКРАЇНА</w:t>
      </w:r>
    </w:p>
    <w:p w:rsidR="003D242A" w:rsidRPr="003D242A" w:rsidRDefault="003D242A" w:rsidP="003D242A">
      <w:pPr>
        <w:suppressAutoHyphens/>
        <w:autoSpaceDE/>
        <w:adjustRightInd/>
        <w:jc w:val="center"/>
        <w:rPr>
          <w:lang w:val="uk-UA" w:eastAsia="ar-SA"/>
        </w:rPr>
      </w:pPr>
      <w:r w:rsidRPr="003D242A">
        <w:rPr>
          <w:lang w:val="uk-UA" w:eastAsia="ar-SA"/>
        </w:rPr>
        <w:t>ЧЕРКАСЬКА МІСЬКА РАДА</w:t>
      </w:r>
    </w:p>
    <w:p w:rsidR="003D242A" w:rsidRPr="003D242A" w:rsidRDefault="003D242A" w:rsidP="003D242A">
      <w:pPr>
        <w:keepNext/>
        <w:tabs>
          <w:tab w:val="num" w:pos="432"/>
        </w:tabs>
        <w:suppressAutoHyphens/>
        <w:autoSpaceDE/>
        <w:adjustRightInd/>
        <w:ind w:left="432" w:hanging="432"/>
        <w:jc w:val="center"/>
        <w:outlineLvl w:val="0"/>
        <w:rPr>
          <w:b/>
          <w:sz w:val="32"/>
          <w:szCs w:val="32"/>
          <w:lang w:val="uk-UA" w:eastAsia="ar-SA"/>
        </w:rPr>
      </w:pPr>
      <w:r w:rsidRPr="003D242A">
        <w:rPr>
          <w:b/>
          <w:sz w:val="32"/>
          <w:szCs w:val="32"/>
          <w:lang w:val="uk-UA" w:eastAsia="ar-SA"/>
        </w:rPr>
        <w:t>УПРАВЛІННЯ ІНСПЕКТУВАННЯ</w:t>
      </w:r>
    </w:p>
    <w:p w:rsidR="003D242A" w:rsidRPr="003D242A" w:rsidRDefault="003D242A" w:rsidP="003D242A">
      <w:pPr>
        <w:suppressAutoHyphens/>
        <w:autoSpaceDE/>
        <w:adjustRightInd/>
        <w:jc w:val="center"/>
        <w:rPr>
          <w:sz w:val="24"/>
          <w:szCs w:val="24"/>
          <w:lang w:val="uk-UA" w:eastAsia="ar-SA"/>
        </w:rPr>
      </w:pPr>
      <w:r w:rsidRPr="003D242A">
        <w:rPr>
          <w:sz w:val="24"/>
          <w:szCs w:val="24"/>
          <w:lang w:val="uk-UA" w:eastAsia="ar-SA"/>
        </w:rPr>
        <w:t xml:space="preserve">18001, м. Черкаси, вул. Благовісна, 170, </w:t>
      </w:r>
      <w:proofErr w:type="spellStart"/>
      <w:r w:rsidRPr="003D242A">
        <w:rPr>
          <w:sz w:val="24"/>
          <w:szCs w:val="24"/>
          <w:lang w:val="uk-UA" w:eastAsia="ar-SA"/>
        </w:rPr>
        <w:t>каб</w:t>
      </w:r>
      <w:proofErr w:type="spellEnd"/>
      <w:r w:rsidRPr="003D242A">
        <w:rPr>
          <w:sz w:val="24"/>
          <w:szCs w:val="24"/>
          <w:lang w:val="uk-UA" w:eastAsia="ar-SA"/>
        </w:rPr>
        <w:t xml:space="preserve">. 21, </w:t>
      </w:r>
      <w:proofErr w:type="spellStart"/>
      <w:r w:rsidRPr="003D242A">
        <w:rPr>
          <w:sz w:val="24"/>
          <w:szCs w:val="24"/>
          <w:lang w:val="uk-UA" w:eastAsia="ar-SA"/>
        </w:rPr>
        <w:t>тел</w:t>
      </w:r>
      <w:proofErr w:type="spellEnd"/>
      <w:r w:rsidRPr="003D242A">
        <w:rPr>
          <w:sz w:val="24"/>
          <w:szCs w:val="24"/>
          <w:lang w:val="uk-UA" w:eastAsia="ar-SA"/>
        </w:rPr>
        <w:t>. 36-05-73</w:t>
      </w:r>
    </w:p>
    <w:p w:rsidR="003D242A" w:rsidRPr="003D242A" w:rsidRDefault="003D242A" w:rsidP="003D242A">
      <w:pPr>
        <w:suppressAutoHyphens/>
        <w:autoSpaceDE/>
        <w:adjustRightInd/>
        <w:jc w:val="center"/>
        <w:rPr>
          <w:sz w:val="24"/>
          <w:szCs w:val="24"/>
          <w:lang w:val="uk-UA" w:eastAsia="ar-SA"/>
        </w:rPr>
      </w:pPr>
      <w:r w:rsidRPr="003D242A">
        <w:rPr>
          <w:color w:val="000000" w:themeColor="text1"/>
          <w:sz w:val="24"/>
          <w:szCs w:val="24"/>
          <w:lang w:val="uk-UA" w:eastAsia="ar-SA"/>
        </w:rPr>
        <w:t>e-</w:t>
      </w:r>
      <w:proofErr w:type="spellStart"/>
      <w:r w:rsidRPr="003D242A">
        <w:rPr>
          <w:color w:val="000000" w:themeColor="text1"/>
          <w:sz w:val="24"/>
          <w:szCs w:val="24"/>
          <w:lang w:val="uk-UA" w:eastAsia="ar-SA"/>
        </w:rPr>
        <w:t>mail</w:t>
      </w:r>
      <w:proofErr w:type="spellEnd"/>
      <w:r w:rsidRPr="003D242A">
        <w:rPr>
          <w:color w:val="000000" w:themeColor="text1"/>
          <w:sz w:val="24"/>
          <w:szCs w:val="24"/>
          <w:lang w:val="uk-UA" w:eastAsia="ar-SA"/>
        </w:rPr>
        <w:t>:</w:t>
      </w:r>
      <w:r w:rsidRPr="003D242A">
        <w:rPr>
          <w:color w:val="000000" w:themeColor="text1"/>
          <w:sz w:val="24"/>
          <w:szCs w:val="24"/>
          <w:u w:val="single"/>
          <w:lang w:val="uk-UA" w:eastAsia="ar-SA"/>
        </w:rPr>
        <w:t xml:space="preserve"> </w:t>
      </w:r>
      <w:hyperlink r:id="rId7" w:history="1">
        <w:r w:rsidRPr="003D242A">
          <w:rPr>
            <w:color w:val="0000FF"/>
            <w:sz w:val="24"/>
            <w:szCs w:val="24"/>
            <w:u w:val="single"/>
            <w:shd w:val="clear" w:color="auto" w:fill="FFFFFF"/>
            <w:lang w:val="uk-UA" w:eastAsia="ar-SA"/>
          </w:rPr>
          <w:t>uprav.insp@gmail.com</w:t>
        </w:r>
      </w:hyperlink>
      <w:r w:rsidRPr="003D242A">
        <w:rPr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, </w:t>
      </w:r>
      <w:r w:rsidRPr="003D242A">
        <w:rPr>
          <w:color w:val="000000"/>
          <w:sz w:val="24"/>
          <w:szCs w:val="24"/>
          <w:lang w:val="uk-UA" w:eastAsia="ar-SA"/>
        </w:rPr>
        <w:t>к</w:t>
      </w:r>
      <w:r w:rsidRPr="003D242A">
        <w:rPr>
          <w:sz w:val="24"/>
          <w:szCs w:val="24"/>
          <w:lang w:val="uk-UA" w:eastAsia="ar-SA"/>
        </w:rPr>
        <w:t>од ЄДРПОУ 40955685</w:t>
      </w:r>
    </w:p>
    <w:p w:rsidR="003D242A" w:rsidRPr="003D242A" w:rsidRDefault="003D242A" w:rsidP="003D242A">
      <w:pPr>
        <w:suppressAutoHyphens/>
        <w:autoSpaceDE/>
        <w:adjustRightInd/>
        <w:jc w:val="center"/>
        <w:rPr>
          <w:sz w:val="24"/>
          <w:szCs w:val="24"/>
          <w:lang w:val="uk-UA" w:eastAsia="ar-SA"/>
        </w:rPr>
      </w:pPr>
      <w:r w:rsidRPr="003D242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F184" wp14:editId="558B3FE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106795" cy="0"/>
                <wp:effectExtent l="0" t="19050" r="46355" b="381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9B06D" id="Прямая соединительная линия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80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D242A" w:rsidRPr="003D242A" w:rsidRDefault="003D242A" w:rsidP="003D242A">
      <w:pPr>
        <w:jc w:val="center"/>
        <w:rPr>
          <w:b/>
          <w:lang w:val="uk-UA"/>
        </w:rPr>
      </w:pPr>
      <w:r w:rsidRPr="003D242A">
        <w:rPr>
          <w:b/>
          <w:lang w:val="uk-UA"/>
        </w:rPr>
        <w:t>Пояснювальна записка</w:t>
      </w:r>
    </w:p>
    <w:p w:rsidR="003D242A" w:rsidRPr="003D242A" w:rsidRDefault="003D242A" w:rsidP="003D242A">
      <w:pPr>
        <w:jc w:val="center"/>
        <w:rPr>
          <w:lang w:val="uk-UA"/>
        </w:rPr>
      </w:pPr>
      <w:r w:rsidRPr="003D242A">
        <w:rPr>
          <w:lang w:val="uk-UA"/>
        </w:rPr>
        <w:t xml:space="preserve">до </w:t>
      </w:r>
      <w:proofErr w:type="spellStart"/>
      <w:r w:rsidRPr="003D242A">
        <w:rPr>
          <w:lang w:val="uk-UA"/>
        </w:rPr>
        <w:t>проєкту</w:t>
      </w:r>
      <w:proofErr w:type="spellEnd"/>
      <w:r w:rsidRPr="003D242A">
        <w:rPr>
          <w:lang w:val="uk-UA"/>
        </w:rPr>
        <w:t xml:space="preserve"> рішення виконавчого комітету Черкаської міської ради </w:t>
      </w:r>
    </w:p>
    <w:p w:rsidR="003D242A" w:rsidRPr="003D242A" w:rsidRDefault="003D242A" w:rsidP="003D242A">
      <w:pPr>
        <w:jc w:val="center"/>
        <w:rPr>
          <w:lang w:val="uk-UA"/>
        </w:rPr>
      </w:pPr>
      <w:r w:rsidRPr="003D242A">
        <w:rPr>
          <w:rFonts w:eastAsia="Calibri"/>
          <w:bCs/>
          <w:lang w:val="uk-UA" w:eastAsia="en-US"/>
        </w:rPr>
        <w:t>«Про затвердження Програми впорядкування тимчасових споруд і зовнішньої реклами на території міста Черкаси на 2023-2025 роки»</w:t>
      </w:r>
    </w:p>
    <w:p w:rsidR="003D242A" w:rsidRDefault="003D242A" w:rsidP="003D242A">
      <w:pPr>
        <w:ind w:firstLine="708"/>
        <w:jc w:val="both"/>
        <w:rPr>
          <w:color w:val="000000"/>
          <w:lang w:val="uk-UA"/>
        </w:rPr>
      </w:pPr>
    </w:p>
    <w:p w:rsidR="003D242A" w:rsidRPr="003D242A" w:rsidRDefault="003D242A" w:rsidP="003D242A">
      <w:pPr>
        <w:ind w:firstLine="708"/>
        <w:jc w:val="both"/>
        <w:rPr>
          <w:color w:val="000000"/>
          <w:lang w:val="uk-UA"/>
        </w:rPr>
      </w:pPr>
    </w:p>
    <w:p w:rsidR="003D242A" w:rsidRDefault="003D242A" w:rsidP="003D242A">
      <w:pPr>
        <w:ind w:firstLine="708"/>
        <w:jc w:val="both"/>
        <w:rPr>
          <w:color w:val="000000"/>
          <w:lang w:val="uk-UA"/>
        </w:rPr>
      </w:pPr>
      <w:r w:rsidRPr="003D242A">
        <w:rPr>
          <w:color w:val="000000"/>
          <w:lang w:val="uk-UA"/>
        </w:rPr>
        <w:t>На виконання Програми впорядкування тимчасових споруд і зовнішньої реклами на території міста Черкаси на 2020-2022 роки, затвердженої рішенням Черкаської міської ради від 20.02.2020 № 2-5687 (далі – Програма) станом на 22.09.2022 управлінням інспектування демонтовано 31 тимчасову споруду та 29 рекламних засобів.</w:t>
      </w:r>
    </w:p>
    <w:p w:rsidR="003D242A" w:rsidRPr="003D242A" w:rsidRDefault="003D242A" w:rsidP="003D242A">
      <w:pPr>
        <w:ind w:firstLine="708"/>
        <w:jc w:val="both"/>
        <w:rPr>
          <w:color w:val="000000"/>
          <w:lang w:val="uk-UA"/>
        </w:rPr>
      </w:pPr>
    </w:p>
    <w:p w:rsid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 xml:space="preserve">Дані щодо виконання Програми наведені у таблиці: 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</w:p>
    <w:tbl>
      <w:tblPr>
        <w:tblStyle w:val="3"/>
        <w:tblW w:w="103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1"/>
        <w:gridCol w:w="873"/>
        <w:gridCol w:w="894"/>
        <w:gridCol w:w="872"/>
        <w:gridCol w:w="894"/>
        <w:gridCol w:w="872"/>
        <w:gridCol w:w="894"/>
        <w:gridCol w:w="938"/>
        <w:gridCol w:w="928"/>
        <w:gridCol w:w="949"/>
        <w:gridCol w:w="974"/>
      </w:tblGrid>
      <w:tr w:rsidR="003D242A" w:rsidRPr="003D242A" w:rsidTr="002602A4">
        <w:trPr>
          <w:trHeight w:val="110"/>
        </w:trPr>
        <w:tc>
          <w:tcPr>
            <w:tcW w:w="1271" w:type="dxa"/>
            <w:vMerge w:val="restart"/>
          </w:tcPr>
          <w:p w:rsidR="003D242A" w:rsidRPr="003D242A" w:rsidRDefault="003D242A" w:rsidP="003D242A">
            <w:pPr>
              <w:autoSpaceDE/>
              <w:autoSpaceDN/>
              <w:adjustRightInd/>
              <w:ind w:left="-255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i/>
                <w:sz w:val="20"/>
                <w:szCs w:val="20"/>
                <w:lang w:val="uk-UA" w:eastAsia="en-US"/>
              </w:rPr>
              <w:t>Назва програмного заходу</w:t>
            </w:r>
          </w:p>
        </w:tc>
        <w:tc>
          <w:tcPr>
            <w:tcW w:w="1767" w:type="dxa"/>
            <w:gridSpan w:val="2"/>
            <w:vMerge w:val="restart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i/>
                <w:sz w:val="20"/>
                <w:szCs w:val="20"/>
                <w:lang w:val="uk-UA" w:eastAsia="en-US"/>
              </w:rPr>
              <w:t>Затверджено програмою</w:t>
            </w:r>
          </w:p>
        </w:tc>
        <w:tc>
          <w:tcPr>
            <w:tcW w:w="1766" w:type="dxa"/>
            <w:gridSpan w:val="2"/>
            <w:vMerge w:val="restart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i/>
                <w:sz w:val="20"/>
                <w:szCs w:val="20"/>
                <w:lang w:val="uk-UA" w:eastAsia="en-US"/>
              </w:rPr>
              <w:t>Виділено з бюджету</w:t>
            </w:r>
          </w:p>
        </w:tc>
        <w:tc>
          <w:tcPr>
            <w:tcW w:w="1766" w:type="dxa"/>
            <w:gridSpan w:val="2"/>
            <w:vMerge w:val="restart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i/>
                <w:sz w:val="20"/>
                <w:szCs w:val="20"/>
                <w:lang w:val="uk-UA" w:eastAsia="en-US"/>
              </w:rPr>
              <w:t>Фактично виконано станом на 01.09.2022</w:t>
            </w:r>
          </w:p>
        </w:tc>
        <w:tc>
          <w:tcPr>
            <w:tcW w:w="3789" w:type="dxa"/>
            <w:gridSpan w:val="4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i/>
                <w:sz w:val="20"/>
                <w:szCs w:val="20"/>
                <w:lang w:val="uk-UA" w:eastAsia="en-US"/>
              </w:rPr>
              <w:t>Виконання програми</w:t>
            </w:r>
          </w:p>
        </w:tc>
      </w:tr>
      <w:tr w:rsidR="003D242A" w:rsidRPr="003D242A" w:rsidTr="002602A4">
        <w:trPr>
          <w:trHeight w:val="210"/>
        </w:trPr>
        <w:tc>
          <w:tcPr>
            <w:tcW w:w="1271" w:type="dxa"/>
            <w:vMerge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767" w:type="dxa"/>
            <w:gridSpan w:val="2"/>
            <w:vMerge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766" w:type="dxa"/>
            <w:gridSpan w:val="2"/>
            <w:vMerge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766" w:type="dxa"/>
            <w:gridSpan w:val="2"/>
            <w:vMerge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866" w:type="dxa"/>
            <w:gridSpan w:val="2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i/>
                <w:sz w:val="20"/>
                <w:szCs w:val="20"/>
                <w:lang w:val="uk-UA" w:eastAsia="en-US"/>
              </w:rPr>
              <w:t>(затверджено програмою/виділено з бюджету)</w:t>
            </w:r>
          </w:p>
        </w:tc>
        <w:tc>
          <w:tcPr>
            <w:tcW w:w="1923" w:type="dxa"/>
            <w:gridSpan w:val="2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i/>
                <w:sz w:val="20"/>
                <w:szCs w:val="20"/>
                <w:lang w:val="uk-UA" w:eastAsia="en-US"/>
              </w:rPr>
              <w:t>(виділено з бюджету/фактично виконано)</w:t>
            </w:r>
          </w:p>
        </w:tc>
      </w:tr>
      <w:tr w:rsidR="003D242A" w:rsidRPr="003D242A" w:rsidTr="002602A4">
        <w:tc>
          <w:tcPr>
            <w:tcW w:w="1271" w:type="dxa"/>
            <w:vMerge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9088" w:type="dxa"/>
            <w:gridSpan w:val="10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За період 2020р.-2022р.</w:t>
            </w:r>
          </w:p>
        </w:tc>
      </w:tr>
      <w:tr w:rsidR="003D242A" w:rsidRPr="003D242A" w:rsidTr="002602A4">
        <w:tc>
          <w:tcPr>
            <w:tcW w:w="1271" w:type="dxa"/>
            <w:vMerge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873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proofErr w:type="spellStart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Витратитис</w:t>
            </w:r>
            <w:proofErr w:type="spellEnd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. грн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Кількість шт.</w:t>
            </w:r>
          </w:p>
        </w:tc>
        <w:tc>
          <w:tcPr>
            <w:tcW w:w="872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proofErr w:type="spellStart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Витратитис</w:t>
            </w:r>
            <w:proofErr w:type="spellEnd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. грн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proofErr w:type="spellStart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Кількістьшт</w:t>
            </w:r>
            <w:proofErr w:type="spellEnd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72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proofErr w:type="spellStart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Витратитис</w:t>
            </w:r>
            <w:proofErr w:type="spellEnd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. грн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proofErr w:type="spellStart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Кількістьшт</w:t>
            </w:r>
            <w:proofErr w:type="spellEnd"/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38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Витрати,</w:t>
            </w: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%</w:t>
            </w:r>
          </w:p>
        </w:tc>
        <w:tc>
          <w:tcPr>
            <w:tcW w:w="928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Кількість</w:t>
            </w: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%</w:t>
            </w:r>
          </w:p>
        </w:tc>
        <w:tc>
          <w:tcPr>
            <w:tcW w:w="949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Витрати</w:t>
            </w: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%</w:t>
            </w:r>
          </w:p>
        </w:tc>
        <w:tc>
          <w:tcPr>
            <w:tcW w:w="97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Кількість</w:t>
            </w: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both"/>
              <w:rPr>
                <w:rFonts w:eastAsia="Calibri"/>
                <w:i/>
                <w:sz w:val="16"/>
                <w:szCs w:val="16"/>
                <w:lang w:val="uk-UA" w:eastAsia="en-US"/>
              </w:rPr>
            </w:pPr>
            <w:r w:rsidRPr="003D242A">
              <w:rPr>
                <w:rFonts w:eastAsia="Calibri"/>
                <w:i/>
                <w:sz w:val="16"/>
                <w:szCs w:val="16"/>
                <w:lang w:val="uk-UA" w:eastAsia="en-US"/>
              </w:rPr>
              <w:t>%</w:t>
            </w:r>
          </w:p>
        </w:tc>
      </w:tr>
      <w:tr w:rsidR="003D242A" w:rsidRPr="003D242A" w:rsidTr="002602A4">
        <w:tc>
          <w:tcPr>
            <w:tcW w:w="1271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Демонтаж тимчасових споруд</w:t>
            </w:r>
          </w:p>
        </w:tc>
        <w:tc>
          <w:tcPr>
            <w:tcW w:w="873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2730,0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210</w:t>
            </w:r>
          </w:p>
        </w:tc>
        <w:tc>
          <w:tcPr>
            <w:tcW w:w="872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733,7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70</w:t>
            </w:r>
          </w:p>
        </w:tc>
        <w:tc>
          <w:tcPr>
            <w:tcW w:w="872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304,0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31</w:t>
            </w:r>
          </w:p>
        </w:tc>
        <w:tc>
          <w:tcPr>
            <w:tcW w:w="938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26,9</w:t>
            </w:r>
          </w:p>
        </w:tc>
        <w:tc>
          <w:tcPr>
            <w:tcW w:w="928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33,3</w:t>
            </w:r>
          </w:p>
        </w:tc>
        <w:tc>
          <w:tcPr>
            <w:tcW w:w="949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41,4</w:t>
            </w:r>
          </w:p>
        </w:tc>
        <w:tc>
          <w:tcPr>
            <w:tcW w:w="97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44,3</w:t>
            </w:r>
          </w:p>
        </w:tc>
      </w:tr>
      <w:tr w:rsidR="003D242A" w:rsidRPr="003D242A" w:rsidTr="002602A4">
        <w:tc>
          <w:tcPr>
            <w:tcW w:w="1271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Демонтаж рекламних конструкцій</w:t>
            </w:r>
          </w:p>
        </w:tc>
        <w:tc>
          <w:tcPr>
            <w:tcW w:w="873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1840,0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230</w:t>
            </w:r>
          </w:p>
        </w:tc>
        <w:tc>
          <w:tcPr>
            <w:tcW w:w="872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290,3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37</w:t>
            </w:r>
          </w:p>
        </w:tc>
        <w:tc>
          <w:tcPr>
            <w:tcW w:w="872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208,5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29</w:t>
            </w:r>
          </w:p>
        </w:tc>
        <w:tc>
          <w:tcPr>
            <w:tcW w:w="938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15,8</w:t>
            </w:r>
          </w:p>
        </w:tc>
        <w:tc>
          <w:tcPr>
            <w:tcW w:w="928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 xml:space="preserve">    16,1</w:t>
            </w:r>
          </w:p>
        </w:tc>
        <w:tc>
          <w:tcPr>
            <w:tcW w:w="949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71,8</w:t>
            </w:r>
          </w:p>
        </w:tc>
        <w:tc>
          <w:tcPr>
            <w:tcW w:w="97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78,4</w:t>
            </w:r>
          </w:p>
        </w:tc>
      </w:tr>
      <w:tr w:rsidR="003D242A" w:rsidRPr="003D242A" w:rsidTr="002602A4">
        <w:tc>
          <w:tcPr>
            <w:tcW w:w="1271" w:type="dxa"/>
          </w:tcPr>
          <w:p w:rsidR="003D242A" w:rsidRPr="003D242A" w:rsidRDefault="003D242A" w:rsidP="003D242A">
            <w:pPr>
              <w:tabs>
                <w:tab w:val="left" w:pos="540"/>
              </w:tabs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873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4570,0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440</w:t>
            </w:r>
          </w:p>
        </w:tc>
        <w:tc>
          <w:tcPr>
            <w:tcW w:w="872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1024,0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107</w:t>
            </w:r>
          </w:p>
        </w:tc>
        <w:tc>
          <w:tcPr>
            <w:tcW w:w="872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512,5</w:t>
            </w:r>
          </w:p>
        </w:tc>
        <w:tc>
          <w:tcPr>
            <w:tcW w:w="89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60</w:t>
            </w:r>
          </w:p>
        </w:tc>
        <w:tc>
          <w:tcPr>
            <w:tcW w:w="938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22,4</w:t>
            </w:r>
          </w:p>
        </w:tc>
        <w:tc>
          <w:tcPr>
            <w:tcW w:w="928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24,3</w:t>
            </w:r>
          </w:p>
        </w:tc>
        <w:tc>
          <w:tcPr>
            <w:tcW w:w="949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50,1</w:t>
            </w:r>
          </w:p>
        </w:tc>
        <w:tc>
          <w:tcPr>
            <w:tcW w:w="974" w:type="dxa"/>
          </w:tcPr>
          <w:p w:rsidR="003D242A" w:rsidRPr="003D242A" w:rsidRDefault="003D242A" w:rsidP="003D242A">
            <w:pPr>
              <w:autoSpaceDE/>
              <w:autoSpaceDN/>
              <w:adjustRightInd/>
              <w:ind w:left="-113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D242A">
              <w:rPr>
                <w:rFonts w:eastAsia="Calibri"/>
                <w:sz w:val="20"/>
                <w:szCs w:val="20"/>
                <w:lang w:val="uk-UA" w:eastAsia="en-US"/>
              </w:rPr>
              <w:t>56,1</w:t>
            </w:r>
          </w:p>
        </w:tc>
      </w:tr>
    </w:tbl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У 2020 році з міського бюджету було виділено кошти у сумі 512,0 тис. грн., на демонтаж ТС та РК, з яких використано 253,6 тис. грн.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У 2021 році з міського бюджету було виділено кошти у сумі 512,0 тис. грн., на демонтаж ТС та РК, з яких використано 258,9 тис. грн.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У 2022 році з міського бюджету було виділено кошти у сумі 774,6 тис. грн., на демонтаж ТС та РК, але не використані у зв’язку з прийняттям Черкаською міською радою рішення від 17.05.2022 № 368 «Про внесення змін до рішення міської ради від 23.12.2021 № 16-22 «Про бюджет Черкаської міської територіальної громади на 2022 рік (23576000000)». Даним рішенням, у зв’язку з введенням в Україні воєнного стану, було знято видатки на демонтаж ТС та РК у повному обсязі, що унеможливило проведення демонтажу.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Крім того, виділені кошти на демонтаж ТС та РК протягом 2020 – 2021 років не освоєні на 100% у зв'язку з тим, що: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lastRenderedPageBreak/>
        <w:t xml:space="preserve">-   демонтажі проводяться у складних умовах, оскільки власники незаконних споруд всіляко перешкоджають проведенню робіт (зачиняються у спорудах, </w:t>
      </w:r>
    </w:p>
    <w:p w:rsidR="003D242A" w:rsidRPr="003D242A" w:rsidRDefault="003D242A" w:rsidP="003D242A">
      <w:pPr>
        <w:autoSpaceDE/>
        <w:autoSpaceDN/>
        <w:adjustRightInd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перешкоджають роботі техніки та ін.)</w:t>
      </w:r>
      <w:r w:rsidRPr="003D242A">
        <w:rPr>
          <w:rFonts w:eastAsia="Calibri"/>
          <w:i/>
          <w:lang w:val="uk-UA" w:eastAsia="en-US"/>
        </w:rPr>
        <w:t>,</w:t>
      </w:r>
      <w:r w:rsidRPr="003D242A">
        <w:rPr>
          <w:rFonts w:eastAsia="Calibri"/>
          <w:lang w:val="uk-UA" w:eastAsia="en-US"/>
        </w:rPr>
        <w:t xml:space="preserve"> що значно уповільнює процес демонтажу;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- порушники, користуючись своїм правом на оскарження рішень виконавчого комітету про демонтаж, звертаються до суду з відповідними заявами та судом вживаються заходи забезпечення позову шляхом заборони проведення демонтажу таких споруд;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- велика кількість порушників на виконання вимоги управління інспектування щодо проведення демонтажу незаконних ТС та РК, самостійно демонтують такі споруди, а тому відсутня необхідність у залученні бюджетних коштів, що призводить до їх економії;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- значна кількість власників ТС в порушення норм чинного законодавства здійснює державну реєстрацію споруд як об’єктів нерухомості, у зв’язку з чим виникає необхідність в судовому оскарженні таких рішень, що значно уповільнює процес демонтажу.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Рішенням виконавчого комітету Черкаської міської ради від 16.10.2013 №1153 «Про робочу групу з впорядкування території м. Черкаси, підготовки та проведення демонтажу тимчасових споруд і рекламних засобів» (зі змінами від 03.11.2021) затверджено Положення про робочу групу з впорядкування території м. Черкаси, підготовки та проведення демонтажу тимчасових споруд і рекламних засобів (далі – Положення). Відповідно до пунктів 3.9., 4.8 Положення демонтовані ТС/РЗ згідно з актом приймання-передачі передаються на відповідальне зберігання до визначеного виконавчим комітетом суб’єкта. Після закінчення шестимісячного терміну зберігання демонтованих ТС/РЗ, власники яких не з’явилися за їх поверненням та не сплатили витрати, понесені міським бюджетом за їх демонтаж, рішення щодо їх подальшого використання приймає виконавчий комітет.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За період дії Програми власниками тимчасових споруд за проведення демонтажу повернуто до міського бюджету кошти у сумі 36742,29 грн.</w:t>
      </w:r>
    </w:p>
    <w:p w:rsidR="003D242A" w:rsidRPr="003D242A" w:rsidRDefault="003D242A" w:rsidP="003D242A">
      <w:pPr>
        <w:autoSpaceDE/>
        <w:autoSpaceDN/>
        <w:adjustRightInd/>
        <w:ind w:firstLine="567"/>
        <w:jc w:val="both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>Все інше майно, яке було демонтоване за період дії Програми, відповідно до рішень виконавчого комітету від 03.11.2021 № 1229 та від 14.06.2022 № 431 передано комунальному підприємству «Черкаські ринки» Черкаської міської ради.</w:t>
      </w:r>
    </w:p>
    <w:p w:rsidR="003D242A" w:rsidRPr="003D242A" w:rsidRDefault="003D242A" w:rsidP="003D242A">
      <w:pPr>
        <w:ind w:firstLine="567"/>
        <w:jc w:val="both"/>
        <w:rPr>
          <w:color w:val="000000"/>
          <w:lang w:val="uk-UA"/>
        </w:rPr>
      </w:pPr>
      <w:r w:rsidRPr="003D242A">
        <w:rPr>
          <w:color w:val="000000"/>
          <w:lang w:val="uk-UA"/>
        </w:rPr>
        <w:t xml:space="preserve">У зв’язку із введенням у дію комплексних заходів здійснення контролю за виконанням Правил благоустрою міста Черкаси, затверджених рішенням Черкаської міської ради від 11.11.2008 № 4-688, шляхом притягнення порушників до адміністративної відповідальності, 45 тимчасових споруд та 10 рекламних засобів демонтовані власниками самостійно. Проте, налічується ще близько 130 тимчасових споруд та 200 рекламних засобів, які встановлені з порушенням Порядку розміщення тимчасових споруд для провадження підприємницької діяльності та Порядку розміщення зовнішньої реклами. </w:t>
      </w:r>
    </w:p>
    <w:p w:rsidR="003D242A" w:rsidRPr="003D242A" w:rsidRDefault="003D242A" w:rsidP="003D242A">
      <w:pPr>
        <w:ind w:firstLine="567"/>
        <w:jc w:val="both"/>
        <w:rPr>
          <w:color w:val="000000"/>
          <w:lang w:val="uk-UA"/>
        </w:rPr>
      </w:pPr>
      <w:r w:rsidRPr="003D242A">
        <w:rPr>
          <w:color w:val="000000"/>
          <w:lang w:val="uk-UA"/>
        </w:rPr>
        <w:t xml:space="preserve">З метою впорядкування території міста від незаконно встановлених тимчасових споруд та рекламних засобів управлінням інспектування розроблено </w:t>
      </w:r>
      <w:proofErr w:type="spellStart"/>
      <w:r w:rsidRPr="003D242A">
        <w:rPr>
          <w:color w:val="000000"/>
          <w:lang w:val="uk-UA"/>
        </w:rPr>
        <w:t>проєкт</w:t>
      </w:r>
      <w:proofErr w:type="spellEnd"/>
      <w:r w:rsidRPr="003D242A">
        <w:rPr>
          <w:color w:val="000000"/>
          <w:lang w:val="uk-UA"/>
        </w:rPr>
        <w:t xml:space="preserve"> Програми впорядкування тимчасових споруд і зовнішньої реклами на території міста Черкаси на 2023 – 2025 роки, яка передбачає основні пріоритети, цілі і способи впорядкування міського простору, </w:t>
      </w:r>
      <w:r w:rsidRPr="003D242A">
        <w:rPr>
          <w:color w:val="000000"/>
          <w:lang w:val="uk-UA"/>
        </w:rPr>
        <w:lastRenderedPageBreak/>
        <w:t xml:space="preserve">покращення благоустрою міста шляхом демонтажу незаконних тимчасових споруд та рекламних засобів. </w:t>
      </w:r>
    </w:p>
    <w:p w:rsidR="003D242A" w:rsidRPr="003D242A" w:rsidRDefault="003D242A" w:rsidP="003D242A">
      <w:pPr>
        <w:ind w:firstLine="567"/>
        <w:jc w:val="both"/>
        <w:rPr>
          <w:color w:val="000000"/>
          <w:lang w:val="uk-UA"/>
        </w:rPr>
      </w:pPr>
    </w:p>
    <w:p w:rsidR="003D242A" w:rsidRPr="003D242A" w:rsidRDefault="003D242A" w:rsidP="003D242A">
      <w:pPr>
        <w:tabs>
          <w:tab w:val="left" w:pos="5245"/>
        </w:tabs>
        <w:spacing w:before="240"/>
        <w:rPr>
          <w:rFonts w:eastAsia="Calibri"/>
          <w:lang w:val="uk-UA" w:eastAsia="en-US"/>
        </w:rPr>
      </w:pPr>
      <w:r w:rsidRPr="003D242A">
        <w:rPr>
          <w:rFonts w:eastAsia="Calibri"/>
          <w:lang w:val="uk-UA" w:eastAsia="en-US"/>
        </w:rPr>
        <w:t xml:space="preserve">Начальник управління                     </w:t>
      </w:r>
      <w:r>
        <w:rPr>
          <w:rFonts w:eastAsia="Calibri"/>
          <w:lang w:val="uk-UA" w:eastAsia="en-US"/>
        </w:rPr>
        <w:t xml:space="preserve">                           </w:t>
      </w:r>
      <w:r w:rsidRPr="003D242A">
        <w:rPr>
          <w:rFonts w:eastAsia="Calibri"/>
          <w:lang w:val="uk-UA" w:eastAsia="en-US"/>
        </w:rPr>
        <w:t xml:space="preserve">    Станіслав КОЛОМІЄЦЬ</w:t>
      </w:r>
    </w:p>
    <w:p w:rsidR="003D242A" w:rsidRPr="003D242A" w:rsidRDefault="003D242A" w:rsidP="003D242A">
      <w:pPr>
        <w:tabs>
          <w:tab w:val="left" w:pos="5245"/>
        </w:tabs>
        <w:rPr>
          <w:rFonts w:eastAsia="Calibri"/>
          <w:sz w:val="22"/>
          <w:szCs w:val="22"/>
          <w:lang w:val="uk-UA" w:eastAsia="en-US"/>
        </w:rPr>
      </w:pPr>
    </w:p>
    <w:p w:rsidR="003D242A" w:rsidRPr="003D242A" w:rsidRDefault="003D242A" w:rsidP="003D242A">
      <w:pPr>
        <w:tabs>
          <w:tab w:val="left" w:pos="5245"/>
        </w:tabs>
        <w:rPr>
          <w:rFonts w:eastAsia="Calibri"/>
          <w:sz w:val="20"/>
          <w:szCs w:val="20"/>
          <w:lang w:val="uk-UA" w:eastAsia="en-US"/>
        </w:rPr>
      </w:pPr>
      <w:r w:rsidRPr="003D242A">
        <w:rPr>
          <w:rFonts w:eastAsia="Calibri"/>
          <w:sz w:val="20"/>
          <w:szCs w:val="20"/>
          <w:lang w:val="uk-UA" w:eastAsia="en-US"/>
        </w:rPr>
        <w:t>Братко Юлія</w:t>
      </w:r>
    </w:p>
    <w:p w:rsidR="003D242A" w:rsidRPr="003D242A" w:rsidRDefault="003D242A" w:rsidP="003D242A">
      <w:pPr>
        <w:tabs>
          <w:tab w:val="left" w:pos="5245"/>
        </w:tabs>
        <w:rPr>
          <w:rFonts w:eastAsia="Calibri"/>
          <w:sz w:val="20"/>
          <w:szCs w:val="20"/>
          <w:lang w:val="uk-UA" w:eastAsia="en-US"/>
        </w:rPr>
      </w:pPr>
      <w:r w:rsidRPr="003D242A">
        <w:rPr>
          <w:rFonts w:eastAsia="Calibri"/>
          <w:sz w:val="20"/>
          <w:szCs w:val="20"/>
          <w:lang w:val="uk-UA" w:eastAsia="en-US"/>
        </w:rPr>
        <w:t>36-05-73</w:t>
      </w:r>
    </w:p>
    <w:p w:rsidR="003D242A" w:rsidRP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Pr="003D242A" w:rsidRDefault="003D242A" w:rsidP="003D242A">
      <w:pPr>
        <w:autoSpaceDE/>
        <w:adjustRightInd/>
        <w:rPr>
          <w:sz w:val="26"/>
          <w:szCs w:val="26"/>
          <w:lang w:val="uk-UA"/>
        </w:rPr>
      </w:pPr>
    </w:p>
    <w:p w:rsidR="003D242A" w:rsidRPr="003D242A" w:rsidRDefault="003D242A" w:rsidP="003D242A">
      <w:pPr>
        <w:ind w:left="-142" w:firstLine="710"/>
        <w:jc w:val="both"/>
        <w:rPr>
          <w:sz w:val="16"/>
          <w:szCs w:val="16"/>
          <w:lang w:val="uk-UA"/>
        </w:rPr>
      </w:pPr>
    </w:p>
    <w:p w:rsidR="003D242A" w:rsidRPr="003D242A" w:rsidRDefault="003D242A" w:rsidP="003D242A">
      <w:pPr>
        <w:ind w:left="-142" w:firstLine="710"/>
        <w:jc w:val="both"/>
        <w:rPr>
          <w:sz w:val="16"/>
          <w:szCs w:val="16"/>
          <w:lang w:val="uk-UA"/>
        </w:rPr>
      </w:pPr>
    </w:p>
    <w:p w:rsidR="00676DC5" w:rsidRDefault="00676DC5" w:rsidP="006F1A0A">
      <w:pPr>
        <w:autoSpaceDE/>
        <w:autoSpaceDN/>
        <w:adjustRightInd/>
        <w:ind w:left="6237" w:right="-1054"/>
        <w:jc w:val="both"/>
        <w:rPr>
          <w:sz w:val="26"/>
          <w:szCs w:val="26"/>
          <w:lang w:val="uk-UA"/>
        </w:rPr>
      </w:pPr>
    </w:p>
    <w:sectPr w:rsidR="00676DC5" w:rsidSect="002469B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B4426"/>
    <w:multiLevelType w:val="hybridMultilevel"/>
    <w:tmpl w:val="3D58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0953"/>
    <w:multiLevelType w:val="hybridMultilevel"/>
    <w:tmpl w:val="F9AA86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B7181"/>
    <w:multiLevelType w:val="hybridMultilevel"/>
    <w:tmpl w:val="C1D0E872"/>
    <w:lvl w:ilvl="0" w:tplc="FC18DAB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7B7E5F5A"/>
    <w:multiLevelType w:val="hybridMultilevel"/>
    <w:tmpl w:val="3D58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C8"/>
    <w:rsid w:val="0006663E"/>
    <w:rsid w:val="00097DDE"/>
    <w:rsid w:val="000C303A"/>
    <w:rsid w:val="000D3441"/>
    <w:rsid w:val="000E57D7"/>
    <w:rsid w:val="000F590F"/>
    <w:rsid w:val="00100577"/>
    <w:rsid w:val="001243B8"/>
    <w:rsid w:val="00125016"/>
    <w:rsid w:val="0015050B"/>
    <w:rsid w:val="001C22CE"/>
    <w:rsid w:val="001E6BA4"/>
    <w:rsid w:val="00237AD4"/>
    <w:rsid w:val="002469B3"/>
    <w:rsid w:val="00251B96"/>
    <w:rsid w:val="002527B1"/>
    <w:rsid w:val="00272535"/>
    <w:rsid w:val="002748B8"/>
    <w:rsid w:val="002978A4"/>
    <w:rsid w:val="002A64B9"/>
    <w:rsid w:val="002B3E05"/>
    <w:rsid w:val="002D4299"/>
    <w:rsid w:val="002D6716"/>
    <w:rsid w:val="00310092"/>
    <w:rsid w:val="00335EC1"/>
    <w:rsid w:val="003730CB"/>
    <w:rsid w:val="00376EB0"/>
    <w:rsid w:val="003D242A"/>
    <w:rsid w:val="00411762"/>
    <w:rsid w:val="004772E2"/>
    <w:rsid w:val="00482247"/>
    <w:rsid w:val="0051165C"/>
    <w:rsid w:val="00554F10"/>
    <w:rsid w:val="005756C8"/>
    <w:rsid w:val="005B2DB2"/>
    <w:rsid w:val="005B71B3"/>
    <w:rsid w:val="006116DF"/>
    <w:rsid w:val="00612D55"/>
    <w:rsid w:val="00617132"/>
    <w:rsid w:val="006220D9"/>
    <w:rsid w:val="00676DC5"/>
    <w:rsid w:val="006F1A0A"/>
    <w:rsid w:val="007132A3"/>
    <w:rsid w:val="0073343B"/>
    <w:rsid w:val="0074505D"/>
    <w:rsid w:val="0078150B"/>
    <w:rsid w:val="007B30DE"/>
    <w:rsid w:val="007B7E1E"/>
    <w:rsid w:val="007F193F"/>
    <w:rsid w:val="008001B8"/>
    <w:rsid w:val="00805633"/>
    <w:rsid w:val="00860516"/>
    <w:rsid w:val="0086066F"/>
    <w:rsid w:val="008A172D"/>
    <w:rsid w:val="008E67C9"/>
    <w:rsid w:val="00906C1D"/>
    <w:rsid w:val="009110C1"/>
    <w:rsid w:val="00912D23"/>
    <w:rsid w:val="0092246F"/>
    <w:rsid w:val="009420A0"/>
    <w:rsid w:val="00974555"/>
    <w:rsid w:val="00994EA8"/>
    <w:rsid w:val="00A0302F"/>
    <w:rsid w:val="00A21A74"/>
    <w:rsid w:val="00A32C86"/>
    <w:rsid w:val="00A76CFA"/>
    <w:rsid w:val="00AB51B9"/>
    <w:rsid w:val="00AC6865"/>
    <w:rsid w:val="00B529D6"/>
    <w:rsid w:val="00B76BC7"/>
    <w:rsid w:val="00BE1733"/>
    <w:rsid w:val="00C46418"/>
    <w:rsid w:val="00C8296A"/>
    <w:rsid w:val="00CC6895"/>
    <w:rsid w:val="00CF43B5"/>
    <w:rsid w:val="00D93CF2"/>
    <w:rsid w:val="00E458E6"/>
    <w:rsid w:val="00E46A3A"/>
    <w:rsid w:val="00E5453E"/>
    <w:rsid w:val="00E56281"/>
    <w:rsid w:val="00E93ACC"/>
    <w:rsid w:val="00EA15EF"/>
    <w:rsid w:val="00EB116E"/>
    <w:rsid w:val="00EB14E1"/>
    <w:rsid w:val="00EB34FC"/>
    <w:rsid w:val="00F12F98"/>
    <w:rsid w:val="00F30BC0"/>
    <w:rsid w:val="00F6421D"/>
    <w:rsid w:val="00FD5366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7B2FF-BEC2-4AD5-AB24-51889F41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5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3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220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a"/>
    <w:rsid w:val="006F1A0A"/>
    <w:pPr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6"/>
    <w:uiPriority w:val="39"/>
    <w:rsid w:val="0067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3D24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3D242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3D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av.in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9699</Words>
  <Characters>5529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Братко</dc:creator>
  <cp:keywords/>
  <dc:description/>
  <cp:lastModifiedBy>Учетная запись Майкрософт</cp:lastModifiedBy>
  <cp:revision>50</cp:revision>
  <cp:lastPrinted>2022-09-22T09:14:00Z</cp:lastPrinted>
  <dcterms:created xsi:type="dcterms:W3CDTF">2018-12-11T07:58:00Z</dcterms:created>
  <dcterms:modified xsi:type="dcterms:W3CDTF">2023-11-22T14:22:00Z</dcterms:modified>
</cp:coreProperties>
</file>