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7D09" w:rsidRDefault="00400C6E">
      <w:pPr>
        <w:pStyle w:val="a3"/>
        <w:jc w:val="center"/>
      </w:pPr>
      <w:r w:rsidRPr="00D77D09">
        <w:rPr>
          <w:noProof/>
        </w:rPr>
        <w:drawing>
          <wp:inline distT="0" distB="0" distL="0" distR="0">
            <wp:extent cx="666750" cy="914400"/>
            <wp:effectExtent l="19050" t="0" r="0" b="0"/>
            <wp:docPr id="1" name="Рисунок 1" descr="C:\Users\j.batchenko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batchenko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D77D09" w:rsidRDefault="00400C6E">
      <w:pPr>
        <w:pStyle w:val="a3"/>
        <w:jc w:val="center"/>
        <w:rPr>
          <w:sz w:val="27"/>
          <w:szCs w:val="27"/>
        </w:rPr>
      </w:pPr>
      <w:r w:rsidRPr="00D77D09">
        <w:rPr>
          <w:b/>
          <w:bCs/>
          <w:sz w:val="27"/>
          <w:szCs w:val="27"/>
        </w:rPr>
        <w:t>МІНІСТЕРСТВО ЮСТИЦІЇ УКРАЇНИ</w:t>
      </w:r>
    </w:p>
    <w:p w:rsidR="00000000" w:rsidRPr="00D77D09" w:rsidRDefault="00400C6E">
      <w:pPr>
        <w:pStyle w:val="2"/>
        <w:jc w:val="center"/>
        <w:rPr>
          <w:rFonts w:eastAsia="Times New Roman"/>
        </w:rPr>
      </w:pPr>
      <w:r w:rsidRPr="00D77D09">
        <w:rPr>
          <w:rFonts w:eastAsia="Times New Roman"/>
        </w:rPr>
        <w:t xml:space="preserve">НАКАЗ </w:t>
      </w:r>
    </w:p>
    <w:p w:rsidR="00000000" w:rsidRPr="00D77D09" w:rsidRDefault="00400C6E">
      <w:pPr>
        <w:pStyle w:val="a3"/>
        <w:jc w:val="center"/>
      </w:pPr>
      <w:r w:rsidRPr="00D77D09">
        <w:rPr>
          <w:b/>
          <w:bCs/>
        </w:rPr>
        <w:t>від 28 травня 2014 року N 846/5</w:t>
      </w:r>
    </w:p>
    <w:p w:rsidR="00000000" w:rsidRPr="00D77D09" w:rsidRDefault="00400C6E">
      <w:pPr>
        <w:pStyle w:val="2"/>
        <w:jc w:val="center"/>
        <w:rPr>
          <w:rFonts w:eastAsia="Times New Roman"/>
        </w:rPr>
      </w:pPr>
      <w:r w:rsidRPr="00D77D09">
        <w:rPr>
          <w:rFonts w:eastAsia="Times New Roman"/>
        </w:rPr>
        <w:t>Про систему обліку публічної інформації в Міністерстві юстиції України та його територіальних органах</w:t>
      </w:r>
    </w:p>
    <w:p w:rsidR="00000000" w:rsidRPr="00D77D09" w:rsidRDefault="00400C6E">
      <w:pPr>
        <w:pStyle w:val="a3"/>
        <w:jc w:val="center"/>
      </w:pPr>
      <w:r w:rsidRPr="00D77D09">
        <w:t xml:space="preserve">Із змінами і доповненнями, внесеними </w:t>
      </w:r>
      <w:r w:rsidRPr="00D77D09">
        <w:br/>
      </w:r>
      <w:r w:rsidRPr="00D77D09">
        <w:t>наказами Міністерства юстиції України </w:t>
      </w:r>
      <w:r w:rsidRPr="00D77D09">
        <w:br/>
        <w:t>від 24 червня 2014 року N 1018/5,</w:t>
      </w:r>
      <w:r w:rsidRPr="00D77D09">
        <w:br/>
        <w:t> від 9 грудня 2014 року N 2081/5,</w:t>
      </w:r>
      <w:r w:rsidRPr="00D77D09">
        <w:br/>
        <w:t> від 27 березня 2015 року N 443/5,</w:t>
      </w:r>
      <w:r w:rsidRPr="00D77D09">
        <w:br/>
        <w:t> від 28 квітня 2015 року N 613/5,</w:t>
      </w:r>
      <w:r w:rsidRPr="00D77D09">
        <w:br/>
        <w:t> від 25 лютого 2016 року N 550/5,</w:t>
      </w:r>
      <w:r w:rsidRPr="00D77D09">
        <w:br/>
        <w:t>від 27 листопада 2017 року N 3800/5,</w:t>
      </w:r>
      <w:r w:rsidRPr="00D77D09">
        <w:br/>
        <w:t>від 13 че</w:t>
      </w:r>
      <w:r w:rsidRPr="00D77D09">
        <w:t>рвня 2018 року N 1839/5,</w:t>
      </w:r>
      <w:r w:rsidRPr="00D77D09">
        <w:br/>
        <w:t>від 27 липня 2021 року N 2666/5,</w:t>
      </w:r>
      <w:r w:rsidRPr="00D77D09">
        <w:br/>
        <w:t>від 15 лютого 2023 року N 621/5</w:t>
      </w:r>
    </w:p>
    <w:tbl>
      <w:tblPr>
        <w:tblW w:w="3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4"/>
      </w:tblGrid>
      <w:tr w:rsidR="00000000" w:rsidRPr="00D77D09">
        <w:trPr>
          <w:tblCellSpacing w:w="22" w:type="dxa"/>
          <w:jc w:val="center"/>
        </w:trPr>
        <w:tc>
          <w:tcPr>
            <w:tcW w:w="0" w:type="auto"/>
            <w:hideMark/>
          </w:tcPr>
          <w:p w:rsidR="00000000" w:rsidRPr="00D77D09" w:rsidRDefault="00400C6E">
            <w:pPr>
              <w:pStyle w:val="a3"/>
              <w:jc w:val="both"/>
            </w:pPr>
            <w:r w:rsidRPr="00D77D09">
              <w:t>(У тексті наказу слова "головне управління" в усіх відмінках і числах замінено словами "головне територіальне управління" у відповідних відмінках і числах згідно з</w:t>
            </w:r>
            <w:r w:rsidRPr="00D77D09">
              <w:t xml:space="preserve"> наказом Міністерства юстиції України від 28 квітня 2015 року N 613/5)</w:t>
            </w:r>
          </w:p>
        </w:tc>
      </w:tr>
    </w:tbl>
    <w:p w:rsidR="00000000" w:rsidRPr="00D77D09" w:rsidRDefault="00400C6E">
      <w:pPr>
        <w:pStyle w:val="a3"/>
        <w:jc w:val="center"/>
      </w:pPr>
      <w:r w:rsidRPr="00D77D09">
        <w:br w:type="textWrapping" w:clear="all"/>
      </w:r>
    </w:p>
    <w:tbl>
      <w:tblPr>
        <w:tblW w:w="3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4"/>
      </w:tblGrid>
      <w:tr w:rsidR="00000000" w:rsidRPr="00D77D09">
        <w:trPr>
          <w:tblCellSpacing w:w="22" w:type="dxa"/>
          <w:jc w:val="center"/>
        </w:trPr>
        <w:tc>
          <w:tcPr>
            <w:tcW w:w="0" w:type="auto"/>
            <w:hideMark/>
          </w:tcPr>
          <w:p w:rsidR="00000000" w:rsidRPr="00D77D09" w:rsidRDefault="00400C6E">
            <w:pPr>
              <w:pStyle w:val="a3"/>
              <w:jc w:val="both"/>
            </w:pPr>
            <w:r w:rsidRPr="00D77D09">
              <w:t xml:space="preserve">(У тексті наказу слова "головне територіальне управління юстиції" в усіх відмінках і числах замінено словами "міжрегіональне управління Міністерства юстиції України" у відповідних </w:t>
            </w:r>
            <w:r w:rsidRPr="00D77D09">
              <w:t>відмінках і числах згідно з наказом Міністерства юстиції України від 27 липня 2021 року N 2666/5)</w:t>
            </w:r>
          </w:p>
        </w:tc>
      </w:tr>
    </w:tbl>
    <w:p w:rsidR="00000000" w:rsidRPr="00D77D09" w:rsidRDefault="00400C6E">
      <w:pPr>
        <w:pStyle w:val="a3"/>
        <w:jc w:val="center"/>
      </w:pPr>
      <w:r w:rsidRPr="00D77D09">
        <w:br w:type="textWrapping" w:clear="all"/>
      </w:r>
    </w:p>
    <w:p w:rsidR="00000000" w:rsidRPr="00D77D09" w:rsidRDefault="00400C6E">
      <w:pPr>
        <w:pStyle w:val="a3"/>
        <w:jc w:val="both"/>
      </w:pPr>
      <w:r w:rsidRPr="00D77D09">
        <w:t xml:space="preserve">Відповідно до </w:t>
      </w:r>
      <w:r w:rsidRPr="00D77D09">
        <w:t>статті 18 Закону України "Про доступ до публічної інформації"</w:t>
      </w:r>
      <w:r w:rsidRPr="00D77D09">
        <w:t xml:space="preserve">, </w:t>
      </w:r>
      <w:r w:rsidRPr="00D77D09">
        <w:t>постанови Кабінету Міністрів України від 21 листопада 2011 року N 1277 "Питання</w:t>
      </w:r>
      <w:r w:rsidRPr="00D77D09">
        <w:t xml:space="preserve"> системи обліку публічної інформації"</w:t>
      </w:r>
      <w:r w:rsidRPr="00D77D09">
        <w:t xml:space="preserve"> та з метою забезпечення права кожного на доступ до інформації, що знаходиться у володінні Міністерства юстиції України та його територіальних органів, </w:t>
      </w:r>
      <w:r w:rsidRPr="00D77D09">
        <w:rPr>
          <w:b/>
          <w:bCs/>
        </w:rPr>
        <w:t>наказую</w:t>
      </w:r>
      <w:r w:rsidRPr="00D77D09">
        <w:t>:</w:t>
      </w:r>
    </w:p>
    <w:p w:rsidR="00000000" w:rsidRPr="00D77D09" w:rsidRDefault="00400C6E">
      <w:pPr>
        <w:pStyle w:val="a3"/>
        <w:jc w:val="both"/>
      </w:pPr>
      <w:r w:rsidRPr="00D77D09">
        <w:lastRenderedPageBreak/>
        <w:t>1. Запровадити ведення автоматизованої інформаційно-пошуко</w:t>
      </w:r>
      <w:r w:rsidRPr="00D77D09">
        <w:t>вої системи "Доступ до публічної інформації Міністерства юстиції України та його територіальних органів" (далі - Система обліку), програмний комплекс якої розроблено державним підприємством "Українська правова інформація", в Міністерстві юстиції України та</w:t>
      </w:r>
      <w:r w:rsidRPr="00D77D09">
        <w:t xml:space="preserve"> міжрегіональних управлінь Міністерства юстиції України.</w:t>
      </w:r>
    </w:p>
    <w:p w:rsidR="00000000" w:rsidRPr="00D77D09" w:rsidRDefault="00400C6E">
      <w:pPr>
        <w:pStyle w:val="a3"/>
        <w:jc w:val="both"/>
      </w:pPr>
      <w:r w:rsidRPr="00D77D09">
        <w:t>2. Покласти персональну відповідальність за своєчасну реєстрацію в Системі обліку документів, що містять інформацію, розпорядником якої є Міністерство юстиції України, міжрегіональні управління Мініс</w:t>
      </w:r>
      <w:r w:rsidRPr="00D77D09">
        <w:t>терства юстиції України, на керівників структурних підрозділів Міністерства юстиції України (директорів департаментів, генеральних директорів директоратів, керівників експертних груп, начальників управлінь, начальників відділів, завідувачів секторів), нача</w:t>
      </w:r>
      <w:r w:rsidRPr="00D77D09">
        <w:t>льників міжрегіональних управлінь Міністерства юстиції України.</w:t>
      </w:r>
    </w:p>
    <w:p w:rsidR="00000000" w:rsidRPr="00D77D09" w:rsidRDefault="00400C6E">
      <w:pPr>
        <w:pStyle w:val="a3"/>
        <w:jc w:val="right"/>
      </w:pPr>
      <w:r w:rsidRPr="00D77D09">
        <w:t>(пункт 2 із змінами, внесеними згідно з наказом</w:t>
      </w:r>
      <w:r w:rsidRPr="00D77D09">
        <w:br/>
        <w:t> Міністерства юстиції України від 27.07.2021 р. N 2666/5)</w:t>
      </w:r>
    </w:p>
    <w:p w:rsidR="00000000" w:rsidRPr="00D77D09" w:rsidRDefault="00400C6E">
      <w:pPr>
        <w:pStyle w:val="a3"/>
        <w:jc w:val="both"/>
      </w:pPr>
      <w:r w:rsidRPr="00D77D09">
        <w:t>3. Визначити відповідальними за своєчасну реєстрацію в Системі обліку документів, що м</w:t>
      </w:r>
      <w:r w:rsidRPr="00D77D09">
        <w:t>істять інформацію, розпорядником якої є Міністерство юстиції України, відповідно до Примірного переліку видів публічної інформації, розпорядником якої є Міністерство юстиції України, затвердженого Міністерством юстиції України (далі - Перелік видів публічн</w:t>
      </w:r>
      <w:r w:rsidRPr="00D77D09">
        <w:t>ої інформації), структурні підрозділи Міністерства юстиції України згідно з додатком.</w:t>
      </w:r>
    </w:p>
    <w:p w:rsidR="00000000" w:rsidRPr="00D77D09" w:rsidRDefault="00400C6E">
      <w:pPr>
        <w:pStyle w:val="a3"/>
        <w:jc w:val="right"/>
      </w:pPr>
      <w:r w:rsidRPr="00D77D09">
        <w:t>(пункт 3 із змінами, внесеними згідно з наказом</w:t>
      </w:r>
      <w:r w:rsidRPr="00D77D09">
        <w:br/>
        <w:t> Міністерства юстиції України від 27.03.2015 р. N 443/5,</w:t>
      </w:r>
      <w:r w:rsidRPr="00D77D09">
        <w:br/>
        <w:t>у редакції наказу Міністерства</w:t>
      </w:r>
      <w:r w:rsidRPr="00D77D09">
        <w:br/>
        <w:t> </w:t>
      </w:r>
      <w:r w:rsidRPr="00D77D09">
        <w:t>юстиції України від 27.07.2021 р. N 2666/5)</w:t>
      </w:r>
    </w:p>
    <w:p w:rsidR="00000000" w:rsidRPr="00D77D09" w:rsidRDefault="00400C6E">
      <w:pPr>
        <w:pStyle w:val="a3"/>
        <w:jc w:val="both"/>
      </w:pPr>
      <w:r w:rsidRPr="00D77D09">
        <w:t>4. Керівникам структурних підрозділів Міністерства юстиції України:</w:t>
      </w:r>
    </w:p>
    <w:p w:rsidR="00000000" w:rsidRPr="00D77D09" w:rsidRDefault="00400C6E">
      <w:pPr>
        <w:pStyle w:val="a3"/>
        <w:jc w:val="both"/>
      </w:pPr>
      <w:r w:rsidRPr="00D77D09">
        <w:t>• у кожному відділі/секторі визначити посадових осіб, відповідальних за реєстрацію в Системі обліку документів, що містять інформацію, розпорядн</w:t>
      </w:r>
      <w:r w:rsidRPr="00D77D09">
        <w:t>иком якої є Міністерство юстиції України, та в тижневий строк надати ці відомості, а також відомості про місцезнаходження (адресу, номер кімнати) та телефони цих посадових осіб до Управління систематизації законодавства Департаменту реєстрації та системати</w:t>
      </w:r>
      <w:r w:rsidRPr="00D77D09">
        <w:t>зації правових актів (далі - Управління систематизації законодавства);</w:t>
      </w:r>
    </w:p>
    <w:p w:rsidR="00000000" w:rsidRPr="00D77D09" w:rsidRDefault="00400C6E">
      <w:pPr>
        <w:pStyle w:val="a3"/>
        <w:jc w:val="right"/>
      </w:pPr>
      <w:r w:rsidRPr="00D77D09">
        <w:t>(абзац другий пункту 4 із змінами, внесеними згідно з наказами</w:t>
      </w:r>
      <w:r w:rsidRPr="00D77D09">
        <w:br/>
        <w:t> Міністерства юстиції України від 27.11.2017 р. N 3800/5,</w:t>
      </w:r>
      <w:r w:rsidRPr="00D77D09">
        <w:br/>
        <w:t>від 27.07.2021 р. N 2666/5)</w:t>
      </w:r>
    </w:p>
    <w:p w:rsidR="00000000" w:rsidRPr="00D77D09" w:rsidRDefault="00400C6E">
      <w:pPr>
        <w:pStyle w:val="a3"/>
        <w:jc w:val="both"/>
      </w:pPr>
      <w:r w:rsidRPr="00D77D09">
        <w:t>• забезпечити оперативну (не пізніше</w:t>
      </w:r>
      <w:r w:rsidRPr="00D77D09">
        <w:t xml:space="preserve"> п'яти робочих днів з дня затвердження документа) реєстрацію в Системі обліку документів, що містять інформацію, розпорядником якої є Міністерство юстиції України, відповідно до </w:t>
      </w:r>
      <w:r w:rsidRPr="00D77D09">
        <w:t>Примірного переліку видів публічної інформації</w:t>
      </w:r>
      <w:r w:rsidRPr="00D77D09">
        <w:t>;</w:t>
      </w:r>
    </w:p>
    <w:p w:rsidR="00000000" w:rsidRPr="00D77D09" w:rsidRDefault="00400C6E">
      <w:pPr>
        <w:pStyle w:val="a3"/>
        <w:jc w:val="right"/>
      </w:pPr>
      <w:r w:rsidRPr="00D77D09">
        <w:t>(абзац третій пункту 4 із змін</w:t>
      </w:r>
      <w:r w:rsidRPr="00D77D09">
        <w:t>ами, внесеними згідно з наказами</w:t>
      </w:r>
      <w:r w:rsidRPr="00D77D09">
        <w:br/>
        <w:t> Міністерства юстиції України від 27.03.2015 р. N 443/5,</w:t>
      </w:r>
      <w:r w:rsidRPr="00D77D09">
        <w:br/>
        <w:t>від 27.11.2017 р. N 3800/5)</w:t>
      </w:r>
    </w:p>
    <w:p w:rsidR="00000000" w:rsidRPr="00D77D09" w:rsidRDefault="00400C6E">
      <w:pPr>
        <w:pStyle w:val="a3"/>
        <w:jc w:val="both"/>
      </w:pPr>
      <w:r w:rsidRPr="00D77D09">
        <w:t>• до 30 червня 2014 року забезпечити реєстрацію в Системі обліку документів, що містять інформацію, розпорядником якої є Міністерство юсти</w:t>
      </w:r>
      <w:r w:rsidRPr="00D77D09">
        <w:t>ції України, за період з 10 травня 2011 року;</w:t>
      </w:r>
    </w:p>
    <w:p w:rsidR="00000000" w:rsidRPr="00D77D09" w:rsidRDefault="00400C6E">
      <w:pPr>
        <w:pStyle w:val="a3"/>
        <w:jc w:val="both"/>
      </w:pPr>
      <w:r w:rsidRPr="00D77D09">
        <w:lastRenderedPageBreak/>
        <w:t>• до 14 липня 2014 року надати інформацію про виконання зазначених заходів до Управління систематизації законодавства на паперових та електронних носіях (public_info@minjust.gov.ua, тел.: (044) 279-68-58);</w:t>
      </w:r>
    </w:p>
    <w:p w:rsidR="00000000" w:rsidRPr="00D77D09" w:rsidRDefault="00400C6E">
      <w:pPr>
        <w:pStyle w:val="a3"/>
        <w:jc w:val="both"/>
      </w:pPr>
      <w:r w:rsidRPr="00D77D09">
        <w:t>• пр</w:t>
      </w:r>
      <w:r w:rsidRPr="00D77D09">
        <w:t xml:space="preserve">и необхідності своєчасно надавати пропозиції до Управління систематизації законодавства про внесення змін до </w:t>
      </w:r>
      <w:r w:rsidRPr="00D77D09">
        <w:t>Примірного переліку видів публічної інформації</w:t>
      </w:r>
      <w:r w:rsidRPr="00D77D09">
        <w:t xml:space="preserve"> та переліку документів, які містять інформацію, розпорядником якої є Міністерство юстиції України, щ</w:t>
      </w:r>
      <w:r w:rsidRPr="00D77D09">
        <w:t>о створюються в структурному підрозділі.</w:t>
      </w:r>
    </w:p>
    <w:p w:rsidR="00000000" w:rsidRPr="00D77D09" w:rsidRDefault="00400C6E">
      <w:pPr>
        <w:pStyle w:val="a3"/>
        <w:jc w:val="right"/>
      </w:pPr>
      <w:r w:rsidRPr="00D77D09">
        <w:t>(абзац шостий пункту 4 із змінами, внесеними згідно з наказом</w:t>
      </w:r>
      <w:r w:rsidRPr="00D77D09">
        <w:br/>
        <w:t> Міністерства юстиції України від 27.03.2015 р. N 443/5)</w:t>
      </w:r>
    </w:p>
    <w:p w:rsidR="00000000" w:rsidRPr="00D77D09" w:rsidRDefault="00400C6E">
      <w:pPr>
        <w:pStyle w:val="a3"/>
        <w:jc w:val="both"/>
      </w:pPr>
      <w:r w:rsidRPr="00D77D09">
        <w:t>5. Начальнику управління забезпечення та документообігу Воловику М.:</w:t>
      </w:r>
    </w:p>
    <w:p w:rsidR="00000000" w:rsidRPr="00D77D09" w:rsidRDefault="00400C6E">
      <w:pPr>
        <w:pStyle w:val="a3"/>
        <w:jc w:val="right"/>
      </w:pPr>
      <w:r w:rsidRPr="00D77D09">
        <w:t>(абзац перший пункту 5 із з</w:t>
      </w:r>
      <w:r w:rsidRPr="00D77D09">
        <w:t>мінами, внесеними згідно з наказами</w:t>
      </w:r>
      <w:r w:rsidRPr="00D77D09">
        <w:br/>
        <w:t> Міністерства юстиції України від 27.11.2017 р. N 3800/5,</w:t>
      </w:r>
      <w:r w:rsidRPr="00D77D09">
        <w:br/>
        <w:t>від 27.07.2021 р. N 2666/5)</w:t>
      </w:r>
    </w:p>
    <w:p w:rsidR="00000000" w:rsidRPr="00D77D09" w:rsidRDefault="00400C6E">
      <w:pPr>
        <w:pStyle w:val="a3"/>
        <w:jc w:val="both"/>
      </w:pPr>
      <w:r w:rsidRPr="00D77D09">
        <w:t>• забезпечити налаштування комп'ютерів посадових осіб, відповідальних за реєстрацію в Системі обліку документів, що містять інформацію</w:t>
      </w:r>
      <w:r w:rsidRPr="00D77D09">
        <w:t>, розпорядником якої є Міністерство юстиції України, згідно з відомостями, наданими Управлінням систематизації законодавства.</w:t>
      </w:r>
    </w:p>
    <w:p w:rsidR="00000000" w:rsidRPr="00D77D09" w:rsidRDefault="00400C6E">
      <w:pPr>
        <w:pStyle w:val="a3"/>
        <w:jc w:val="both"/>
      </w:pPr>
      <w:r w:rsidRPr="00D77D09">
        <w:t>6. Пункт 6 виключено</w:t>
      </w:r>
    </w:p>
    <w:p w:rsidR="00000000" w:rsidRPr="00D77D09" w:rsidRDefault="00400C6E">
      <w:pPr>
        <w:pStyle w:val="a3"/>
        <w:jc w:val="right"/>
      </w:pPr>
      <w:r w:rsidRPr="00D77D09">
        <w:t xml:space="preserve">(згідно з наказом Міністерства юстиції </w:t>
      </w:r>
      <w:r w:rsidRPr="00D77D09">
        <w:br/>
        <w:t xml:space="preserve">України від 09.12.2014 р. N 2081/5, </w:t>
      </w:r>
      <w:r w:rsidRPr="00D77D09">
        <w:br/>
        <w:t xml:space="preserve">у зв'язку з цим пункти 7 - 9 </w:t>
      </w:r>
      <w:r w:rsidRPr="00D77D09">
        <w:br/>
        <w:t>вв</w:t>
      </w:r>
      <w:r w:rsidRPr="00D77D09">
        <w:t>ажати відповідно пунктами 6 - 8)</w:t>
      </w:r>
    </w:p>
    <w:p w:rsidR="00000000" w:rsidRPr="00D77D09" w:rsidRDefault="00400C6E">
      <w:pPr>
        <w:pStyle w:val="a3"/>
        <w:jc w:val="both"/>
      </w:pPr>
      <w:r w:rsidRPr="00D77D09">
        <w:t>6. Начальникам міжрегіональних управлінь Міністерства юстиції України:</w:t>
      </w:r>
    </w:p>
    <w:p w:rsidR="00000000" w:rsidRPr="00D77D09" w:rsidRDefault="00400C6E">
      <w:pPr>
        <w:pStyle w:val="a3"/>
        <w:jc w:val="both"/>
      </w:pPr>
      <w:r w:rsidRPr="00D77D09">
        <w:t>• визначити посадових осіб, відповідальних за організацію робіт із запровадження та ведення Системи обліку, і посадових осіб, відповідальних за реєстрац</w:t>
      </w:r>
      <w:r w:rsidRPr="00D77D09">
        <w:t>ію в Системі обліку документів, що містять інформацію, розпорядником якої є міжрегіональне управління Міністерства юстиції України;</w:t>
      </w:r>
    </w:p>
    <w:p w:rsidR="00000000" w:rsidRPr="00D77D09" w:rsidRDefault="00400C6E">
      <w:pPr>
        <w:pStyle w:val="a3"/>
        <w:jc w:val="both"/>
      </w:pPr>
      <w:r w:rsidRPr="00D77D09">
        <w:t xml:space="preserve">• забезпечити налаштування комп'ютерів посадових осіб, відповідальних за реєстрацію в Системі обліку документів, що містять </w:t>
      </w:r>
      <w:r w:rsidRPr="00D77D09">
        <w:t>інформацію, розпорядником якої є міжрегіональне управління Міністерства юстиції України, згідно з Інструкцією з використання програмного забезпечення АІПС "Доступ до публічної інформації Міністерства юстиції України та його територіальних органів", розробл</w:t>
      </w:r>
      <w:r w:rsidRPr="00D77D09">
        <w:t>еною державним підприємством "Українська правова інформація";</w:t>
      </w:r>
    </w:p>
    <w:p w:rsidR="00000000" w:rsidRPr="00D77D09" w:rsidRDefault="00400C6E">
      <w:pPr>
        <w:pStyle w:val="a3"/>
        <w:jc w:val="both"/>
      </w:pPr>
      <w:r w:rsidRPr="00D77D09">
        <w:t>• забезпечити оперативну (не пізніше п'яти робочих днів з дня затвердження документа) реєстрацію в Системі обліку документів, що містять інформацію, розпорядником якої є головне територіальне уп</w:t>
      </w:r>
      <w:r w:rsidRPr="00D77D09">
        <w:t>равління;</w:t>
      </w:r>
    </w:p>
    <w:p w:rsidR="00000000" w:rsidRPr="00D77D09" w:rsidRDefault="00400C6E">
      <w:pPr>
        <w:pStyle w:val="a3"/>
        <w:jc w:val="right"/>
      </w:pPr>
      <w:r w:rsidRPr="00D77D09">
        <w:t>(абзац четвертий пункту 6 із змінами, внесеними згідно з наказом</w:t>
      </w:r>
      <w:r w:rsidRPr="00D77D09">
        <w:br/>
        <w:t> Міністерства юстиції України від 27.11.2017 р. N 3800/5)</w:t>
      </w:r>
    </w:p>
    <w:p w:rsidR="00000000" w:rsidRPr="00D77D09" w:rsidRDefault="00400C6E">
      <w:pPr>
        <w:pStyle w:val="a3"/>
        <w:jc w:val="both"/>
      </w:pPr>
      <w:r w:rsidRPr="00D77D09">
        <w:t>• до 30 червня 2014 року забезпечити реєстрацію в Системі обліку документів, що містять інформацію, розпорядником якої є мі</w:t>
      </w:r>
      <w:r w:rsidRPr="00D77D09">
        <w:t xml:space="preserve">жрегіональне управління Міністерства юстиції України, за період з 10 травня 2011 року, а також наказів міжрегіональних управлінь Міністерства </w:t>
      </w:r>
      <w:r w:rsidRPr="00D77D09">
        <w:lastRenderedPageBreak/>
        <w:t>юстиції України, що є нормативно-правовими актами та не втратили чинність станом на 10 травня 2011 року;</w:t>
      </w:r>
    </w:p>
    <w:p w:rsidR="00000000" w:rsidRPr="00D77D09" w:rsidRDefault="00400C6E">
      <w:pPr>
        <w:pStyle w:val="a3"/>
        <w:jc w:val="both"/>
      </w:pPr>
      <w:r w:rsidRPr="00D77D09">
        <w:t>• розміст</w:t>
      </w:r>
      <w:r w:rsidRPr="00D77D09">
        <w:t>ити посилання на Систему обліку на власному веб-сайті в рубриці доступу до публічної інформації;</w:t>
      </w:r>
    </w:p>
    <w:p w:rsidR="00000000" w:rsidRPr="00D77D09" w:rsidRDefault="00400C6E">
      <w:pPr>
        <w:pStyle w:val="a3"/>
        <w:jc w:val="both"/>
      </w:pPr>
      <w:r w:rsidRPr="00D77D09">
        <w:t>• до 14 липня 2014 року надати інформацію до Управління систематизації законодавства на паперових та електронних носіях (public_info@minjust.gov.ua, тел.: (044</w:t>
      </w:r>
      <w:r w:rsidRPr="00D77D09">
        <w:t>) 279-68-58) про виконання зазначених заходів.</w:t>
      </w:r>
    </w:p>
    <w:p w:rsidR="00000000" w:rsidRPr="00D77D09" w:rsidRDefault="00400C6E">
      <w:pPr>
        <w:pStyle w:val="a3"/>
        <w:jc w:val="both"/>
      </w:pPr>
      <w:r w:rsidRPr="00D77D09">
        <w:t>7. Державному підприємству "Національні інформаційні системи" вжити заходів щодо:</w:t>
      </w:r>
    </w:p>
    <w:p w:rsidR="00000000" w:rsidRPr="00D77D09" w:rsidRDefault="00400C6E">
      <w:pPr>
        <w:pStyle w:val="a3"/>
        <w:jc w:val="right"/>
      </w:pPr>
      <w:r w:rsidRPr="00D77D09">
        <w:t>(абзац перший пункту 7 із змінами, внесеними згідно з</w:t>
      </w:r>
      <w:r w:rsidRPr="00D77D09">
        <w:br/>
        <w:t> наказом Міністерства юстиції України від 25.02.2016 р. N 550/5)</w:t>
      </w:r>
    </w:p>
    <w:p w:rsidR="00000000" w:rsidRPr="00D77D09" w:rsidRDefault="00400C6E">
      <w:pPr>
        <w:pStyle w:val="a3"/>
        <w:jc w:val="both"/>
      </w:pPr>
      <w:r w:rsidRPr="00D77D09">
        <w:t>супровод</w:t>
      </w:r>
      <w:r w:rsidRPr="00D77D09">
        <w:t>ження та технічного обслуговування програмного комплексу Системи обліку, автоматичного оновлення інформації в Системі обліку;</w:t>
      </w:r>
    </w:p>
    <w:p w:rsidR="00000000" w:rsidRPr="00D77D09" w:rsidRDefault="00400C6E">
      <w:pPr>
        <w:pStyle w:val="a3"/>
        <w:jc w:val="both"/>
      </w:pPr>
      <w:r w:rsidRPr="00D77D09">
        <w:t>надійного та якісного функціонування Системи обліку, забезпечення цілісності документів у Системі обліку, якості зв'язку Системи о</w:t>
      </w:r>
      <w:r w:rsidRPr="00D77D09">
        <w:t>бліку з сервером, можливості розміщення Системи обліку на веб-сайті та доступу користувачів до Системи обліку через веб-інтерфейс, надійності пошуку документів у Системі обліку за заданими параметрами;</w:t>
      </w:r>
    </w:p>
    <w:p w:rsidR="00000000" w:rsidRPr="00D77D09" w:rsidRDefault="00400C6E">
      <w:pPr>
        <w:pStyle w:val="a3"/>
        <w:jc w:val="both"/>
      </w:pPr>
      <w:r w:rsidRPr="00D77D09">
        <w:t>захисту інформації в Системі обліку шляхом створення к</w:t>
      </w:r>
      <w:r w:rsidRPr="00D77D09">
        <w:t>омплексної системи захисту інформації з підтвердженою відповідністю;</w:t>
      </w:r>
    </w:p>
    <w:p w:rsidR="00000000" w:rsidRPr="00D77D09" w:rsidRDefault="00400C6E">
      <w:pPr>
        <w:pStyle w:val="a3"/>
        <w:jc w:val="both"/>
      </w:pPr>
      <w:r w:rsidRPr="00D77D09">
        <w:t>реєстрації користувачів у Системі обліку, внесення змін до облікових записів користувачів, видалення (блокування, анулювання) та зміни статусу користувачів за відповідними поданнями (заявками) структурних підрозділів Міністерства юстиції України, а також у</w:t>
      </w:r>
      <w:r w:rsidRPr="00D77D09">
        <w:t xml:space="preserve"> випадках, передбачених законодавством;</w:t>
      </w:r>
    </w:p>
    <w:p w:rsidR="00000000" w:rsidRPr="00D77D09" w:rsidRDefault="00400C6E">
      <w:pPr>
        <w:pStyle w:val="a3"/>
        <w:jc w:val="right"/>
      </w:pPr>
      <w:r w:rsidRPr="00D77D09">
        <w:t>(пункт 7 доповнено новим абзацом п'ятим згідно з</w:t>
      </w:r>
      <w:r w:rsidRPr="00D77D09">
        <w:br/>
        <w:t> наказом Міністерства юстиції України від 27.07.2021 р. N 2666/5,</w:t>
      </w:r>
      <w:r w:rsidRPr="00D77D09">
        <w:br/>
        <w:t>у зв'язку з цим абзаци п'ятий, шостий вважати абзацами шостим, сьомим)</w:t>
      </w:r>
    </w:p>
    <w:p w:rsidR="00000000" w:rsidRPr="00D77D09" w:rsidRDefault="00400C6E">
      <w:pPr>
        <w:pStyle w:val="a3"/>
        <w:jc w:val="both"/>
      </w:pPr>
      <w:r w:rsidRPr="00D77D09">
        <w:t>консультування з питань реєстр</w:t>
      </w:r>
      <w:r w:rsidRPr="00D77D09">
        <w:t>ації в Системі обліку документів, що містять інформацію, розпорядником якої є Міністерство юстиції України, міжрегіональні управління Міністерства юстиції України, та доступу користувачів до Системи обліку;</w:t>
      </w:r>
    </w:p>
    <w:p w:rsidR="00000000" w:rsidRPr="00D77D09" w:rsidRDefault="00400C6E">
      <w:pPr>
        <w:pStyle w:val="a3"/>
        <w:jc w:val="both"/>
      </w:pPr>
      <w:r w:rsidRPr="00D77D09">
        <w:t>погодження питань щодо організації зазначених роб</w:t>
      </w:r>
      <w:r w:rsidRPr="00D77D09">
        <w:t>іт із Департаментом реєстрації та систематизації правових актів та Управлінням забезпечення та документообігу.</w:t>
      </w:r>
    </w:p>
    <w:p w:rsidR="00000000" w:rsidRPr="00D77D09" w:rsidRDefault="00400C6E">
      <w:pPr>
        <w:pStyle w:val="a3"/>
        <w:jc w:val="right"/>
      </w:pPr>
      <w:r w:rsidRPr="00D77D09">
        <w:t>(пункт 7 у редакції наказу Міністерства</w:t>
      </w:r>
      <w:r w:rsidRPr="00D77D09">
        <w:br/>
        <w:t> юстиції України від 09.12.2014 р. N 2081/5,</w:t>
      </w:r>
      <w:r w:rsidRPr="00D77D09">
        <w:br/>
        <w:t>абзац сьомий пункту 7 із змінами, внесеними згідно з наказам</w:t>
      </w:r>
      <w:r w:rsidRPr="00D77D09">
        <w:t>и</w:t>
      </w:r>
      <w:r w:rsidRPr="00D77D09">
        <w:br/>
        <w:t> Міністерства юстиції України від 27.11.2017 р. N 3800/5,</w:t>
      </w:r>
      <w:r w:rsidRPr="00D77D09">
        <w:br/>
        <w:t>від 27.07.2021 р. N 2666/5)</w:t>
      </w:r>
    </w:p>
    <w:p w:rsidR="00000000" w:rsidRPr="00D77D09" w:rsidRDefault="00400C6E">
      <w:pPr>
        <w:pStyle w:val="a3"/>
        <w:jc w:val="both"/>
      </w:pPr>
      <w:r w:rsidRPr="00D77D09">
        <w:t>8. Контроль за виконанням цього наказу покласти на заступника Міністра Бондарчука І. В.</w:t>
      </w:r>
    </w:p>
    <w:p w:rsidR="00000000" w:rsidRPr="00D77D09" w:rsidRDefault="00400C6E">
      <w:pPr>
        <w:pStyle w:val="a3"/>
        <w:jc w:val="both"/>
      </w:pPr>
      <w:r w:rsidRPr="00D77D09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93"/>
        <w:gridCol w:w="4894"/>
      </w:tblGrid>
      <w:tr w:rsidR="00000000" w:rsidRPr="00D77D09">
        <w:trPr>
          <w:tblCellSpacing w:w="22" w:type="dxa"/>
        </w:trPr>
        <w:tc>
          <w:tcPr>
            <w:tcW w:w="2500" w:type="pct"/>
            <w:hideMark/>
          </w:tcPr>
          <w:p w:rsidR="00000000" w:rsidRPr="00D77D09" w:rsidRDefault="00400C6E">
            <w:pPr>
              <w:pStyle w:val="a3"/>
              <w:jc w:val="center"/>
            </w:pPr>
            <w:r w:rsidRPr="00D77D09">
              <w:rPr>
                <w:b/>
                <w:bCs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000000" w:rsidRPr="00D77D09" w:rsidRDefault="00400C6E">
            <w:pPr>
              <w:pStyle w:val="a3"/>
              <w:jc w:val="center"/>
            </w:pPr>
            <w:r w:rsidRPr="00D77D09">
              <w:rPr>
                <w:b/>
                <w:bCs/>
              </w:rPr>
              <w:t>П. Петренко</w:t>
            </w:r>
          </w:p>
        </w:tc>
      </w:tr>
    </w:tbl>
    <w:p w:rsidR="00000000" w:rsidRPr="00D77D09" w:rsidRDefault="00400C6E">
      <w:pPr>
        <w:pStyle w:val="a3"/>
        <w:jc w:val="both"/>
      </w:pPr>
      <w:r w:rsidRPr="00D77D09">
        <w:lastRenderedPageBreak/>
        <w:br w:type="textWrapping" w:clear="all"/>
      </w:r>
    </w:p>
    <w:p w:rsidR="00000000" w:rsidRPr="00D77D09" w:rsidRDefault="00400C6E">
      <w:pPr>
        <w:pStyle w:val="a3"/>
        <w:jc w:val="both"/>
      </w:pPr>
      <w:r w:rsidRPr="00D77D09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4"/>
      </w:tblGrid>
      <w:tr w:rsidR="00000000" w:rsidRPr="00D77D09">
        <w:trPr>
          <w:tblCellSpacing w:w="22" w:type="dxa"/>
        </w:trPr>
        <w:tc>
          <w:tcPr>
            <w:tcW w:w="5000" w:type="pct"/>
            <w:hideMark/>
          </w:tcPr>
          <w:p w:rsidR="00000000" w:rsidRPr="00D77D09" w:rsidRDefault="00400C6E">
            <w:pPr>
              <w:pStyle w:val="a3"/>
            </w:pPr>
            <w:r w:rsidRPr="00D77D09">
              <w:t>Додаток</w:t>
            </w:r>
            <w:r w:rsidRPr="00D77D09">
              <w:br/>
              <w:t>до наказу Міністерства юстиції України</w:t>
            </w:r>
            <w:r w:rsidRPr="00D77D09">
              <w:br/>
              <w:t>28 травня 2014 року N 846/5</w:t>
            </w:r>
            <w:r w:rsidRPr="00D77D09">
              <w:br/>
              <w:t>(у редакції наказу Міністерства юстиції України</w:t>
            </w:r>
            <w:r w:rsidRPr="00D77D09">
              <w:br/>
              <w:t>від 15 лютого 2023 року N 621/5)</w:t>
            </w:r>
          </w:p>
        </w:tc>
      </w:tr>
    </w:tbl>
    <w:p w:rsidR="00000000" w:rsidRPr="00D77D09" w:rsidRDefault="00400C6E">
      <w:pPr>
        <w:pStyle w:val="a3"/>
        <w:jc w:val="both"/>
      </w:pPr>
      <w:r w:rsidRPr="00D77D09">
        <w:br w:type="textWrapping" w:clear="all"/>
      </w:r>
    </w:p>
    <w:p w:rsidR="00000000" w:rsidRPr="00D77D09" w:rsidRDefault="00400C6E">
      <w:pPr>
        <w:pStyle w:val="3"/>
        <w:jc w:val="center"/>
        <w:rPr>
          <w:rFonts w:eastAsia="Times New Roman"/>
        </w:rPr>
      </w:pPr>
      <w:r w:rsidRPr="00D77D09">
        <w:rPr>
          <w:rFonts w:eastAsia="Times New Roman"/>
        </w:rPr>
        <w:t>Перелік</w:t>
      </w:r>
      <w:r w:rsidRPr="00D77D09">
        <w:rPr>
          <w:rFonts w:eastAsia="Times New Roman"/>
        </w:rPr>
        <w:br/>
      </w:r>
      <w:r w:rsidRPr="00D77D09">
        <w:rPr>
          <w:rFonts w:eastAsia="Times New Roman"/>
        </w:rPr>
        <w:t>структурних підрозділів Міністерства юстиції України, відповідальних за своєчасну реєстрацію в Системі обліку документів, що містять інформацію, розпорядником якої є Міністерство юстиції України, відповідно до Примірного переліку видів публічної інформації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37"/>
        <w:gridCol w:w="5780"/>
      </w:tblGrid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  <w:jc w:val="center"/>
            </w:pPr>
            <w:r w:rsidRPr="00D77D09">
              <w:rPr>
                <w:b/>
                <w:bCs/>
              </w:rPr>
              <w:t>Назва структурного підрозділу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  <w:jc w:val="center"/>
            </w:pPr>
            <w:r w:rsidRPr="00D77D09">
              <w:rPr>
                <w:b/>
                <w:bCs/>
              </w:rPr>
              <w:t>Підпункти та пункти Примірного переліку видів публічної інформації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Усі структурні підрозділи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Підпункт 1.1. пункту 1;</w:t>
            </w:r>
            <w:r w:rsidRPr="00D77D09">
              <w:br/>
              <w:t>підпункт 1.2 пункту 1 (щодо службових номерів засобів зв'язку та адрес електронної пошти);</w:t>
            </w:r>
            <w:r w:rsidRPr="00D77D09">
              <w:br/>
              <w:t>підпунк</w:t>
            </w:r>
            <w:r w:rsidRPr="00D77D09">
              <w:t>т 1.3 пункту 1;</w:t>
            </w:r>
            <w:r w:rsidRPr="00D77D09">
              <w:br/>
              <w:t>підпункт 2.3, 2.4 пункту 2;</w:t>
            </w:r>
            <w:r w:rsidRPr="00D77D09">
              <w:br/>
              <w:t>пункт 3 (крім наказів, зареєстрованих у Міністерстві юстиції України, та наказів із кадрових питань);</w:t>
            </w:r>
            <w:r w:rsidRPr="00D77D09">
              <w:br/>
              <w:t>підпункт 7.1 пункту 7;</w:t>
            </w:r>
            <w:r w:rsidRPr="00D77D09">
              <w:br/>
              <w:t>підпункт 7.2 пункту 7 (щодо інформації про висновки за результатами гендерно-правової е</w:t>
            </w:r>
            <w:r w:rsidRPr="00D77D09">
              <w:t>кспертизи актів законодавства);</w:t>
            </w:r>
            <w:r w:rsidRPr="00D77D09">
              <w:br/>
              <w:t>підпункт 15.4 пункту 15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Директорат стратегічного планування та європейської інтеграції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Підпункти 2.1, 2.2 пункту 2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Секретаріат Уповноваженого у справах Європейського суду з прав людини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Підпункти 15.2, 15.3 пункту 15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Департамент експертного забезпечення правосуддя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 4;</w:t>
            </w:r>
            <w:r w:rsidRPr="00D77D09">
              <w:br/>
              <w:t>пункт 18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Департамент реєстрації та систематизації правових актів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 3 (щодо наказів, зареєстрованих у Міністерстві юстиції України);</w:t>
            </w:r>
            <w:r w:rsidRPr="00D77D09">
              <w:br/>
              <w:t>пункти 5, 9 - 13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Департамент міжнародного права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Підпункти 15.4 - 15.8 пункту 15;</w:t>
            </w:r>
            <w:r w:rsidRPr="00D77D09">
              <w:br/>
              <w:t>підпункт 4.5 пункту 4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Управління персоналу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Підпункт 1.1, 1.2 пункту 1 (крім службових номерів засобів зв'язку та адрес електронної пошти);</w:t>
            </w:r>
            <w:r w:rsidRPr="00D77D09">
              <w:br/>
              <w:t>пункт 17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lastRenderedPageBreak/>
              <w:t>Управління забезпечення та докумен</w:t>
            </w:r>
            <w:r w:rsidRPr="00D77D09">
              <w:t>тообігу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Пункти 19 - 21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Бухгалтерська служба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 22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Департамент державної реєстрації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 24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Департамент нотаріату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Пункти 24, 27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Департамент державної виконавчої служби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 26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Департамент з питань банкрутства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 16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Управління державних закупівель, договірної роботи та взаємовідносин з державними підприємствами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Пункти 23, 28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Управління пенітенціарних інспекцій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 25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Відділ міжнародного співробітництва та протоколу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Підпункт 15.1 пункту 15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Сектор архівної справи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 6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Відділ з питань запобігання та виявлення корупції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 14</w:t>
            </w:r>
          </w:p>
        </w:tc>
      </w:tr>
      <w:tr w:rsidR="00000000" w:rsidRPr="00D77D09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Департамент міжнародних спорів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D77D09" w:rsidRDefault="00400C6E">
            <w:pPr>
              <w:pStyle w:val="a3"/>
            </w:pPr>
            <w:r w:rsidRPr="00D77D09">
              <w:t>Пункт 8</w:t>
            </w:r>
          </w:p>
        </w:tc>
      </w:tr>
    </w:tbl>
    <w:p w:rsidR="00000000" w:rsidRPr="00D77D09" w:rsidRDefault="00400C6E">
      <w:pPr>
        <w:rPr>
          <w:rFonts w:eastAsia="Times New Roman"/>
        </w:rPr>
      </w:pPr>
      <w:r w:rsidRPr="00D77D09">
        <w:rPr>
          <w:rFonts w:eastAsia="Times New Roman"/>
        </w:rPr>
        <w:br w:type="textWrapping" w:clear="all"/>
      </w:r>
    </w:p>
    <w:p w:rsidR="00000000" w:rsidRPr="00D77D09" w:rsidRDefault="00400C6E">
      <w:pPr>
        <w:pStyle w:val="a3"/>
        <w:jc w:val="right"/>
      </w:pPr>
      <w:r w:rsidRPr="00D77D09">
        <w:t xml:space="preserve">(додаток із змінами, внесеними згідно з наказами </w:t>
      </w:r>
      <w:r w:rsidRPr="00D77D09">
        <w:br/>
        <w:t>Міністерства юстиції України від 24.06.2014 р. N 1018/5,</w:t>
      </w:r>
      <w:r w:rsidRPr="00D77D09">
        <w:br/>
        <w:t> </w:t>
      </w:r>
      <w:r w:rsidRPr="00D77D09">
        <w:t>від 27.03.2015 р. N 443/5,</w:t>
      </w:r>
      <w:r w:rsidRPr="00D77D09">
        <w:br/>
        <w:t>у редакції наказів Міністерства юстиції України</w:t>
      </w:r>
      <w:r w:rsidRPr="00D77D09">
        <w:br/>
        <w:t> від 27.11.2017 р. N 3800/5,</w:t>
      </w:r>
      <w:r w:rsidRPr="00D77D09">
        <w:br/>
        <w:t>від 13.06.2018 р. N 1839/5,</w:t>
      </w:r>
      <w:r w:rsidRPr="00D77D09">
        <w:br/>
        <w:t>від 27.07.2021 р. N 2666/5,</w:t>
      </w:r>
      <w:r w:rsidRPr="00D77D09">
        <w:br/>
        <w:t>від 15.02.2023 р. N 621/5)</w:t>
      </w:r>
    </w:p>
    <w:p w:rsidR="00000000" w:rsidRPr="00D77D09" w:rsidRDefault="00400C6E">
      <w:pPr>
        <w:pStyle w:val="a3"/>
        <w:jc w:val="center"/>
      </w:pPr>
      <w:r w:rsidRPr="00D77D09">
        <w:t>____________</w:t>
      </w:r>
    </w:p>
    <w:p w:rsidR="00400C6E" w:rsidRPr="00D77D09" w:rsidRDefault="00400C6E" w:rsidP="00D77D09">
      <w:pPr>
        <w:pStyle w:val="a3"/>
        <w:jc w:val="both"/>
        <w:rPr>
          <w:rFonts w:eastAsia="Times New Roman"/>
        </w:rPr>
      </w:pPr>
      <w:r w:rsidRPr="00D77D09">
        <w:t> </w:t>
      </w:r>
    </w:p>
    <w:sectPr w:rsidR="00400C6E" w:rsidRPr="00D7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compat/>
  <w:rsids>
    <w:rsidRoot w:val="0021614A"/>
    <w:rsid w:val="0021614A"/>
    <w:rsid w:val="00400C6E"/>
    <w:rsid w:val="00D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7D0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7D0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j.batchenko\AppData\Roaming\Liga70\Client\Session\TSIGN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7608</Words>
  <Characters>4338</Characters>
  <Application>Microsoft Office Word</Application>
  <DocSecurity>0</DocSecurity>
  <Lines>36</Lines>
  <Paragraphs>23</Paragraphs>
  <ScaleCrop>false</ScaleCrop>
  <Company/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j.batchenko</dc:creator>
  <cp:lastModifiedBy>j.batchenko</cp:lastModifiedBy>
  <cp:revision>2</cp:revision>
  <dcterms:created xsi:type="dcterms:W3CDTF">2023-05-01T11:14:00Z</dcterms:created>
  <dcterms:modified xsi:type="dcterms:W3CDTF">2023-05-01T11:14:00Z</dcterms:modified>
</cp:coreProperties>
</file>