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CDD" w:rsidRPr="00BE5FF0" w:rsidRDefault="00D54CDD" w:rsidP="00BE5FF0">
      <w:pPr>
        <w:spacing w:line="222" w:lineRule="exact"/>
        <w:ind w:right="95"/>
        <w:rPr>
          <w:rFonts w:ascii="Times New Roman" w:hAnsi="Times New Roman" w:cs="Times New Roman"/>
          <w:sz w:val="26"/>
          <w:szCs w:val="26"/>
        </w:rPr>
      </w:pPr>
    </w:p>
    <w:p w:rsidR="00BE5FF0" w:rsidRPr="00BE5FF0" w:rsidRDefault="00BE5FF0" w:rsidP="00BE5FF0">
      <w:pPr>
        <w:widowControl/>
        <w:spacing w:after="200" w:line="276" w:lineRule="auto"/>
        <w:ind w:right="95"/>
        <w:jc w:val="center"/>
        <w:rPr>
          <w:rFonts w:ascii="Times New Roman" w:eastAsia="Calibri" w:hAnsi="Times New Roman" w:cs="Times New Roman"/>
          <w:color w:val="auto"/>
          <w:sz w:val="26"/>
          <w:szCs w:val="26"/>
          <w:lang w:val="en-US" w:eastAsia="en-US" w:bidi="ar-SA"/>
        </w:rPr>
      </w:pPr>
      <w:r w:rsidRPr="00BE5FF0">
        <w:rPr>
          <w:rFonts w:ascii="Times New Roman" w:eastAsia="Times New Roman" w:hAnsi="Times New Roman" w:cs="Times New Roman"/>
          <w:noProof/>
          <w:color w:val="auto"/>
          <w:sz w:val="26"/>
          <w:szCs w:val="26"/>
          <w:lang w:bidi="ar-SA"/>
        </w:rPr>
        <w:drawing>
          <wp:inline distT="0" distB="0" distL="0" distR="0" wp14:anchorId="327668EE" wp14:editId="03A43A19">
            <wp:extent cx="561975" cy="7715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E5FF0" w:rsidRPr="00BE5FF0" w:rsidRDefault="00BE5FF0" w:rsidP="00BE5FF0">
      <w:pPr>
        <w:widowControl/>
        <w:ind w:right="95"/>
        <w:jc w:val="center"/>
        <w:rPr>
          <w:rFonts w:ascii="Times New Roman" w:eastAsia="Times New Roman" w:hAnsi="Times New Roman" w:cs="Times New Roman"/>
          <w:bCs/>
          <w:color w:val="auto"/>
          <w:sz w:val="36"/>
          <w:szCs w:val="36"/>
          <w:lang w:eastAsia="en-US" w:bidi="ar-SA"/>
        </w:rPr>
      </w:pPr>
      <w:r w:rsidRPr="00BE5FF0">
        <w:rPr>
          <w:rFonts w:ascii="Times New Roman" w:eastAsia="Times New Roman" w:hAnsi="Times New Roman" w:cs="Times New Roman"/>
          <w:bCs/>
          <w:color w:val="auto"/>
          <w:sz w:val="36"/>
          <w:szCs w:val="36"/>
          <w:lang w:eastAsia="en-US" w:bidi="ar-SA"/>
        </w:rPr>
        <w:t>ВИЩА КВАЛІФІКАЦІЙНА КОМІСІЯ СУДДІВ УКРАЇНИ</w:t>
      </w:r>
    </w:p>
    <w:p w:rsidR="00BE5FF0" w:rsidRPr="00BE5FF0" w:rsidRDefault="00BE5FF0" w:rsidP="00BE5FF0">
      <w:pPr>
        <w:widowControl/>
        <w:ind w:right="95"/>
        <w:jc w:val="center"/>
        <w:rPr>
          <w:rFonts w:ascii="Times New Roman" w:eastAsia="Times New Roman" w:hAnsi="Times New Roman" w:cs="Times New Roman"/>
          <w:color w:val="auto"/>
          <w:sz w:val="26"/>
          <w:szCs w:val="26"/>
          <w:lang w:eastAsia="ru-RU" w:bidi="ar-SA"/>
        </w:rPr>
      </w:pPr>
    </w:p>
    <w:p w:rsidR="00BE5FF0" w:rsidRPr="00BE5FF0" w:rsidRDefault="00BE5FF0" w:rsidP="00BE5FF0">
      <w:pPr>
        <w:widowControl/>
        <w:ind w:right="95"/>
        <w:rPr>
          <w:rFonts w:ascii="Times New Roman" w:eastAsia="Times New Roman" w:hAnsi="Times New Roman" w:cs="Times New Roman"/>
          <w:color w:val="auto"/>
          <w:sz w:val="26"/>
          <w:szCs w:val="26"/>
          <w:lang w:eastAsia="ru-RU" w:bidi="ar-SA"/>
        </w:rPr>
      </w:pPr>
      <w:r w:rsidRPr="00BE5FF0">
        <w:rPr>
          <w:rFonts w:ascii="Times New Roman" w:eastAsia="Times New Roman" w:hAnsi="Times New Roman" w:cs="Times New Roman"/>
          <w:color w:val="auto"/>
          <w:sz w:val="26"/>
          <w:szCs w:val="26"/>
          <w:lang w:eastAsia="ru-RU" w:bidi="ar-SA"/>
        </w:rPr>
        <w:t>19 вересня 2018 року</w:t>
      </w:r>
      <w:r w:rsidRPr="00BE5FF0">
        <w:rPr>
          <w:rFonts w:ascii="Times New Roman" w:eastAsia="Times New Roman" w:hAnsi="Times New Roman" w:cs="Times New Roman"/>
          <w:color w:val="auto"/>
          <w:sz w:val="26"/>
          <w:szCs w:val="26"/>
          <w:lang w:eastAsia="ru-RU" w:bidi="ar-SA"/>
        </w:rPr>
        <w:tab/>
      </w:r>
      <w:r w:rsidRPr="00BE5FF0">
        <w:rPr>
          <w:rFonts w:ascii="Times New Roman" w:eastAsia="Times New Roman" w:hAnsi="Times New Roman" w:cs="Times New Roman"/>
          <w:color w:val="auto"/>
          <w:sz w:val="26"/>
          <w:szCs w:val="26"/>
          <w:lang w:eastAsia="ru-RU" w:bidi="ar-SA"/>
        </w:rPr>
        <w:tab/>
        <w:t xml:space="preserve">               </w:t>
      </w:r>
      <w:r w:rsidRPr="00BE5FF0">
        <w:rPr>
          <w:rFonts w:ascii="Times New Roman" w:eastAsia="Times New Roman" w:hAnsi="Times New Roman" w:cs="Times New Roman"/>
          <w:color w:val="auto"/>
          <w:sz w:val="26"/>
          <w:szCs w:val="26"/>
          <w:lang w:eastAsia="ru-RU" w:bidi="ar-SA"/>
        </w:rPr>
        <w:tab/>
        <w:t xml:space="preserve"> </w:t>
      </w:r>
      <w:r w:rsidRPr="00BE5FF0">
        <w:rPr>
          <w:rFonts w:ascii="Times New Roman" w:eastAsia="Times New Roman" w:hAnsi="Times New Roman" w:cs="Times New Roman"/>
          <w:color w:val="auto"/>
          <w:sz w:val="26"/>
          <w:szCs w:val="26"/>
          <w:lang w:eastAsia="ru-RU" w:bidi="ar-SA"/>
        </w:rPr>
        <w:tab/>
        <w:t xml:space="preserve">                                        </w:t>
      </w:r>
      <w:r>
        <w:rPr>
          <w:rFonts w:ascii="Times New Roman" w:eastAsia="Times New Roman" w:hAnsi="Times New Roman" w:cs="Times New Roman"/>
          <w:color w:val="auto"/>
          <w:sz w:val="26"/>
          <w:szCs w:val="26"/>
          <w:lang w:eastAsia="ru-RU" w:bidi="ar-SA"/>
        </w:rPr>
        <w:t xml:space="preserve">  </w:t>
      </w:r>
      <w:r w:rsidRPr="00BE5FF0">
        <w:rPr>
          <w:rFonts w:ascii="Times New Roman" w:eastAsia="Times New Roman" w:hAnsi="Times New Roman" w:cs="Times New Roman"/>
          <w:color w:val="auto"/>
          <w:sz w:val="26"/>
          <w:szCs w:val="26"/>
          <w:lang w:eastAsia="ru-RU" w:bidi="ar-SA"/>
        </w:rPr>
        <w:t xml:space="preserve">    </w:t>
      </w:r>
      <w:r w:rsidRPr="00BE5FF0">
        <w:rPr>
          <w:rFonts w:ascii="Times New Roman" w:eastAsia="Times New Roman" w:hAnsi="Times New Roman" w:cs="Times New Roman"/>
          <w:color w:val="auto"/>
          <w:sz w:val="26"/>
          <w:szCs w:val="26"/>
          <w:lang w:eastAsia="ru-RU" w:bidi="ar-SA"/>
        </w:rPr>
        <w:t xml:space="preserve"> </w:t>
      </w:r>
      <w:r w:rsidRPr="00BE5FF0">
        <w:rPr>
          <w:rFonts w:ascii="Times New Roman" w:eastAsia="Times New Roman" w:hAnsi="Times New Roman" w:cs="Times New Roman"/>
          <w:color w:val="auto"/>
          <w:sz w:val="26"/>
          <w:szCs w:val="26"/>
          <w:lang w:eastAsia="ru-RU" w:bidi="ar-SA"/>
        </w:rPr>
        <w:t xml:space="preserve"> м. Київ</w:t>
      </w:r>
    </w:p>
    <w:p w:rsidR="00BE5FF0" w:rsidRPr="00BE5FF0" w:rsidRDefault="00BE5FF0" w:rsidP="00BE5FF0">
      <w:pPr>
        <w:widowControl/>
        <w:ind w:right="95" w:firstLine="709"/>
        <w:jc w:val="center"/>
        <w:rPr>
          <w:rFonts w:ascii="Times New Roman" w:eastAsia="Times New Roman" w:hAnsi="Times New Roman" w:cs="Times New Roman"/>
          <w:bCs/>
          <w:color w:val="auto"/>
          <w:sz w:val="26"/>
          <w:szCs w:val="26"/>
          <w:lang w:eastAsia="ru-RU" w:bidi="ar-SA"/>
        </w:rPr>
      </w:pPr>
    </w:p>
    <w:p w:rsidR="00BE5FF0" w:rsidRPr="00BE5FF0" w:rsidRDefault="00BE5FF0" w:rsidP="00BE5FF0">
      <w:pPr>
        <w:widowControl/>
        <w:spacing w:line="480" w:lineRule="auto"/>
        <w:ind w:right="95" w:firstLine="709"/>
        <w:jc w:val="center"/>
        <w:rPr>
          <w:rFonts w:ascii="Times New Roman" w:eastAsia="Times New Roman" w:hAnsi="Times New Roman" w:cs="Times New Roman"/>
          <w:bCs/>
          <w:color w:val="auto"/>
          <w:sz w:val="26"/>
          <w:szCs w:val="26"/>
          <w:u w:val="single"/>
          <w:lang w:val="ru-RU" w:eastAsia="ru-RU" w:bidi="ar-SA"/>
        </w:rPr>
      </w:pPr>
      <w:r w:rsidRPr="00BE5FF0">
        <w:rPr>
          <w:rFonts w:ascii="Times New Roman" w:eastAsia="Times New Roman" w:hAnsi="Times New Roman" w:cs="Times New Roman"/>
          <w:bCs/>
          <w:color w:val="auto"/>
          <w:sz w:val="26"/>
          <w:szCs w:val="26"/>
          <w:lang w:eastAsia="ru-RU" w:bidi="ar-SA"/>
        </w:rPr>
        <w:t xml:space="preserve">Р І Ш Е Н </w:t>
      </w:r>
      <w:proofErr w:type="spellStart"/>
      <w:r w:rsidRPr="00BE5FF0">
        <w:rPr>
          <w:rFonts w:ascii="Times New Roman" w:eastAsia="Times New Roman" w:hAnsi="Times New Roman" w:cs="Times New Roman"/>
          <w:bCs/>
          <w:color w:val="auto"/>
          <w:sz w:val="26"/>
          <w:szCs w:val="26"/>
          <w:lang w:eastAsia="ru-RU" w:bidi="ar-SA"/>
        </w:rPr>
        <w:t>Н</w:t>
      </w:r>
      <w:proofErr w:type="spellEnd"/>
      <w:r w:rsidRPr="00BE5FF0">
        <w:rPr>
          <w:rFonts w:ascii="Times New Roman" w:eastAsia="Times New Roman" w:hAnsi="Times New Roman" w:cs="Times New Roman"/>
          <w:bCs/>
          <w:color w:val="auto"/>
          <w:sz w:val="26"/>
          <w:szCs w:val="26"/>
          <w:lang w:eastAsia="ru-RU" w:bidi="ar-SA"/>
        </w:rPr>
        <w:t xml:space="preserve"> Я № </w:t>
      </w:r>
      <w:r w:rsidRPr="00BE5FF0">
        <w:rPr>
          <w:rFonts w:ascii="Times New Roman" w:eastAsia="Times New Roman" w:hAnsi="Times New Roman" w:cs="Times New Roman"/>
          <w:bCs/>
          <w:color w:val="auto"/>
          <w:sz w:val="26"/>
          <w:szCs w:val="26"/>
          <w:u w:val="single"/>
          <w:lang w:eastAsia="ru-RU" w:bidi="ar-SA"/>
        </w:rPr>
        <w:t>1619/ко-18</w:t>
      </w:r>
    </w:p>
    <w:p w:rsidR="00D54CDD" w:rsidRPr="00BE5FF0" w:rsidRDefault="00A87BC8" w:rsidP="00BE5FF0">
      <w:pPr>
        <w:pStyle w:val="20"/>
        <w:shd w:val="clear" w:color="auto" w:fill="auto"/>
        <w:spacing w:before="0" w:line="480" w:lineRule="auto"/>
        <w:ind w:right="95"/>
        <w:jc w:val="both"/>
      </w:pPr>
      <w:r w:rsidRPr="00BE5FF0">
        <w:t>Вища кваліфікаційна комісія суддів України у складі колегії:</w:t>
      </w:r>
    </w:p>
    <w:p w:rsidR="00D54CDD" w:rsidRPr="00BE5FF0" w:rsidRDefault="00A87BC8" w:rsidP="00BE5FF0">
      <w:pPr>
        <w:pStyle w:val="20"/>
        <w:shd w:val="clear" w:color="auto" w:fill="auto"/>
        <w:spacing w:before="0" w:line="480" w:lineRule="auto"/>
        <w:ind w:right="95"/>
        <w:jc w:val="both"/>
      </w:pPr>
      <w:r w:rsidRPr="00BE5FF0">
        <w:t xml:space="preserve">головуючого </w:t>
      </w:r>
      <w:r w:rsidR="00BE5FF0">
        <w:t>–</w:t>
      </w:r>
      <w:r w:rsidRPr="00BE5FF0">
        <w:t xml:space="preserve"> Устименко В.Є.,</w:t>
      </w:r>
    </w:p>
    <w:p w:rsidR="00D54CDD" w:rsidRPr="00BE5FF0" w:rsidRDefault="00A87BC8" w:rsidP="00BE5FF0">
      <w:pPr>
        <w:pStyle w:val="20"/>
        <w:shd w:val="clear" w:color="auto" w:fill="auto"/>
        <w:spacing w:before="0" w:line="480" w:lineRule="auto"/>
        <w:ind w:right="95"/>
        <w:jc w:val="both"/>
      </w:pPr>
      <w:r w:rsidRPr="00BE5FF0">
        <w:t xml:space="preserve">членів Комісії: Гладія С.В., </w:t>
      </w:r>
      <w:proofErr w:type="spellStart"/>
      <w:r w:rsidRPr="00BE5FF0">
        <w:t>Луцюка</w:t>
      </w:r>
      <w:proofErr w:type="spellEnd"/>
      <w:r w:rsidRPr="00BE5FF0">
        <w:t xml:space="preserve"> П.С.,</w:t>
      </w:r>
    </w:p>
    <w:p w:rsidR="00D54CDD" w:rsidRPr="00BE5FF0" w:rsidRDefault="00A87BC8" w:rsidP="00BE5FF0">
      <w:pPr>
        <w:pStyle w:val="20"/>
        <w:shd w:val="clear" w:color="auto" w:fill="auto"/>
        <w:spacing w:before="0" w:after="312" w:line="302" w:lineRule="exact"/>
        <w:ind w:right="95"/>
        <w:jc w:val="both"/>
      </w:pPr>
      <w:r w:rsidRPr="00BE5FF0">
        <w:t>розглянувши питання про результати кваліфікаційного оцінювання судді Шевченківського районного суду міста Києва Слободянюка Павла Леонідовича на відповідність займаній посаді,</w:t>
      </w:r>
    </w:p>
    <w:p w:rsidR="00D54CDD" w:rsidRPr="00BE5FF0" w:rsidRDefault="00A87BC8" w:rsidP="00BE5FF0">
      <w:pPr>
        <w:pStyle w:val="20"/>
        <w:shd w:val="clear" w:color="auto" w:fill="auto"/>
        <w:spacing w:before="0" w:after="292"/>
        <w:ind w:right="95"/>
        <w:jc w:val="center"/>
      </w:pPr>
      <w:r w:rsidRPr="00BE5FF0">
        <w:t>встановила:</w:t>
      </w:r>
    </w:p>
    <w:p w:rsidR="00D54CDD" w:rsidRPr="00BE5FF0" w:rsidRDefault="00A87BC8" w:rsidP="00BE5FF0">
      <w:pPr>
        <w:pStyle w:val="20"/>
        <w:shd w:val="clear" w:color="auto" w:fill="auto"/>
        <w:spacing w:before="0" w:line="298" w:lineRule="exact"/>
        <w:ind w:right="95" w:firstLine="740"/>
        <w:jc w:val="both"/>
      </w:pPr>
      <w:r w:rsidRPr="00BE5FF0">
        <w:t>Згідно з пунктом 16</w:t>
      </w:r>
      <w:r w:rsidR="00C6789A" w:rsidRPr="00C6789A">
        <w:rPr>
          <w:vertAlign w:val="superscript"/>
          <w:lang w:val="ru-RU"/>
        </w:rPr>
        <w:t>1</w:t>
      </w:r>
      <w:r w:rsidRPr="00BE5FF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54CDD" w:rsidRPr="00BE5FF0" w:rsidRDefault="00A87BC8" w:rsidP="00BE5FF0">
      <w:pPr>
        <w:pStyle w:val="20"/>
        <w:shd w:val="clear" w:color="auto" w:fill="auto"/>
        <w:spacing w:before="0" w:line="298" w:lineRule="exact"/>
        <w:ind w:right="95" w:firstLine="740"/>
        <w:jc w:val="both"/>
      </w:pPr>
      <w:r w:rsidRPr="00BE5FF0">
        <w:t xml:space="preserve">Пунктом 20 розділу XII «Прикінцеві та перехідні положення» Закону України «Про судоустрій і статус суддів» (далі </w:t>
      </w:r>
      <w:r w:rsidR="00C6789A">
        <w:t>–</w:t>
      </w:r>
      <w:r w:rsidRPr="00BE5FF0">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54CDD" w:rsidRPr="00BE5FF0" w:rsidRDefault="00A87BC8" w:rsidP="00BE5FF0">
      <w:pPr>
        <w:pStyle w:val="20"/>
        <w:shd w:val="clear" w:color="auto" w:fill="auto"/>
        <w:spacing w:before="0" w:line="298" w:lineRule="exact"/>
        <w:ind w:right="95" w:firstLine="740"/>
        <w:jc w:val="both"/>
      </w:pPr>
      <w:r w:rsidRPr="00BE5FF0">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Шевченківського районного суду міста Києва Слободянюка П.Л.</w:t>
      </w:r>
    </w:p>
    <w:p w:rsidR="00D54CDD" w:rsidRPr="00BE5FF0" w:rsidRDefault="00A87BC8" w:rsidP="00BE5FF0">
      <w:pPr>
        <w:pStyle w:val="20"/>
        <w:shd w:val="clear" w:color="auto" w:fill="auto"/>
        <w:spacing w:before="0" w:line="298" w:lineRule="exact"/>
        <w:ind w:right="95" w:firstLine="740"/>
        <w:jc w:val="both"/>
      </w:pPr>
      <w:r w:rsidRPr="00BE5FF0">
        <w:t>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су</w:t>
      </w:r>
      <w:r w:rsidRPr="00C6789A">
        <w:rPr>
          <w:rStyle w:val="21"/>
          <w:u w:val="none"/>
        </w:rPr>
        <w:t>дд</w:t>
      </w:r>
      <w:r w:rsidRPr="00BE5FF0">
        <w:t>і Шевченківського районного суду міста Києва Слободянюка П.Л. та допущено його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r w:rsidRPr="00BE5FF0">
        <w:br w:type="page"/>
      </w:r>
    </w:p>
    <w:p w:rsidR="00D54CDD" w:rsidRPr="00BE5FF0" w:rsidRDefault="00A87BC8" w:rsidP="00BE5FF0">
      <w:pPr>
        <w:pStyle w:val="20"/>
        <w:shd w:val="clear" w:color="auto" w:fill="auto"/>
        <w:spacing w:before="0" w:line="298" w:lineRule="exact"/>
        <w:ind w:right="95" w:firstLine="740"/>
        <w:jc w:val="both"/>
      </w:pPr>
      <w:r w:rsidRPr="00BE5FF0">
        <w:lastRenderedPageBreak/>
        <w:t xml:space="preserve">Згідно з частиною першою статті 61 та частиною першою та 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декларації родинних зв’язків та доброчесності за формою, що визначається Комісією. При цьому,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BE5FF0">
        <w:t>непідтвердження</w:t>
      </w:r>
      <w:proofErr w:type="spellEnd"/>
      <w:r w:rsidRPr="00BE5FF0">
        <w:t>.</w:t>
      </w:r>
    </w:p>
    <w:p w:rsidR="00D54CDD" w:rsidRPr="00BE5FF0" w:rsidRDefault="00A87BC8" w:rsidP="00BE5FF0">
      <w:pPr>
        <w:pStyle w:val="20"/>
        <w:shd w:val="clear" w:color="auto" w:fill="auto"/>
        <w:spacing w:before="0" w:line="298" w:lineRule="exact"/>
        <w:ind w:right="95" w:firstLine="740"/>
        <w:jc w:val="both"/>
      </w:pPr>
      <w:r w:rsidRPr="00BE5FF0">
        <w:t>Приписами частини п’ятої статті 61 та частини шостої статті 62 Закону передбачено, що у разі одержання інформації, що може свідчити про недостовірність (в тому числі неповноту) тверджень судді у вказаних деклараціях, Вища кваліфікаційна комісія суддів України проводить відповідну перевірку.</w:t>
      </w:r>
    </w:p>
    <w:p w:rsidR="00D54CDD" w:rsidRPr="00BE5FF0" w:rsidRDefault="00A87BC8" w:rsidP="00BE5FF0">
      <w:pPr>
        <w:pStyle w:val="20"/>
        <w:shd w:val="clear" w:color="auto" w:fill="auto"/>
        <w:spacing w:before="0" w:line="298" w:lineRule="exact"/>
        <w:ind w:right="95" w:firstLine="740"/>
        <w:jc w:val="both"/>
      </w:pPr>
      <w:r w:rsidRPr="00BE5FF0">
        <w:t xml:space="preserve">Положеннями пункту 6.2 розділу VI Регламенту Вищої кваліфікаційної комісії суддів України, затвердженого рішення Комісії від </w:t>
      </w:r>
      <w:r w:rsidR="00750FEF">
        <w:t>13 жовтня 2016 року № 81/</w:t>
      </w:r>
      <w:proofErr w:type="spellStart"/>
      <w:r w:rsidR="00750FEF">
        <w:t>зп-</w:t>
      </w:r>
      <w:proofErr w:type="spellEnd"/>
      <w:r w:rsidR="00750FEF">
        <w:t xml:space="preserve"> 16</w:t>
      </w:r>
      <w:r w:rsidR="00750FEF">
        <w:rPr>
          <w:lang w:val="en-US"/>
        </w:rPr>
        <w:t> </w:t>
      </w:r>
      <w:r w:rsidRPr="00BE5FF0">
        <w:t xml:space="preserve">(зі змінами) (далі </w:t>
      </w:r>
      <w:r w:rsidR="00750FEF">
        <w:t>–</w:t>
      </w:r>
      <w:r w:rsidRPr="00BE5FF0">
        <w:t xml:space="preserve"> Регламент), передбачено, що перевірка декларацій родинних зв’язків судді та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цих деклараціях.</w:t>
      </w:r>
    </w:p>
    <w:p w:rsidR="00D54CDD" w:rsidRPr="00BE5FF0" w:rsidRDefault="00A87BC8" w:rsidP="00BE5FF0">
      <w:pPr>
        <w:pStyle w:val="20"/>
        <w:shd w:val="clear" w:color="auto" w:fill="auto"/>
        <w:spacing w:before="0" w:line="298" w:lineRule="exact"/>
        <w:ind w:right="95" w:firstLine="740"/>
        <w:jc w:val="both"/>
      </w:pPr>
      <w:r w:rsidRPr="00BE5FF0">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D54CDD" w:rsidRPr="00BE5FF0" w:rsidRDefault="00A87BC8" w:rsidP="00BE5FF0">
      <w:pPr>
        <w:pStyle w:val="20"/>
        <w:shd w:val="clear" w:color="auto" w:fill="auto"/>
        <w:spacing w:before="0" w:line="298" w:lineRule="exact"/>
        <w:ind w:right="95" w:firstLine="740"/>
        <w:jc w:val="both"/>
      </w:pPr>
      <w:r w:rsidRPr="00BE5FF0">
        <w:t>Під час співбесіди із суддею Слободянюком П.Л. 19 вересня 2018 року перевірку інформації, що може свідчити про недостовірність (в тому числі неповноту) відомостей або тверджень, вказаних суддею у деклараціях доброчесності, за результатами якої встановлено таке.</w:t>
      </w:r>
    </w:p>
    <w:p w:rsidR="00D54CDD" w:rsidRPr="00BE5FF0" w:rsidRDefault="00A87BC8" w:rsidP="00BE5FF0">
      <w:pPr>
        <w:pStyle w:val="20"/>
        <w:shd w:val="clear" w:color="auto" w:fill="auto"/>
        <w:spacing w:before="0" w:line="298" w:lineRule="exact"/>
        <w:ind w:right="95" w:firstLine="740"/>
        <w:jc w:val="both"/>
      </w:pPr>
      <w:r w:rsidRPr="00BE5FF0">
        <w:t>Суддею Слободянюком П.Л. 24 січня 2017 року вперше подано декларацію доброчесності судді за 2016 рік.</w:t>
      </w:r>
    </w:p>
    <w:p w:rsidR="00D54CDD" w:rsidRPr="00BE5FF0" w:rsidRDefault="00A87BC8" w:rsidP="00BE5FF0">
      <w:pPr>
        <w:pStyle w:val="20"/>
        <w:shd w:val="clear" w:color="auto" w:fill="auto"/>
        <w:spacing w:before="0" w:line="298" w:lineRule="exact"/>
        <w:ind w:right="95" w:firstLine="740"/>
        <w:jc w:val="both"/>
      </w:pPr>
      <w:r w:rsidRPr="00BE5FF0">
        <w:t>Відповідно до пункту 5 Правил заповнення та подання форми декларації доброчесності судді у разі заповнення декларації вперше у ній зазначаються твердження щодо обставин, які мали місце упродовж усього життя особи, яка її заповнює.</w:t>
      </w:r>
    </w:p>
    <w:p w:rsidR="00D54CDD" w:rsidRPr="00BE5FF0" w:rsidRDefault="00A87BC8" w:rsidP="00BE5FF0">
      <w:pPr>
        <w:pStyle w:val="20"/>
        <w:shd w:val="clear" w:color="auto" w:fill="auto"/>
        <w:spacing w:before="0" w:line="298" w:lineRule="exact"/>
        <w:ind w:right="95" w:firstLine="740"/>
        <w:jc w:val="both"/>
      </w:pPr>
      <w:r w:rsidRPr="00BE5FF0">
        <w:t>У пункті 17 поданої декларації доброчесності суддя підтвердив, що він не ухвалював одноособово або у колегії суддів рішень, передбачених статтею 3 Закону України «Про відновлення довіри до судової влади в Україні».</w:t>
      </w:r>
    </w:p>
    <w:p w:rsidR="00D54CDD" w:rsidRPr="00BE5FF0" w:rsidRDefault="00A87BC8" w:rsidP="00BE5FF0">
      <w:pPr>
        <w:pStyle w:val="20"/>
        <w:shd w:val="clear" w:color="auto" w:fill="auto"/>
        <w:spacing w:before="0" w:line="298" w:lineRule="exact"/>
        <w:ind w:right="95" w:firstLine="740"/>
        <w:jc w:val="both"/>
      </w:pPr>
      <w:r w:rsidRPr="00BE5FF0">
        <w:t>З огляду на положення пункту 4 частини першої статті 3 Закону України «Про відновлення довіри до судової влади в Україні» до таких рішень, зокрема, належать рішення про накладення адміністративних стягнень на осіб, які були учасниками масових акцій протесту в період з 21 листопада 2013 року до дня набрання чинності цим законом (тобто до 11 квітня 2014 року), у вигляді позбавлення права керування транспортними засобами на підставі статті 122</w:t>
      </w:r>
      <w:r w:rsidRPr="00BE5FF0">
        <w:rPr>
          <w:vertAlign w:val="superscript"/>
        </w:rPr>
        <w:t>2</w:t>
      </w:r>
      <w:r w:rsidRPr="00BE5FF0">
        <w:t xml:space="preserve"> Кодексу України про адміністративні правопорушення за невиконання водіями вимог працівника міліції про зупинку транспортного засобу та про залишення зазначених рішень без змін судом апеляційної інстанції в період з 21 листопада 2013 року до дня набрання чинності цим законом.</w:t>
      </w:r>
    </w:p>
    <w:p w:rsidR="00D54CDD" w:rsidRPr="00BF4A34" w:rsidRDefault="00A87BC8" w:rsidP="00DB63FD">
      <w:pPr>
        <w:pStyle w:val="20"/>
        <w:shd w:val="clear" w:color="auto" w:fill="auto"/>
        <w:spacing w:before="0" w:line="298" w:lineRule="exact"/>
        <w:ind w:right="95" w:firstLine="740"/>
        <w:jc w:val="both"/>
        <w:rPr>
          <w:lang w:val="ru-RU"/>
        </w:rPr>
      </w:pPr>
      <w:r w:rsidRPr="00BE5FF0">
        <w:t>До Комісії надійшло повідомлення громадської організації «Всеукраїнське об’єднання «</w:t>
      </w:r>
      <w:proofErr w:type="spellStart"/>
      <w:r w:rsidRPr="00BE5FF0">
        <w:t>Автомайдан</w:t>
      </w:r>
      <w:proofErr w:type="spellEnd"/>
      <w:r w:rsidRPr="00BE5FF0">
        <w:t>» від 05 лютого 2018 року про відображення суддею Слободянюком П.Л. недостовірних відомостей у декла</w:t>
      </w:r>
      <w:r w:rsidR="00750FEF">
        <w:t>рації доброчесності судді. Крім</w:t>
      </w:r>
      <w:r w:rsidR="00750FEF">
        <w:rPr>
          <w:lang w:val="en-US"/>
        </w:rPr>
        <w:t> </w:t>
      </w:r>
      <w:r w:rsidRPr="00BE5FF0">
        <w:t xml:space="preserve">того, до Комісії </w:t>
      </w:r>
      <w:r w:rsidR="00750FEF" w:rsidRPr="00750FEF">
        <w:rPr>
          <w:lang w:val="ru-RU"/>
        </w:rPr>
        <w:t xml:space="preserve"> </w:t>
      </w:r>
      <w:r w:rsidRPr="00BE5FF0">
        <w:t xml:space="preserve">надійшли </w:t>
      </w:r>
      <w:r w:rsidR="00750FEF" w:rsidRPr="00750FEF">
        <w:rPr>
          <w:lang w:val="ru-RU"/>
        </w:rPr>
        <w:t xml:space="preserve"> </w:t>
      </w:r>
      <w:r w:rsidRPr="00BE5FF0">
        <w:t>заяви</w:t>
      </w:r>
      <w:r w:rsidR="00750FEF" w:rsidRPr="00750FEF">
        <w:rPr>
          <w:lang w:val="ru-RU"/>
        </w:rPr>
        <w:t xml:space="preserve"> </w:t>
      </w:r>
      <w:r w:rsidRPr="00BE5FF0">
        <w:t xml:space="preserve"> </w:t>
      </w:r>
      <w:proofErr w:type="spellStart"/>
      <w:r w:rsidRPr="00BE5FF0">
        <w:t>Маселка</w:t>
      </w:r>
      <w:proofErr w:type="spellEnd"/>
      <w:r w:rsidRPr="00BE5FF0">
        <w:t xml:space="preserve"> </w:t>
      </w:r>
      <w:r w:rsidR="00750FEF" w:rsidRPr="00750FEF">
        <w:rPr>
          <w:lang w:val="ru-RU"/>
        </w:rPr>
        <w:t xml:space="preserve"> </w:t>
      </w:r>
      <w:r w:rsidRPr="00BE5FF0">
        <w:t>Р.А.</w:t>
      </w:r>
      <w:r w:rsidR="00750FEF" w:rsidRPr="00750FEF">
        <w:rPr>
          <w:lang w:val="ru-RU"/>
        </w:rPr>
        <w:t xml:space="preserve"> </w:t>
      </w:r>
      <w:r w:rsidRPr="00BE5FF0">
        <w:t xml:space="preserve"> від </w:t>
      </w:r>
      <w:r w:rsidR="00750FEF" w:rsidRPr="00750FEF">
        <w:rPr>
          <w:lang w:val="ru-RU"/>
        </w:rPr>
        <w:t xml:space="preserve"> </w:t>
      </w:r>
      <w:r w:rsidRPr="00BE5FF0">
        <w:t xml:space="preserve">19 </w:t>
      </w:r>
      <w:r w:rsidR="00750FEF" w:rsidRPr="00750FEF">
        <w:rPr>
          <w:lang w:val="ru-RU"/>
        </w:rPr>
        <w:t xml:space="preserve"> </w:t>
      </w:r>
      <w:r w:rsidRPr="00BE5FF0">
        <w:t>березня</w:t>
      </w:r>
      <w:r w:rsidR="00750FEF" w:rsidRPr="00750FEF">
        <w:rPr>
          <w:lang w:val="ru-RU"/>
        </w:rPr>
        <w:t xml:space="preserve"> </w:t>
      </w:r>
      <w:r w:rsidRPr="00BE5FF0">
        <w:t xml:space="preserve"> та</w:t>
      </w:r>
      <w:r w:rsidR="00750FEF" w:rsidRPr="00750FEF">
        <w:rPr>
          <w:lang w:val="ru-RU"/>
        </w:rPr>
        <w:t xml:space="preserve"> </w:t>
      </w:r>
      <w:r w:rsidRPr="00BE5FF0">
        <w:t xml:space="preserve"> 02</w:t>
      </w:r>
      <w:r w:rsidR="00750FEF" w:rsidRPr="00750FEF">
        <w:rPr>
          <w:lang w:val="ru-RU"/>
        </w:rPr>
        <w:t xml:space="preserve"> </w:t>
      </w:r>
      <w:r w:rsidRPr="00BE5FF0">
        <w:t xml:space="preserve"> вересня</w:t>
      </w:r>
      <w:r w:rsidR="00750FEF" w:rsidRPr="00750FEF">
        <w:rPr>
          <w:lang w:val="ru-RU"/>
        </w:rPr>
        <w:t xml:space="preserve"> </w:t>
      </w:r>
    </w:p>
    <w:p w:rsidR="00D54CDD" w:rsidRPr="00BE5FF0" w:rsidRDefault="00A87BC8" w:rsidP="00BE5FF0">
      <w:pPr>
        <w:pStyle w:val="20"/>
        <w:shd w:val="clear" w:color="auto" w:fill="auto"/>
        <w:spacing w:before="0" w:line="298" w:lineRule="exact"/>
        <w:ind w:right="95"/>
        <w:jc w:val="both"/>
      </w:pPr>
      <w:r w:rsidRPr="00BE5FF0">
        <w:lastRenderedPageBreak/>
        <w:t xml:space="preserve">2018 року щодо проведення перевірки декларації </w:t>
      </w:r>
      <w:r w:rsidR="00BF4A34">
        <w:t xml:space="preserve">доброчесності судді </w:t>
      </w:r>
      <w:r w:rsidR="00BF4A34" w:rsidRPr="00BF4A34">
        <w:t>Слободянюка</w:t>
      </w:r>
      <w:r w:rsidR="00BF4A34">
        <w:rPr>
          <w:lang w:val="en-US"/>
        </w:rPr>
        <w:t> </w:t>
      </w:r>
      <w:r w:rsidRPr="00BF4A34">
        <w:t>П</w:t>
      </w:r>
      <w:r w:rsidRPr="00BE5FF0">
        <w:t>.Л. за 2016 рік.</w:t>
      </w:r>
    </w:p>
    <w:p w:rsidR="00D54CDD" w:rsidRPr="00BE5FF0" w:rsidRDefault="00A87BC8" w:rsidP="00BE5FF0">
      <w:pPr>
        <w:pStyle w:val="20"/>
        <w:shd w:val="clear" w:color="auto" w:fill="auto"/>
        <w:spacing w:before="0" w:line="298" w:lineRule="exact"/>
        <w:ind w:right="95" w:firstLine="740"/>
        <w:jc w:val="both"/>
      </w:pPr>
      <w:r w:rsidRPr="00BE5FF0">
        <w:t>У вказаних зверненнях йдеться про те, що у декларації доброчесності судді за 2016 рік (пункт 17) суддя Слободянюк П.Л. підтвердив, що він не ухвалював одноособово або у колегії суддів рішень, передбачених статтею 3 Закону України «Про відновлення довіри до судової влади в Україні».</w:t>
      </w:r>
    </w:p>
    <w:p w:rsidR="00D54CDD" w:rsidRPr="00BE5FF0" w:rsidRDefault="00A87BC8" w:rsidP="00BE5FF0">
      <w:pPr>
        <w:pStyle w:val="20"/>
        <w:shd w:val="clear" w:color="auto" w:fill="auto"/>
        <w:spacing w:before="0" w:line="298" w:lineRule="exact"/>
        <w:ind w:right="95" w:firstLine="740"/>
        <w:jc w:val="both"/>
      </w:pPr>
      <w:r w:rsidRPr="00BE5FF0">
        <w:t>На думку заявників, вказане твердження є н</w:t>
      </w:r>
      <w:r w:rsidR="00BF4A34">
        <w:t>едостовірним, оскільки 24</w:t>
      </w:r>
      <w:r w:rsidR="00BF4A34">
        <w:rPr>
          <w:lang w:val="en-US"/>
        </w:rPr>
        <w:t> </w:t>
      </w:r>
      <w:r w:rsidR="00BF4A34">
        <w:t>січня</w:t>
      </w:r>
      <w:r w:rsidR="00BF4A34">
        <w:rPr>
          <w:lang w:val="en-US"/>
        </w:rPr>
        <w:t> </w:t>
      </w:r>
      <w:r w:rsidRPr="00BE5FF0">
        <w:t>2014 року суддя Шевченківського районн</w:t>
      </w:r>
      <w:r w:rsidR="00BF4A34">
        <w:t>ого суду міста Києва Слободянюк</w:t>
      </w:r>
      <w:r w:rsidR="00BF4A34">
        <w:rPr>
          <w:lang w:val="en-US"/>
        </w:rPr>
        <w:t> </w:t>
      </w:r>
      <w:r w:rsidRPr="00BE5FF0">
        <w:t xml:space="preserve">П.Л. виніс постанову про визнання </w:t>
      </w:r>
      <w:r w:rsidR="00BF4A34">
        <w:t>ОСОБА_1 винним у вчиненні </w:t>
      </w:r>
      <w:r w:rsidRPr="00BE5FF0">
        <w:t>адміністративного правопорушення, вчиненого в грудні 2013 року, передбаченого статтею 122</w:t>
      </w:r>
      <w:r w:rsidRPr="00BE5FF0">
        <w:rPr>
          <w:vertAlign w:val="superscript"/>
        </w:rPr>
        <w:t>2</w:t>
      </w:r>
      <w:r w:rsidRPr="00BE5FF0">
        <w:t xml:space="preserve"> Кодексу України про адміністративні правопорушення, та притягнення його до адміністративної відповідальності у вигляді позбавлення права керування усіма транспортними засобами строком на три місяці.</w:t>
      </w:r>
    </w:p>
    <w:p w:rsidR="00D54CDD" w:rsidRPr="00BE5FF0" w:rsidRDefault="00A87BC8" w:rsidP="00BE5FF0">
      <w:pPr>
        <w:pStyle w:val="20"/>
        <w:shd w:val="clear" w:color="auto" w:fill="auto"/>
        <w:spacing w:before="0" w:line="298" w:lineRule="exact"/>
        <w:ind w:right="95" w:firstLine="740"/>
        <w:jc w:val="both"/>
      </w:pPr>
      <w:r w:rsidRPr="00BE5FF0">
        <w:t>Постановою Апеляційного суду міста Києва від 04 березня 2014 року вказану постанову суду першої інстан</w:t>
      </w:r>
      <w:r w:rsidR="00BF4A34">
        <w:t>ції скасовано, ОСОБА_1 звільнено від адміністративної </w:t>
      </w:r>
      <w:r w:rsidRPr="00BE5FF0">
        <w:t>відповідальності на підставі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D54CDD" w:rsidRPr="00BE5FF0" w:rsidRDefault="00A87BC8" w:rsidP="00BE5FF0">
      <w:pPr>
        <w:pStyle w:val="20"/>
        <w:shd w:val="clear" w:color="auto" w:fill="auto"/>
        <w:spacing w:before="0" w:line="298" w:lineRule="exact"/>
        <w:ind w:right="95" w:firstLine="740"/>
        <w:jc w:val="both"/>
      </w:pPr>
      <w:r w:rsidRPr="00BE5FF0">
        <w:t xml:space="preserve">Стосовно наведених фактів суддею Слободянюком П.Л. надано пояснення та зазначено, що у період з 21 листопада 2013 року до дня набрання чинності Законом України «Про відновлення довіри до судової влади в Україні» ним не вирішувались питання щодо притягнення до адміністративної відповідальності осіб, які були учасниками масових акцій протесту. Суддя пояснив, що </w:t>
      </w:r>
      <w:r w:rsidR="00BF4A34">
        <w:t>ОСОБА_1 у судовому </w:t>
      </w:r>
      <w:r w:rsidRPr="00BE5FF0">
        <w:t>засіданні не повідомляв про свою участь в масових акціях протесту, а тільки заперечував той факт, що саме він керував автомобілем. В</w:t>
      </w:r>
      <w:r w:rsidR="00BF4A34">
        <w:t xml:space="preserve"> апеляційній скарзі ОСОБА_1 </w:t>
      </w:r>
      <w:r w:rsidRPr="00BE5FF0">
        <w:t>посилався на незаконність постанови суду</w:t>
      </w:r>
      <w:r w:rsidR="00BF4A34">
        <w:t xml:space="preserve"> першої інстанції, </w:t>
      </w:r>
      <w:proofErr w:type="spellStart"/>
      <w:r w:rsidR="00BF4A34">
        <w:t>оскільки він </w:t>
      </w:r>
      <w:r w:rsidRPr="00BE5FF0">
        <w:t>ав</w:t>
      </w:r>
      <w:proofErr w:type="spellEnd"/>
      <w:r w:rsidRPr="00BE5FF0">
        <w:t>томобілем не керував у зазначений час.</w:t>
      </w:r>
    </w:p>
    <w:p w:rsidR="00D54CDD" w:rsidRPr="00BE5FF0" w:rsidRDefault="00A87BC8" w:rsidP="00BE5FF0">
      <w:pPr>
        <w:pStyle w:val="20"/>
        <w:shd w:val="clear" w:color="auto" w:fill="auto"/>
        <w:spacing w:before="0" w:line="298" w:lineRule="exact"/>
        <w:ind w:right="95" w:firstLine="740"/>
        <w:jc w:val="both"/>
      </w:pPr>
      <w:r w:rsidRPr="00BE5FF0">
        <w:t xml:space="preserve">Водночас під час апеляційного провадження </w:t>
      </w:r>
      <w:r w:rsidR="0029204E">
        <w:t>ОСОБА_1</w:t>
      </w:r>
      <w:r w:rsidR="0029204E">
        <w:t xml:space="preserve"> змінив свої вимоги  </w:t>
      </w:r>
      <w:r w:rsidR="0029204E" w:rsidRPr="0029204E">
        <w:t>та</w:t>
      </w:r>
      <w:r w:rsidR="0029204E">
        <w:t> </w:t>
      </w:r>
      <w:r w:rsidRPr="0029204E">
        <w:t>подав</w:t>
      </w:r>
      <w:r w:rsidRPr="00BE5FF0">
        <w:t xml:space="preserve"> заяву про закриття провадження у справі та звільнення його від адміністративної відповідальності на підставі статті 4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D54CDD" w:rsidRPr="00BE5FF0" w:rsidRDefault="00A87BC8" w:rsidP="00BE5FF0">
      <w:pPr>
        <w:pStyle w:val="20"/>
        <w:shd w:val="clear" w:color="auto" w:fill="auto"/>
        <w:spacing w:before="0" w:line="298" w:lineRule="exact"/>
        <w:ind w:right="95" w:firstLine="740"/>
        <w:jc w:val="both"/>
      </w:pPr>
      <w:r w:rsidRPr="00BE5FF0">
        <w:t xml:space="preserve">Суддя Слободянюк П.Л. зауважив, що у суді першої інстанції під час розгляду справи </w:t>
      </w:r>
      <w:r w:rsidR="00217607">
        <w:t>ОСОБА_1</w:t>
      </w:r>
      <w:r w:rsidRPr="00BE5FF0">
        <w:t xml:space="preserve"> учасником масових акцій пр</w:t>
      </w:r>
      <w:r w:rsidR="00217607">
        <w:t>отесту себе не визнавав, тому в </w:t>
      </w:r>
      <w:r w:rsidRPr="00BE5FF0">
        <w:t>декларації доброчесності суддею не було зазначено про цю справу.</w:t>
      </w:r>
    </w:p>
    <w:p w:rsidR="00D54CDD" w:rsidRPr="00BE5FF0" w:rsidRDefault="00A87BC8" w:rsidP="00BE5FF0">
      <w:pPr>
        <w:pStyle w:val="20"/>
        <w:shd w:val="clear" w:color="auto" w:fill="auto"/>
        <w:spacing w:before="0" w:line="298" w:lineRule="exact"/>
        <w:ind w:right="95" w:firstLine="740"/>
        <w:jc w:val="both"/>
      </w:pPr>
      <w:r w:rsidRPr="00BE5FF0">
        <w:t xml:space="preserve">Під час співбесіди 19 вересня 2018 року вказав, що після повернення справи </w:t>
      </w:r>
      <w:r w:rsidR="00217607">
        <w:t>ОСОБА_1</w:t>
      </w:r>
      <w:r w:rsidRPr="00BE5FF0">
        <w:t xml:space="preserve"> з Апеляційного суду міста Києва він </w:t>
      </w:r>
      <w:r w:rsidR="00217607">
        <w:t>ознайомився із постановою цього </w:t>
      </w:r>
      <w:r w:rsidRPr="00BE5FF0">
        <w:t xml:space="preserve">суду від 04 березня 2014 року, якою постанову судді Шевченківського районного суду міста Києва Слободянюка П.Л. від 24 січня 2014 року щодо </w:t>
      </w:r>
      <w:r w:rsidR="00217607">
        <w:t>ОСОБА_1</w:t>
      </w:r>
      <w:r w:rsidRPr="00BE5FF0">
        <w:t>, якою його визнано винним у вчиненн</w:t>
      </w:r>
      <w:r w:rsidR="00217607">
        <w:t>і правопорушення, передбаченого </w:t>
      </w:r>
      <w:r w:rsidRPr="00BE5FF0">
        <w:t>статтею 122</w:t>
      </w:r>
      <w:r w:rsidRPr="00BE5FF0">
        <w:rPr>
          <w:vertAlign w:val="superscript"/>
        </w:rPr>
        <w:t>2</w:t>
      </w:r>
      <w:r w:rsidRPr="00BE5FF0">
        <w:t xml:space="preserve"> Кодексу України про адміністративні правопорушення, та накладено адміністративне стягнення у виді позбавлення права керування транспортними засобами строком на три місяці, скасовано. Звільнено </w:t>
      </w:r>
      <w:r w:rsidR="00217607">
        <w:t>ОСОБА_1</w:t>
      </w:r>
      <w:r w:rsidR="00217607">
        <w:t> від </w:t>
      </w:r>
      <w:r w:rsidRPr="00BE5FF0">
        <w:t>адміністративної відповідальності, передбаченої статтею 122</w:t>
      </w:r>
      <w:r w:rsidRPr="00BE5FF0">
        <w:rPr>
          <w:vertAlign w:val="superscript"/>
        </w:rPr>
        <w:t xml:space="preserve">2 </w:t>
      </w:r>
      <w:r w:rsidR="00217607">
        <w:t>Кодексу </w:t>
      </w:r>
      <w:r w:rsidRPr="00BE5FF0">
        <w:t xml:space="preserve">України про адміністративні правопорушення, на підставі статті 4 Закону України «Про недопущення переслідування та покарання осіб з приводу подій, які мали місце під </w:t>
      </w:r>
      <w:r w:rsidR="00217607">
        <w:t xml:space="preserve"> </w:t>
      </w:r>
      <w:r w:rsidRPr="00BE5FF0">
        <w:t>час</w:t>
      </w:r>
      <w:r w:rsidR="00217607">
        <w:t xml:space="preserve"> </w:t>
      </w:r>
      <w:r w:rsidRPr="00BE5FF0">
        <w:t xml:space="preserve"> проведення </w:t>
      </w:r>
      <w:r w:rsidR="00217607">
        <w:t xml:space="preserve"> </w:t>
      </w:r>
      <w:r w:rsidRPr="00BE5FF0">
        <w:t xml:space="preserve">мирних </w:t>
      </w:r>
      <w:r w:rsidR="00217607">
        <w:t xml:space="preserve"> </w:t>
      </w:r>
      <w:r w:rsidRPr="00BE5FF0">
        <w:t xml:space="preserve">зібрань, </w:t>
      </w:r>
      <w:r w:rsidR="00217607">
        <w:t xml:space="preserve"> </w:t>
      </w:r>
      <w:r w:rsidRPr="00BE5FF0">
        <w:t>та</w:t>
      </w:r>
      <w:r w:rsidR="00217607">
        <w:t xml:space="preserve"> </w:t>
      </w:r>
      <w:r w:rsidRPr="00BE5FF0">
        <w:t xml:space="preserve"> визнання</w:t>
      </w:r>
      <w:r w:rsidR="00217607">
        <w:t xml:space="preserve">  </w:t>
      </w:r>
      <w:r w:rsidRPr="00BE5FF0">
        <w:t xml:space="preserve">такими, </w:t>
      </w:r>
      <w:r w:rsidR="00217607">
        <w:t xml:space="preserve"> </w:t>
      </w:r>
      <w:r w:rsidRPr="00BE5FF0">
        <w:t>що</w:t>
      </w:r>
      <w:r w:rsidR="00217607">
        <w:t xml:space="preserve"> </w:t>
      </w:r>
      <w:r w:rsidRPr="00BE5FF0">
        <w:t xml:space="preserve"> втратили</w:t>
      </w:r>
      <w:r w:rsidRPr="00BE5FF0">
        <w:br w:type="page"/>
      </w:r>
    </w:p>
    <w:p w:rsidR="00D54CDD" w:rsidRPr="00BE5FF0" w:rsidRDefault="00A87BC8" w:rsidP="00BE5FF0">
      <w:pPr>
        <w:pStyle w:val="20"/>
        <w:shd w:val="clear" w:color="auto" w:fill="auto"/>
        <w:spacing w:before="0" w:line="298" w:lineRule="exact"/>
        <w:ind w:right="95"/>
        <w:jc w:val="both"/>
      </w:pPr>
      <w:r w:rsidRPr="00BE5FF0">
        <w:lastRenderedPageBreak/>
        <w:t xml:space="preserve">чинність, деяких законів України». Тобто суддя Слободянюк П.Л. у 2014 році достовірно знав, що Апеляційний суд міста Києва визнав </w:t>
      </w:r>
      <w:r w:rsidR="005969A2">
        <w:t>ОСОБА_1</w:t>
      </w:r>
      <w:r w:rsidR="005969A2">
        <w:t xml:space="preserve"> учасником </w:t>
      </w:r>
      <w:r w:rsidRPr="00BE5FF0">
        <w:t>масових акцій протесту у грудні 2013 року, про що він мав зазначити в декларації доброчесності за 2016 рік, яку він подав до Комісії 24 січня 2017 року.</w:t>
      </w:r>
    </w:p>
    <w:p w:rsidR="00D54CDD" w:rsidRPr="00BE5FF0" w:rsidRDefault="00A87BC8" w:rsidP="00BE5FF0">
      <w:pPr>
        <w:pStyle w:val="20"/>
        <w:shd w:val="clear" w:color="auto" w:fill="auto"/>
        <w:spacing w:before="0" w:line="298" w:lineRule="exact"/>
        <w:ind w:right="95" w:firstLine="740"/>
        <w:jc w:val="both"/>
      </w:pPr>
      <w:r w:rsidRPr="00BE5FF0">
        <w:t>Статтею 106 Закону визначено підстави дисциплінарної відповідальності судді.</w:t>
      </w:r>
    </w:p>
    <w:p w:rsidR="00D54CDD" w:rsidRPr="00BE5FF0" w:rsidRDefault="00A87BC8" w:rsidP="00BE5FF0">
      <w:pPr>
        <w:pStyle w:val="20"/>
        <w:shd w:val="clear" w:color="auto" w:fill="auto"/>
        <w:spacing w:before="0" w:line="298" w:lineRule="exact"/>
        <w:ind w:right="95" w:firstLine="740"/>
        <w:jc w:val="both"/>
      </w:pPr>
      <w:r w:rsidRPr="00BE5FF0">
        <w:t>Відповідно до пункту 19 частини першої цієї статті однією з підстав дисциплінарної відповідальності судді є декларування завідомо недостовірних (у тому числі неповних) тверджень у декларації доброчесності судді.</w:t>
      </w:r>
    </w:p>
    <w:p w:rsidR="00D54CDD" w:rsidRPr="00BE5FF0" w:rsidRDefault="00A87BC8" w:rsidP="00BE5FF0">
      <w:pPr>
        <w:pStyle w:val="20"/>
        <w:shd w:val="clear" w:color="auto" w:fill="auto"/>
        <w:spacing w:before="0" w:line="298" w:lineRule="exact"/>
        <w:ind w:right="95" w:firstLine="740"/>
        <w:jc w:val="both"/>
      </w:pPr>
      <w:r w:rsidRPr="00BE5FF0">
        <w:t>Частиною п’ятою статті 84 Закону передбачено, що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D54CDD" w:rsidRPr="00BE5FF0" w:rsidRDefault="00A87BC8" w:rsidP="00BE5FF0">
      <w:pPr>
        <w:pStyle w:val="20"/>
        <w:shd w:val="clear" w:color="auto" w:fill="auto"/>
        <w:spacing w:before="0" w:line="298" w:lineRule="exact"/>
        <w:ind w:right="95" w:firstLine="740"/>
        <w:jc w:val="both"/>
      </w:pPr>
      <w:r w:rsidRPr="00BE5FF0">
        <w:t>У разі звернення до органу, який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який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D54CDD" w:rsidRPr="00BE5FF0" w:rsidRDefault="00A87BC8" w:rsidP="00BE5FF0">
      <w:pPr>
        <w:pStyle w:val="20"/>
        <w:shd w:val="clear" w:color="auto" w:fill="auto"/>
        <w:spacing w:before="0" w:after="308" w:line="298" w:lineRule="exact"/>
        <w:ind w:right="95" w:firstLine="740"/>
        <w:jc w:val="both"/>
      </w:pPr>
      <w:r w:rsidRPr="00BE5FF0">
        <w:t>Керуючись статтями 84, 93, 101 Закону, розділом VI Регламенту Вищої кваліфікаційної комісії суддів України, Комісія</w:t>
      </w:r>
    </w:p>
    <w:p w:rsidR="00D54CDD" w:rsidRPr="00BE5FF0" w:rsidRDefault="00A87BC8" w:rsidP="00BE5FF0">
      <w:pPr>
        <w:pStyle w:val="20"/>
        <w:shd w:val="clear" w:color="auto" w:fill="auto"/>
        <w:spacing w:before="0" w:after="292"/>
        <w:ind w:left="20" w:right="95"/>
        <w:jc w:val="center"/>
      </w:pPr>
      <w:r w:rsidRPr="00BE5FF0">
        <w:t>вирішила:</w:t>
      </w:r>
    </w:p>
    <w:p w:rsidR="00D54CDD" w:rsidRPr="00BE5FF0" w:rsidRDefault="00A87BC8" w:rsidP="00BE5FF0">
      <w:pPr>
        <w:pStyle w:val="20"/>
        <w:shd w:val="clear" w:color="auto" w:fill="auto"/>
        <w:spacing w:before="0" w:line="298" w:lineRule="exact"/>
        <w:ind w:right="95"/>
        <w:jc w:val="both"/>
      </w:pPr>
      <w:r w:rsidRPr="00BE5FF0">
        <w:t>визнати підтвердженою інформацію про недостовірність тверджень, вказаних суддею Шевченківського районного суду міста Києва Слободянюком Павлом Леонідовичем у декларації доброчесності судді за 2016 рік.</w:t>
      </w:r>
    </w:p>
    <w:p w:rsidR="00D54CDD" w:rsidRPr="00BE5FF0" w:rsidRDefault="00A87BC8" w:rsidP="00BE5FF0">
      <w:pPr>
        <w:pStyle w:val="20"/>
        <w:shd w:val="clear" w:color="auto" w:fill="auto"/>
        <w:spacing w:before="0" w:line="298" w:lineRule="exact"/>
        <w:ind w:right="95" w:firstLine="740"/>
        <w:jc w:val="both"/>
      </w:pPr>
      <w:r w:rsidRPr="00BE5FF0">
        <w:t>Звернутися до Вищої ради правосуддя для вирішення питання про відкриття дисциплінарної справи чи відмову у її відкритті стосовно судді Шевченківського районного суду міста Києва Слободянюка Павла Леонідовича.</w:t>
      </w:r>
    </w:p>
    <w:p w:rsidR="00D54CDD" w:rsidRPr="00BE5FF0" w:rsidRDefault="00A87BC8" w:rsidP="00BE5FF0">
      <w:pPr>
        <w:pStyle w:val="20"/>
        <w:shd w:val="clear" w:color="auto" w:fill="auto"/>
        <w:spacing w:before="0" w:after="908" w:line="298" w:lineRule="exact"/>
        <w:ind w:right="95" w:firstLine="740"/>
        <w:jc w:val="both"/>
      </w:pPr>
      <w:r w:rsidRPr="00BE5FF0">
        <w:t>Зупинити кваліфікаційне оцінювання судді Шевченківського районного суду міста Києва Слободянюка Павла Леонідовича.</w:t>
      </w:r>
    </w:p>
    <w:p w:rsidR="00AB23BB" w:rsidRPr="00AB23BB" w:rsidRDefault="00AB23BB" w:rsidP="00AB23BB">
      <w:pPr>
        <w:spacing w:before="20" w:afterLines="20" w:after="48" w:line="230" w:lineRule="exact"/>
        <w:jc w:val="both"/>
        <w:rPr>
          <w:rFonts w:ascii="Times New Roman" w:eastAsia="Times New Roman" w:hAnsi="Times New Roman" w:cs="Times New Roman"/>
          <w:color w:val="auto"/>
          <w:sz w:val="26"/>
          <w:szCs w:val="26"/>
          <w:lang w:bidi="ar-SA"/>
        </w:rPr>
      </w:pPr>
      <w:r w:rsidRPr="00AB23BB">
        <w:rPr>
          <w:rFonts w:ascii="Times New Roman" w:eastAsia="Times New Roman" w:hAnsi="Times New Roman" w:cs="Times New Roman"/>
          <w:color w:val="auto"/>
          <w:sz w:val="26"/>
          <w:szCs w:val="26"/>
          <w:lang w:bidi="ar-SA"/>
        </w:rPr>
        <w:t>Головуюч</w:t>
      </w:r>
      <w:bookmarkStart w:id="0" w:name="_GoBack"/>
      <w:bookmarkEnd w:id="0"/>
      <w:r w:rsidRPr="00AB23BB">
        <w:rPr>
          <w:rFonts w:ascii="Times New Roman" w:eastAsia="Times New Roman" w:hAnsi="Times New Roman" w:cs="Times New Roman"/>
          <w:color w:val="auto"/>
          <w:sz w:val="26"/>
          <w:szCs w:val="26"/>
          <w:lang w:bidi="ar-SA"/>
        </w:rPr>
        <w:t>ий</w:t>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t>В.Є. Устименко</w:t>
      </w:r>
    </w:p>
    <w:p w:rsidR="00AB23BB" w:rsidRPr="00AB23BB" w:rsidRDefault="00AB23BB" w:rsidP="00AB23BB">
      <w:pPr>
        <w:spacing w:before="20" w:afterLines="20" w:after="48" w:line="230" w:lineRule="exact"/>
        <w:jc w:val="both"/>
        <w:rPr>
          <w:rFonts w:ascii="Times New Roman" w:eastAsia="Times New Roman" w:hAnsi="Times New Roman" w:cs="Times New Roman"/>
          <w:color w:val="auto"/>
          <w:sz w:val="26"/>
          <w:szCs w:val="26"/>
          <w:lang w:bidi="ar-SA"/>
        </w:rPr>
      </w:pPr>
    </w:p>
    <w:p w:rsidR="00AB23BB" w:rsidRPr="00AB23BB" w:rsidRDefault="00AB23BB" w:rsidP="00AB23BB">
      <w:pPr>
        <w:spacing w:before="20" w:afterLines="20" w:after="48" w:line="230" w:lineRule="exact"/>
        <w:jc w:val="both"/>
        <w:rPr>
          <w:rFonts w:ascii="Times New Roman" w:eastAsia="Times New Roman" w:hAnsi="Times New Roman" w:cs="Times New Roman"/>
          <w:color w:val="auto"/>
          <w:sz w:val="26"/>
          <w:szCs w:val="26"/>
          <w:lang w:bidi="ar-SA"/>
        </w:rPr>
      </w:pPr>
      <w:r w:rsidRPr="00AB23BB">
        <w:rPr>
          <w:rFonts w:ascii="Times New Roman" w:eastAsia="Times New Roman" w:hAnsi="Times New Roman" w:cs="Times New Roman"/>
          <w:color w:val="auto"/>
          <w:sz w:val="26"/>
          <w:szCs w:val="26"/>
          <w:lang w:bidi="ar-SA"/>
        </w:rPr>
        <w:t>Члени Комісії:</w:t>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r>
      <w:r w:rsidRPr="00AB23BB">
        <w:rPr>
          <w:rFonts w:ascii="Times New Roman" w:eastAsia="Times New Roman" w:hAnsi="Times New Roman" w:cs="Times New Roman"/>
          <w:color w:val="auto"/>
          <w:sz w:val="26"/>
          <w:szCs w:val="26"/>
          <w:lang w:bidi="ar-SA"/>
        </w:rPr>
        <w:tab/>
        <w:t>С.В. Гладій</w:t>
      </w:r>
    </w:p>
    <w:p w:rsidR="00AB23BB" w:rsidRPr="00AB23BB" w:rsidRDefault="00AB23BB" w:rsidP="00AB23BB">
      <w:pPr>
        <w:spacing w:before="20" w:afterLines="20" w:after="48" w:line="230" w:lineRule="exact"/>
        <w:jc w:val="both"/>
        <w:rPr>
          <w:rFonts w:ascii="Times New Roman" w:eastAsia="Times New Roman" w:hAnsi="Times New Roman" w:cs="Times New Roman"/>
          <w:color w:val="auto"/>
          <w:sz w:val="26"/>
          <w:szCs w:val="26"/>
          <w:lang w:bidi="ar-SA"/>
        </w:rPr>
      </w:pPr>
    </w:p>
    <w:p w:rsidR="00AB23BB" w:rsidRPr="00AB23BB" w:rsidRDefault="00AB23BB" w:rsidP="00AB23BB">
      <w:pPr>
        <w:spacing w:before="20" w:afterLines="20" w:after="48" w:line="230" w:lineRule="exact"/>
        <w:ind w:left="7080" w:firstLine="708"/>
        <w:jc w:val="both"/>
        <w:rPr>
          <w:rFonts w:ascii="Times New Roman" w:eastAsia="Times New Roman" w:hAnsi="Times New Roman" w:cs="Times New Roman"/>
          <w:color w:val="auto"/>
          <w:sz w:val="26"/>
          <w:szCs w:val="26"/>
          <w:lang w:bidi="ar-SA"/>
        </w:rPr>
      </w:pPr>
      <w:r w:rsidRPr="00AB23BB">
        <w:rPr>
          <w:rFonts w:ascii="Times New Roman" w:eastAsia="Times New Roman" w:hAnsi="Times New Roman" w:cs="Times New Roman"/>
          <w:color w:val="auto"/>
          <w:sz w:val="26"/>
          <w:szCs w:val="26"/>
          <w:lang w:bidi="ar-SA"/>
        </w:rPr>
        <w:t xml:space="preserve">П.С. </w:t>
      </w:r>
      <w:proofErr w:type="spellStart"/>
      <w:r w:rsidRPr="00AB23BB">
        <w:rPr>
          <w:rFonts w:ascii="Times New Roman" w:eastAsia="Times New Roman" w:hAnsi="Times New Roman" w:cs="Times New Roman"/>
          <w:color w:val="auto"/>
          <w:sz w:val="26"/>
          <w:szCs w:val="26"/>
          <w:lang w:bidi="ar-SA"/>
        </w:rPr>
        <w:t>Луцюк</w:t>
      </w:r>
      <w:proofErr w:type="spellEnd"/>
    </w:p>
    <w:p w:rsidR="00D54CDD" w:rsidRPr="00AB23BB" w:rsidRDefault="00D54CDD" w:rsidP="00BE5FF0">
      <w:pPr>
        <w:pStyle w:val="20"/>
        <w:shd w:val="clear" w:color="auto" w:fill="auto"/>
        <w:spacing w:before="0"/>
        <w:ind w:right="95"/>
        <w:jc w:val="both"/>
      </w:pPr>
    </w:p>
    <w:sectPr w:rsidR="00D54CDD" w:rsidRPr="00AB23BB" w:rsidSect="00C6789A">
      <w:headerReference w:type="default" r:id="rId8"/>
      <w:type w:val="continuous"/>
      <w:pgSz w:w="11900" w:h="16840"/>
      <w:pgMar w:top="714" w:right="805" w:bottom="1202" w:left="136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7B3" w:rsidRDefault="004677B3">
      <w:r>
        <w:separator/>
      </w:r>
    </w:p>
  </w:endnote>
  <w:endnote w:type="continuationSeparator" w:id="0">
    <w:p w:rsidR="004677B3" w:rsidRDefault="00467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7B3" w:rsidRDefault="004677B3"/>
  </w:footnote>
  <w:footnote w:type="continuationSeparator" w:id="0">
    <w:p w:rsidR="004677B3" w:rsidRDefault="004677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920070"/>
      <w:docPartObj>
        <w:docPartGallery w:val="Page Numbers (Top of Page)"/>
        <w:docPartUnique/>
      </w:docPartObj>
    </w:sdtPr>
    <w:sdtContent>
      <w:p w:rsidR="00C6789A" w:rsidRDefault="00C6789A">
        <w:pPr>
          <w:pStyle w:val="a5"/>
          <w:jc w:val="center"/>
          <w:rPr>
            <w:lang w:val="en-US"/>
          </w:rPr>
        </w:pPr>
      </w:p>
      <w:p w:rsidR="00C6789A" w:rsidRDefault="00C6789A">
        <w:pPr>
          <w:pStyle w:val="a5"/>
          <w:jc w:val="center"/>
          <w:rPr>
            <w:lang w:val="en-US"/>
          </w:rPr>
        </w:pPr>
      </w:p>
      <w:p w:rsidR="00C6789A" w:rsidRDefault="00C6789A">
        <w:pPr>
          <w:pStyle w:val="a5"/>
          <w:jc w:val="center"/>
        </w:pPr>
        <w:r>
          <w:fldChar w:fldCharType="begin"/>
        </w:r>
        <w:r>
          <w:instrText>PAGE   \* MERGEFORMAT</w:instrText>
        </w:r>
        <w:r>
          <w:fldChar w:fldCharType="separate"/>
        </w:r>
        <w:r w:rsidR="005969A2" w:rsidRPr="005969A2">
          <w:rPr>
            <w:noProof/>
            <w:lang w:val="ru-RU"/>
          </w:rPr>
          <w:t>4</w:t>
        </w:r>
        <w:r>
          <w:fldChar w:fldCharType="end"/>
        </w:r>
      </w:p>
    </w:sdtContent>
  </w:sdt>
  <w:p w:rsidR="00C6789A" w:rsidRDefault="00C6789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CDD"/>
    <w:rsid w:val="00217607"/>
    <w:rsid w:val="0029204E"/>
    <w:rsid w:val="004677B3"/>
    <w:rsid w:val="005969A2"/>
    <w:rsid w:val="00750FEF"/>
    <w:rsid w:val="00A87BC8"/>
    <w:rsid w:val="00AB23BB"/>
    <w:rsid w:val="00BE5FF0"/>
    <w:rsid w:val="00BF4A34"/>
    <w:rsid w:val="00C6789A"/>
    <w:rsid w:val="00D54CDD"/>
    <w:rsid w:val="00DB6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Consolas" w:eastAsia="Consolas" w:hAnsi="Consolas" w:cs="Consolas"/>
      <w:b w:val="0"/>
      <w:bCs w:val="0"/>
      <w:i/>
      <w:iCs/>
      <w:smallCaps w:val="0"/>
      <w:strike w:val="0"/>
      <w:sz w:val="174"/>
      <w:szCs w:val="17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Pr>
      <w:rFonts w:ascii="Arial Narrow" w:eastAsia="Arial Narrow" w:hAnsi="Arial Narrow" w:cs="Arial Narrow"/>
      <w:b w:val="0"/>
      <w:bCs w:val="0"/>
      <w:i w:val="0"/>
      <w:iCs w:val="0"/>
      <w:smallCaps w:val="0"/>
      <w:strike w:val="0"/>
      <w:sz w:val="30"/>
      <w:szCs w:val="30"/>
      <w:u w:val="none"/>
    </w:rPr>
  </w:style>
  <w:style w:type="paragraph" w:customStyle="1" w:styleId="20">
    <w:name w:val="Основной текст (2)"/>
    <w:basedOn w:val="a"/>
    <w:link w:val="2"/>
    <w:pPr>
      <w:shd w:val="clear" w:color="auto" w:fill="FFFFFF"/>
      <w:spacing w:before="280" w:line="288" w:lineRule="exact"/>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line="2038" w:lineRule="exact"/>
      <w:jc w:val="center"/>
    </w:pPr>
    <w:rPr>
      <w:rFonts w:ascii="Consolas" w:eastAsia="Consolas" w:hAnsi="Consolas" w:cs="Consolas"/>
      <w:i/>
      <w:iCs/>
      <w:sz w:val="174"/>
      <w:szCs w:val="174"/>
    </w:rPr>
  </w:style>
  <w:style w:type="paragraph" w:customStyle="1" w:styleId="10">
    <w:name w:val="Заголовок №1"/>
    <w:basedOn w:val="a"/>
    <w:link w:val="1"/>
    <w:pPr>
      <w:shd w:val="clear" w:color="auto" w:fill="FFFFFF"/>
      <w:spacing w:after="280" w:line="398" w:lineRule="exact"/>
      <w:outlineLvl w:val="0"/>
    </w:pPr>
    <w:rPr>
      <w:rFonts w:ascii="Times New Roman" w:eastAsia="Times New Roman" w:hAnsi="Times New Roman" w:cs="Times New Roman"/>
      <w:sz w:val="36"/>
      <w:szCs w:val="36"/>
    </w:rPr>
  </w:style>
  <w:style w:type="paragraph" w:customStyle="1" w:styleId="40">
    <w:name w:val="Основной текст (4)"/>
    <w:basedOn w:val="a"/>
    <w:link w:val="4"/>
    <w:pPr>
      <w:shd w:val="clear" w:color="auto" w:fill="FFFFFF"/>
      <w:spacing w:after="300" w:line="266" w:lineRule="exact"/>
      <w:jc w:val="center"/>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after="220" w:line="340" w:lineRule="exact"/>
      <w:jc w:val="center"/>
    </w:pPr>
    <w:rPr>
      <w:rFonts w:ascii="Arial Narrow" w:eastAsia="Arial Narrow" w:hAnsi="Arial Narrow" w:cs="Arial Narrow"/>
      <w:sz w:val="30"/>
      <w:szCs w:val="30"/>
    </w:rPr>
  </w:style>
  <w:style w:type="paragraph" w:styleId="a3">
    <w:name w:val="Balloon Text"/>
    <w:basedOn w:val="a"/>
    <w:link w:val="a4"/>
    <w:uiPriority w:val="99"/>
    <w:semiHidden/>
    <w:unhideWhenUsed/>
    <w:rsid w:val="00BE5FF0"/>
    <w:rPr>
      <w:rFonts w:ascii="Tahoma" w:hAnsi="Tahoma" w:cs="Tahoma"/>
      <w:sz w:val="16"/>
      <w:szCs w:val="16"/>
    </w:rPr>
  </w:style>
  <w:style w:type="character" w:customStyle="1" w:styleId="a4">
    <w:name w:val="Текст выноски Знак"/>
    <w:basedOn w:val="a0"/>
    <w:link w:val="a3"/>
    <w:uiPriority w:val="99"/>
    <w:semiHidden/>
    <w:rsid w:val="00BE5FF0"/>
    <w:rPr>
      <w:rFonts w:ascii="Tahoma" w:hAnsi="Tahoma" w:cs="Tahoma"/>
      <w:color w:val="000000"/>
      <w:sz w:val="16"/>
      <w:szCs w:val="16"/>
    </w:rPr>
  </w:style>
  <w:style w:type="paragraph" w:styleId="a5">
    <w:name w:val="header"/>
    <w:basedOn w:val="a"/>
    <w:link w:val="a6"/>
    <w:uiPriority w:val="99"/>
    <w:unhideWhenUsed/>
    <w:rsid w:val="00C6789A"/>
    <w:pPr>
      <w:tabs>
        <w:tab w:val="center" w:pos="4819"/>
        <w:tab w:val="right" w:pos="9639"/>
      </w:tabs>
    </w:pPr>
  </w:style>
  <w:style w:type="character" w:customStyle="1" w:styleId="a6">
    <w:name w:val="Верхний колонтитул Знак"/>
    <w:basedOn w:val="a0"/>
    <w:link w:val="a5"/>
    <w:uiPriority w:val="99"/>
    <w:rsid w:val="00C6789A"/>
    <w:rPr>
      <w:color w:val="000000"/>
    </w:rPr>
  </w:style>
  <w:style w:type="paragraph" w:styleId="a7">
    <w:name w:val="footer"/>
    <w:basedOn w:val="a"/>
    <w:link w:val="a8"/>
    <w:uiPriority w:val="99"/>
    <w:unhideWhenUsed/>
    <w:rsid w:val="00C6789A"/>
    <w:pPr>
      <w:tabs>
        <w:tab w:val="center" w:pos="4819"/>
        <w:tab w:val="right" w:pos="9639"/>
      </w:tabs>
    </w:pPr>
  </w:style>
  <w:style w:type="character" w:customStyle="1" w:styleId="a8">
    <w:name w:val="Нижний колонтитул Знак"/>
    <w:basedOn w:val="a0"/>
    <w:link w:val="a7"/>
    <w:uiPriority w:val="99"/>
    <w:rsid w:val="00C678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Consolas" w:eastAsia="Consolas" w:hAnsi="Consolas" w:cs="Consolas"/>
      <w:b w:val="0"/>
      <w:bCs w:val="0"/>
      <w:i/>
      <w:iCs/>
      <w:smallCaps w:val="0"/>
      <w:strike w:val="0"/>
      <w:sz w:val="174"/>
      <w:szCs w:val="17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Pr>
      <w:rFonts w:ascii="Arial Narrow" w:eastAsia="Arial Narrow" w:hAnsi="Arial Narrow" w:cs="Arial Narrow"/>
      <w:b w:val="0"/>
      <w:bCs w:val="0"/>
      <w:i w:val="0"/>
      <w:iCs w:val="0"/>
      <w:smallCaps w:val="0"/>
      <w:strike w:val="0"/>
      <w:sz w:val="30"/>
      <w:szCs w:val="30"/>
      <w:u w:val="none"/>
    </w:rPr>
  </w:style>
  <w:style w:type="paragraph" w:customStyle="1" w:styleId="20">
    <w:name w:val="Основной текст (2)"/>
    <w:basedOn w:val="a"/>
    <w:link w:val="2"/>
    <w:pPr>
      <w:shd w:val="clear" w:color="auto" w:fill="FFFFFF"/>
      <w:spacing w:before="280" w:line="288" w:lineRule="exact"/>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line="2038" w:lineRule="exact"/>
      <w:jc w:val="center"/>
    </w:pPr>
    <w:rPr>
      <w:rFonts w:ascii="Consolas" w:eastAsia="Consolas" w:hAnsi="Consolas" w:cs="Consolas"/>
      <w:i/>
      <w:iCs/>
      <w:sz w:val="174"/>
      <w:szCs w:val="174"/>
    </w:rPr>
  </w:style>
  <w:style w:type="paragraph" w:customStyle="1" w:styleId="10">
    <w:name w:val="Заголовок №1"/>
    <w:basedOn w:val="a"/>
    <w:link w:val="1"/>
    <w:pPr>
      <w:shd w:val="clear" w:color="auto" w:fill="FFFFFF"/>
      <w:spacing w:after="280" w:line="398" w:lineRule="exact"/>
      <w:outlineLvl w:val="0"/>
    </w:pPr>
    <w:rPr>
      <w:rFonts w:ascii="Times New Roman" w:eastAsia="Times New Roman" w:hAnsi="Times New Roman" w:cs="Times New Roman"/>
      <w:sz w:val="36"/>
      <w:szCs w:val="36"/>
    </w:rPr>
  </w:style>
  <w:style w:type="paragraph" w:customStyle="1" w:styleId="40">
    <w:name w:val="Основной текст (4)"/>
    <w:basedOn w:val="a"/>
    <w:link w:val="4"/>
    <w:pPr>
      <w:shd w:val="clear" w:color="auto" w:fill="FFFFFF"/>
      <w:spacing w:after="300" w:line="266" w:lineRule="exact"/>
      <w:jc w:val="center"/>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after="220" w:line="340" w:lineRule="exact"/>
      <w:jc w:val="center"/>
    </w:pPr>
    <w:rPr>
      <w:rFonts w:ascii="Arial Narrow" w:eastAsia="Arial Narrow" w:hAnsi="Arial Narrow" w:cs="Arial Narrow"/>
      <w:sz w:val="30"/>
      <w:szCs w:val="30"/>
    </w:rPr>
  </w:style>
  <w:style w:type="paragraph" w:styleId="a3">
    <w:name w:val="Balloon Text"/>
    <w:basedOn w:val="a"/>
    <w:link w:val="a4"/>
    <w:uiPriority w:val="99"/>
    <w:semiHidden/>
    <w:unhideWhenUsed/>
    <w:rsid w:val="00BE5FF0"/>
    <w:rPr>
      <w:rFonts w:ascii="Tahoma" w:hAnsi="Tahoma" w:cs="Tahoma"/>
      <w:sz w:val="16"/>
      <w:szCs w:val="16"/>
    </w:rPr>
  </w:style>
  <w:style w:type="character" w:customStyle="1" w:styleId="a4">
    <w:name w:val="Текст выноски Знак"/>
    <w:basedOn w:val="a0"/>
    <w:link w:val="a3"/>
    <w:uiPriority w:val="99"/>
    <w:semiHidden/>
    <w:rsid w:val="00BE5FF0"/>
    <w:rPr>
      <w:rFonts w:ascii="Tahoma" w:hAnsi="Tahoma" w:cs="Tahoma"/>
      <w:color w:val="000000"/>
      <w:sz w:val="16"/>
      <w:szCs w:val="16"/>
    </w:rPr>
  </w:style>
  <w:style w:type="paragraph" w:styleId="a5">
    <w:name w:val="header"/>
    <w:basedOn w:val="a"/>
    <w:link w:val="a6"/>
    <w:uiPriority w:val="99"/>
    <w:unhideWhenUsed/>
    <w:rsid w:val="00C6789A"/>
    <w:pPr>
      <w:tabs>
        <w:tab w:val="center" w:pos="4819"/>
        <w:tab w:val="right" w:pos="9639"/>
      </w:tabs>
    </w:pPr>
  </w:style>
  <w:style w:type="character" w:customStyle="1" w:styleId="a6">
    <w:name w:val="Верхний колонтитул Знак"/>
    <w:basedOn w:val="a0"/>
    <w:link w:val="a5"/>
    <w:uiPriority w:val="99"/>
    <w:rsid w:val="00C6789A"/>
    <w:rPr>
      <w:color w:val="000000"/>
    </w:rPr>
  </w:style>
  <w:style w:type="paragraph" w:styleId="a7">
    <w:name w:val="footer"/>
    <w:basedOn w:val="a"/>
    <w:link w:val="a8"/>
    <w:uiPriority w:val="99"/>
    <w:unhideWhenUsed/>
    <w:rsid w:val="00C6789A"/>
    <w:pPr>
      <w:tabs>
        <w:tab w:val="center" w:pos="4819"/>
        <w:tab w:val="right" w:pos="9639"/>
      </w:tabs>
    </w:pPr>
  </w:style>
  <w:style w:type="character" w:customStyle="1" w:styleId="a8">
    <w:name w:val="Нижний колонтитул Знак"/>
    <w:basedOn w:val="a0"/>
    <w:link w:val="a7"/>
    <w:uiPriority w:val="99"/>
    <w:rsid w:val="00C6789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7204</Words>
  <Characters>4107</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Кириченко Ольга Іванівна</dc:creator>
  <cp:lastModifiedBy>Яковенко Надія Костянтинівна</cp:lastModifiedBy>
  <cp:revision>9</cp:revision>
  <dcterms:created xsi:type="dcterms:W3CDTF">2021-01-13T09:50:00Z</dcterms:created>
  <dcterms:modified xsi:type="dcterms:W3CDTF">2021-01-13T11:17:00Z</dcterms:modified>
</cp:coreProperties>
</file>