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3FC" w:rsidRPr="00E461B1" w:rsidRDefault="00D573FC" w:rsidP="004F7F0F">
      <w:pPr>
        <w:tabs>
          <w:tab w:val="left" w:pos="142"/>
          <w:tab w:val="left" w:pos="1985"/>
        </w:tabs>
        <w:jc w:val="both"/>
        <w:rPr>
          <w:rFonts w:ascii="Times New Roman" w:hAnsi="Times New Roman" w:cs="Times New Roman"/>
          <w:sz w:val="26"/>
          <w:szCs w:val="26"/>
        </w:rPr>
      </w:pPr>
      <w:r w:rsidRPr="00E461B1">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0E138C57" wp14:editId="1EFB9FFA">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D573FC" w:rsidRPr="00E461B1" w:rsidRDefault="00D573FC" w:rsidP="004F7F0F">
      <w:pPr>
        <w:tabs>
          <w:tab w:val="left" w:pos="142"/>
          <w:tab w:val="left" w:pos="1985"/>
        </w:tabs>
        <w:jc w:val="both"/>
        <w:rPr>
          <w:rFonts w:ascii="Times New Roman" w:eastAsia="Times New Roman" w:hAnsi="Times New Roman" w:cs="Times New Roman"/>
          <w:sz w:val="26"/>
          <w:szCs w:val="26"/>
          <w:lang w:eastAsia="ru-RU"/>
        </w:rPr>
      </w:pPr>
    </w:p>
    <w:p w:rsidR="00D573FC" w:rsidRPr="00E461B1" w:rsidRDefault="00D573FC" w:rsidP="004F7F0F">
      <w:pPr>
        <w:tabs>
          <w:tab w:val="left" w:pos="142"/>
          <w:tab w:val="left" w:pos="1985"/>
          <w:tab w:val="center" w:pos="4819"/>
          <w:tab w:val="left" w:pos="8625"/>
        </w:tabs>
        <w:jc w:val="both"/>
        <w:rPr>
          <w:rFonts w:ascii="Times New Roman" w:eastAsia="Times New Roman" w:hAnsi="Times New Roman" w:cs="Times New Roman"/>
          <w:bCs/>
          <w:sz w:val="26"/>
          <w:szCs w:val="26"/>
        </w:rPr>
      </w:pPr>
    </w:p>
    <w:p w:rsidR="00D573FC" w:rsidRPr="00E461B1" w:rsidRDefault="00D573FC" w:rsidP="004F7F0F">
      <w:pPr>
        <w:tabs>
          <w:tab w:val="left" w:pos="142"/>
          <w:tab w:val="left" w:pos="1985"/>
          <w:tab w:val="center" w:pos="4819"/>
          <w:tab w:val="left" w:pos="8625"/>
        </w:tabs>
        <w:jc w:val="both"/>
        <w:rPr>
          <w:rFonts w:ascii="Times New Roman" w:eastAsia="Times New Roman" w:hAnsi="Times New Roman" w:cs="Times New Roman"/>
          <w:bCs/>
          <w:sz w:val="26"/>
          <w:szCs w:val="26"/>
        </w:rPr>
      </w:pPr>
    </w:p>
    <w:p w:rsidR="00D573FC" w:rsidRPr="00E461B1" w:rsidRDefault="00D573FC" w:rsidP="004F7F0F">
      <w:pPr>
        <w:tabs>
          <w:tab w:val="left" w:pos="142"/>
          <w:tab w:val="left" w:pos="1985"/>
          <w:tab w:val="center" w:pos="4819"/>
          <w:tab w:val="left" w:pos="8625"/>
        </w:tabs>
        <w:jc w:val="both"/>
        <w:rPr>
          <w:rFonts w:ascii="Times New Roman" w:eastAsia="Times New Roman" w:hAnsi="Times New Roman" w:cs="Times New Roman"/>
          <w:bCs/>
          <w:sz w:val="26"/>
          <w:szCs w:val="26"/>
        </w:rPr>
      </w:pPr>
    </w:p>
    <w:p w:rsidR="00D573FC" w:rsidRPr="00E461B1" w:rsidRDefault="00D573FC" w:rsidP="007F4F56">
      <w:pPr>
        <w:tabs>
          <w:tab w:val="left" w:pos="142"/>
          <w:tab w:val="left" w:pos="1985"/>
          <w:tab w:val="center" w:pos="4819"/>
          <w:tab w:val="left" w:pos="8625"/>
        </w:tabs>
        <w:jc w:val="center"/>
        <w:rPr>
          <w:rFonts w:ascii="Times New Roman" w:eastAsia="Times New Roman" w:hAnsi="Times New Roman" w:cs="Times New Roman"/>
          <w:bCs/>
          <w:sz w:val="36"/>
          <w:szCs w:val="26"/>
        </w:rPr>
      </w:pPr>
      <w:r w:rsidRPr="00E461B1">
        <w:rPr>
          <w:rFonts w:ascii="Times New Roman" w:eastAsia="Times New Roman" w:hAnsi="Times New Roman" w:cs="Times New Roman"/>
          <w:bCs/>
          <w:sz w:val="36"/>
          <w:szCs w:val="26"/>
        </w:rPr>
        <w:t>ВИЩА КВАЛІФІКАЦІЙНА КОМІСІЯ СУДДІВ УКРАЇНИ</w:t>
      </w:r>
    </w:p>
    <w:p w:rsidR="00D573FC" w:rsidRPr="00E461B1" w:rsidRDefault="00D573FC" w:rsidP="004F7F0F">
      <w:pPr>
        <w:tabs>
          <w:tab w:val="left" w:pos="142"/>
          <w:tab w:val="left" w:pos="1985"/>
          <w:tab w:val="center" w:pos="4819"/>
          <w:tab w:val="left" w:pos="8625"/>
        </w:tabs>
        <w:jc w:val="both"/>
        <w:rPr>
          <w:rFonts w:ascii="Times New Roman" w:eastAsia="Times New Roman" w:hAnsi="Times New Roman" w:cs="Times New Roman"/>
          <w:bCs/>
          <w:sz w:val="26"/>
          <w:szCs w:val="26"/>
        </w:rPr>
      </w:pPr>
    </w:p>
    <w:p w:rsidR="00D573FC" w:rsidRPr="00E461B1" w:rsidRDefault="00D573FC" w:rsidP="004F7F0F">
      <w:pPr>
        <w:tabs>
          <w:tab w:val="left" w:pos="142"/>
        </w:tabs>
        <w:ind w:left="20" w:hanging="20"/>
        <w:jc w:val="both"/>
        <w:rPr>
          <w:rFonts w:ascii="Times New Roman" w:hAnsi="Times New Roman" w:cs="Times New Roman"/>
          <w:sz w:val="26"/>
          <w:szCs w:val="26"/>
        </w:rPr>
      </w:pPr>
      <w:r w:rsidRPr="00E461B1">
        <w:rPr>
          <w:rFonts w:ascii="Times New Roman" w:hAnsi="Times New Roman" w:cs="Times New Roman"/>
          <w:sz w:val="26"/>
          <w:szCs w:val="26"/>
        </w:rPr>
        <w:t>0</w:t>
      </w:r>
      <w:r w:rsidR="00B313F0">
        <w:rPr>
          <w:rFonts w:ascii="Times New Roman" w:hAnsi="Times New Roman" w:cs="Times New Roman"/>
          <w:sz w:val="26"/>
          <w:szCs w:val="26"/>
        </w:rPr>
        <w:t>9</w:t>
      </w:r>
      <w:r w:rsidRPr="00E461B1">
        <w:rPr>
          <w:rFonts w:ascii="Times New Roman" w:hAnsi="Times New Roman" w:cs="Times New Roman"/>
          <w:sz w:val="26"/>
          <w:szCs w:val="26"/>
        </w:rPr>
        <w:t xml:space="preserve"> </w:t>
      </w:r>
      <w:r w:rsidR="00E461B1">
        <w:rPr>
          <w:rFonts w:ascii="Times New Roman" w:hAnsi="Times New Roman" w:cs="Times New Roman"/>
          <w:sz w:val="26"/>
          <w:szCs w:val="26"/>
        </w:rPr>
        <w:t>листопада 2018 року</w:t>
      </w:r>
      <w:r w:rsidR="00E461B1">
        <w:rPr>
          <w:rFonts w:ascii="Times New Roman" w:hAnsi="Times New Roman" w:cs="Times New Roman"/>
          <w:sz w:val="26"/>
          <w:szCs w:val="26"/>
        </w:rPr>
        <w:tab/>
      </w:r>
      <w:r w:rsidR="00E461B1">
        <w:rPr>
          <w:rFonts w:ascii="Times New Roman" w:hAnsi="Times New Roman" w:cs="Times New Roman"/>
          <w:sz w:val="26"/>
          <w:szCs w:val="26"/>
        </w:rPr>
        <w:tab/>
      </w:r>
      <w:r w:rsidR="00E461B1">
        <w:rPr>
          <w:rFonts w:ascii="Times New Roman" w:hAnsi="Times New Roman" w:cs="Times New Roman"/>
          <w:sz w:val="26"/>
          <w:szCs w:val="26"/>
        </w:rPr>
        <w:tab/>
      </w:r>
      <w:r w:rsidR="00E461B1">
        <w:rPr>
          <w:rFonts w:ascii="Times New Roman" w:hAnsi="Times New Roman" w:cs="Times New Roman"/>
          <w:sz w:val="26"/>
          <w:szCs w:val="26"/>
        </w:rPr>
        <w:tab/>
      </w:r>
      <w:r w:rsidR="00E461B1">
        <w:rPr>
          <w:rFonts w:ascii="Times New Roman" w:hAnsi="Times New Roman" w:cs="Times New Roman"/>
          <w:sz w:val="26"/>
          <w:szCs w:val="26"/>
        </w:rPr>
        <w:tab/>
      </w:r>
      <w:r w:rsidR="00E461B1">
        <w:rPr>
          <w:rFonts w:ascii="Times New Roman" w:hAnsi="Times New Roman" w:cs="Times New Roman"/>
          <w:sz w:val="26"/>
          <w:szCs w:val="26"/>
        </w:rPr>
        <w:tab/>
      </w:r>
      <w:r w:rsidR="00E461B1">
        <w:rPr>
          <w:rFonts w:ascii="Times New Roman" w:hAnsi="Times New Roman" w:cs="Times New Roman"/>
          <w:sz w:val="26"/>
          <w:szCs w:val="26"/>
        </w:rPr>
        <w:tab/>
      </w:r>
      <w:r w:rsidR="00E461B1">
        <w:rPr>
          <w:rFonts w:ascii="Times New Roman" w:hAnsi="Times New Roman" w:cs="Times New Roman"/>
          <w:sz w:val="26"/>
          <w:szCs w:val="26"/>
        </w:rPr>
        <w:tab/>
      </w:r>
      <w:r w:rsidR="007F4F56">
        <w:rPr>
          <w:rFonts w:ascii="Times New Roman" w:hAnsi="Times New Roman" w:cs="Times New Roman"/>
          <w:sz w:val="26"/>
          <w:szCs w:val="26"/>
        </w:rPr>
        <w:tab/>
        <w:t xml:space="preserve">     </w:t>
      </w:r>
      <w:r w:rsidRPr="00E461B1">
        <w:rPr>
          <w:rFonts w:ascii="Times New Roman" w:hAnsi="Times New Roman" w:cs="Times New Roman"/>
          <w:sz w:val="26"/>
          <w:szCs w:val="26"/>
        </w:rPr>
        <w:t>м. Київ</w:t>
      </w:r>
    </w:p>
    <w:p w:rsidR="00D573FC" w:rsidRPr="00E461B1" w:rsidRDefault="00D573FC" w:rsidP="004F7F0F">
      <w:pPr>
        <w:tabs>
          <w:tab w:val="left" w:pos="142"/>
        </w:tabs>
        <w:ind w:left="20" w:hanging="20"/>
        <w:jc w:val="both"/>
        <w:rPr>
          <w:rFonts w:ascii="Times New Roman" w:hAnsi="Times New Roman" w:cs="Times New Roman"/>
          <w:sz w:val="26"/>
          <w:szCs w:val="26"/>
        </w:rPr>
      </w:pPr>
    </w:p>
    <w:p w:rsidR="00D573FC" w:rsidRDefault="00D573FC" w:rsidP="004F7F0F">
      <w:pPr>
        <w:tabs>
          <w:tab w:val="left" w:pos="142"/>
        </w:tabs>
        <w:ind w:left="20" w:firstLine="3099"/>
        <w:jc w:val="both"/>
        <w:rPr>
          <w:rFonts w:ascii="Times New Roman" w:hAnsi="Times New Roman" w:cs="Times New Roman"/>
          <w:sz w:val="26"/>
          <w:szCs w:val="26"/>
          <w:u w:val="single"/>
        </w:rPr>
      </w:pPr>
      <w:r w:rsidRPr="00E461B1">
        <w:rPr>
          <w:rFonts w:ascii="Times New Roman" w:hAnsi="Times New Roman" w:cs="Times New Roman"/>
          <w:sz w:val="26"/>
          <w:szCs w:val="26"/>
        </w:rPr>
        <w:t xml:space="preserve">Р І Ш Е Н </w:t>
      </w:r>
      <w:proofErr w:type="spellStart"/>
      <w:r w:rsidRPr="00E461B1">
        <w:rPr>
          <w:rFonts w:ascii="Times New Roman" w:hAnsi="Times New Roman" w:cs="Times New Roman"/>
          <w:sz w:val="26"/>
          <w:szCs w:val="26"/>
        </w:rPr>
        <w:t>Н</w:t>
      </w:r>
      <w:proofErr w:type="spellEnd"/>
      <w:r w:rsidRPr="00E461B1">
        <w:rPr>
          <w:rFonts w:ascii="Times New Roman" w:hAnsi="Times New Roman" w:cs="Times New Roman"/>
          <w:sz w:val="26"/>
          <w:szCs w:val="26"/>
        </w:rPr>
        <w:t xml:space="preserve"> Я № </w:t>
      </w:r>
      <w:r w:rsidRPr="00E461B1">
        <w:rPr>
          <w:rFonts w:ascii="Times New Roman" w:hAnsi="Times New Roman" w:cs="Times New Roman"/>
          <w:sz w:val="26"/>
          <w:szCs w:val="26"/>
          <w:u w:val="single"/>
        </w:rPr>
        <w:t>1954/ко-18</w:t>
      </w:r>
    </w:p>
    <w:p w:rsidR="00E461B1" w:rsidRPr="00E461B1" w:rsidRDefault="00E461B1" w:rsidP="004F7F0F">
      <w:pPr>
        <w:tabs>
          <w:tab w:val="left" w:pos="142"/>
        </w:tabs>
        <w:ind w:left="20" w:firstLine="3099"/>
        <w:jc w:val="both"/>
        <w:rPr>
          <w:rFonts w:ascii="Times New Roman" w:hAnsi="Times New Roman" w:cs="Times New Roman"/>
          <w:sz w:val="26"/>
          <w:szCs w:val="26"/>
          <w:u w:val="single"/>
        </w:rPr>
      </w:pPr>
    </w:p>
    <w:p w:rsidR="00E26841" w:rsidRPr="00E461B1" w:rsidRDefault="00992595" w:rsidP="004F7F0F">
      <w:pPr>
        <w:pStyle w:val="11"/>
        <w:shd w:val="clear" w:color="auto" w:fill="auto"/>
        <w:tabs>
          <w:tab w:val="left" w:pos="142"/>
        </w:tabs>
        <w:spacing w:line="240" w:lineRule="auto"/>
        <w:ind w:left="40"/>
        <w:rPr>
          <w:sz w:val="26"/>
          <w:szCs w:val="26"/>
        </w:rPr>
      </w:pPr>
      <w:r w:rsidRPr="00E461B1">
        <w:rPr>
          <w:sz w:val="26"/>
          <w:szCs w:val="26"/>
        </w:rPr>
        <w:t>Вища кваліфікаційна комісія суддів України у складі колегії:</w:t>
      </w:r>
    </w:p>
    <w:p w:rsidR="00D573FC" w:rsidRPr="00E461B1" w:rsidRDefault="00D573FC" w:rsidP="004F7F0F">
      <w:pPr>
        <w:pStyle w:val="11"/>
        <w:shd w:val="clear" w:color="auto" w:fill="auto"/>
        <w:tabs>
          <w:tab w:val="left" w:pos="142"/>
        </w:tabs>
        <w:spacing w:line="240" w:lineRule="auto"/>
        <w:ind w:left="40"/>
        <w:rPr>
          <w:sz w:val="26"/>
          <w:szCs w:val="26"/>
        </w:rPr>
      </w:pPr>
    </w:p>
    <w:p w:rsidR="00E26841" w:rsidRPr="00E461B1" w:rsidRDefault="00992595" w:rsidP="004F7F0F">
      <w:pPr>
        <w:pStyle w:val="11"/>
        <w:shd w:val="clear" w:color="auto" w:fill="auto"/>
        <w:tabs>
          <w:tab w:val="left" w:pos="142"/>
        </w:tabs>
        <w:spacing w:after="298" w:line="240" w:lineRule="auto"/>
        <w:ind w:left="40"/>
        <w:rPr>
          <w:sz w:val="26"/>
          <w:szCs w:val="26"/>
        </w:rPr>
      </w:pPr>
      <w:r w:rsidRPr="00E461B1">
        <w:rPr>
          <w:sz w:val="26"/>
          <w:szCs w:val="26"/>
        </w:rPr>
        <w:t xml:space="preserve">головуючого </w:t>
      </w:r>
      <w:r w:rsidR="007F4F56">
        <w:rPr>
          <w:sz w:val="26"/>
          <w:szCs w:val="26"/>
        </w:rPr>
        <w:t>–</w:t>
      </w:r>
      <w:r w:rsidRPr="00E461B1">
        <w:rPr>
          <w:sz w:val="26"/>
          <w:szCs w:val="26"/>
        </w:rPr>
        <w:t xml:space="preserve"> </w:t>
      </w:r>
      <w:proofErr w:type="spellStart"/>
      <w:r w:rsidRPr="00E461B1">
        <w:rPr>
          <w:sz w:val="26"/>
          <w:szCs w:val="26"/>
        </w:rPr>
        <w:t>Макарчука</w:t>
      </w:r>
      <w:proofErr w:type="spellEnd"/>
      <w:r w:rsidRPr="00E461B1">
        <w:rPr>
          <w:sz w:val="26"/>
          <w:szCs w:val="26"/>
        </w:rPr>
        <w:t xml:space="preserve"> М.А.,</w:t>
      </w:r>
    </w:p>
    <w:p w:rsidR="00E26841" w:rsidRPr="00E461B1" w:rsidRDefault="00992595" w:rsidP="004F7F0F">
      <w:pPr>
        <w:pStyle w:val="11"/>
        <w:shd w:val="clear" w:color="auto" w:fill="auto"/>
        <w:tabs>
          <w:tab w:val="left" w:pos="142"/>
        </w:tabs>
        <w:spacing w:after="257" w:line="240" w:lineRule="auto"/>
        <w:ind w:left="40"/>
        <w:rPr>
          <w:sz w:val="26"/>
          <w:szCs w:val="26"/>
        </w:rPr>
      </w:pPr>
      <w:r w:rsidRPr="00E461B1">
        <w:rPr>
          <w:sz w:val="26"/>
          <w:szCs w:val="26"/>
        </w:rPr>
        <w:t xml:space="preserve">членів Комісії: </w:t>
      </w:r>
      <w:proofErr w:type="spellStart"/>
      <w:r w:rsidRPr="00E461B1">
        <w:rPr>
          <w:sz w:val="26"/>
          <w:szCs w:val="26"/>
        </w:rPr>
        <w:t>Весельської</w:t>
      </w:r>
      <w:proofErr w:type="spellEnd"/>
      <w:r w:rsidRPr="00E461B1">
        <w:rPr>
          <w:sz w:val="26"/>
          <w:szCs w:val="26"/>
        </w:rPr>
        <w:t xml:space="preserve"> Т.Ф., Лукаша Т.В.,</w:t>
      </w:r>
    </w:p>
    <w:p w:rsidR="00E26841" w:rsidRPr="00E461B1" w:rsidRDefault="00992595" w:rsidP="004F7F0F">
      <w:pPr>
        <w:pStyle w:val="11"/>
        <w:shd w:val="clear" w:color="auto" w:fill="auto"/>
        <w:tabs>
          <w:tab w:val="left" w:pos="142"/>
        </w:tabs>
        <w:spacing w:after="290" w:line="240" w:lineRule="auto"/>
        <w:ind w:left="40"/>
        <w:rPr>
          <w:sz w:val="26"/>
          <w:szCs w:val="26"/>
        </w:rPr>
      </w:pPr>
      <w:r w:rsidRPr="00E461B1">
        <w:rPr>
          <w:sz w:val="26"/>
          <w:szCs w:val="26"/>
        </w:rPr>
        <w:t xml:space="preserve">розглянувши питання про результати кваліфікаційного оцінювання судді Львівського окружного адміністративного суду </w:t>
      </w:r>
      <w:proofErr w:type="spellStart"/>
      <w:r w:rsidRPr="00E461B1">
        <w:rPr>
          <w:sz w:val="26"/>
          <w:szCs w:val="26"/>
        </w:rPr>
        <w:t>Сакалоша</w:t>
      </w:r>
      <w:proofErr w:type="spellEnd"/>
      <w:r w:rsidRPr="00E461B1">
        <w:rPr>
          <w:sz w:val="26"/>
          <w:szCs w:val="26"/>
        </w:rPr>
        <w:t xml:space="preserve"> Володимира Миколайовича на відповідність займаній посаді,</w:t>
      </w:r>
    </w:p>
    <w:p w:rsidR="00E26841" w:rsidRPr="00E461B1" w:rsidRDefault="00992595" w:rsidP="004F7F0F">
      <w:pPr>
        <w:pStyle w:val="11"/>
        <w:shd w:val="clear" w:color="auto" w:fill="auto"/>
        <w:tabs>
          <w:tab w:val="left" w:pos="142"/>
        </w:tabs>
        <w:spacing w:after="304" w:line="240" w:lineRule="auto"/>
        <w:jc w:val="center"/>
        <w:rPr>
          <w:sz w:val="26"/>
          <w:szCs w:val="26"/>
        </w:rPr>
      </w:pPr>
      <w:r w:rsidRPr="00E461B1">
        <w:rPr>
          <w:sz w:val="26"/>
          <w:szCs w:val="26"/>
        </w:rPr>
        <w:t>встановила:</w:t>
      </w:r>
    </w:p>
    <w:p w:rsidR="00E26841" w:rsidRPr="00E461B1" w:rsidRDefault="00992595" w:rsidP="004F7F0F">
      <w:pPr>
        <w:pStyle w:val="11"/>
        <w:shd w:val="clear" w:color="auto" w:fill="auto"/>
        <w:tabs>
          <w:tab w:val="left" w:pos="142"/>
        </w:tabs>
        <w:spacing w:line="240" w:lineRule="auto"/>
        <w:ind w:left="40" w:firstLine="700"/>
        <w:rPr>
          <w:sz w:val="26"/>
          <w:szCs w:val="26"/>
        </w:rPr>
      </w:pPr>
      <w:r w:rsidRPr="00E461B1">
        <w:rPr>
          <w:sz w:val="26"/>
          <w:szCs w:val="26"/>
        </w:rPr>
        <w:t>Згідно з пунктом 16</w:t>
      </w:r>
      <w:r w:rsidR="00D573FC" w:rsidRPr="00E461B1">
        <w:rPr>
          <w:sz w:val="26"/>
          <w:szCs w:val="26"/>
          <w:vertAlign w:val="superscript"/>
        </w:rPr>
        <w:t>1</w:t>
      </w:r>
      <w:r w:rsidRPr="00E461B1">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26841" w:rsidRPr="00E461B1" w:rsidRDefault="00992595" w:rsidP="004F7F0F">
      <w:pPr>
        <w:pStyle w:val="11"/>
        <w:shd w:val="clear" w:color="auto" w:fill="auto"/>
        <w:tabs>
          <w:tab w:val="left" w:pos="142"/>
        </w:tabs>
        <w:spacing w:line="240" w:lineRule="auto"/>
        <w:ind w:left="40" w:firstLine="700"/>
        <w:rPr>
          <w:sz w:val="26"/>
          <w:szCs w:val="26"/>
        </w:rPr>
      </w:pPr>
      <w:r w:rsidRPr="00E461B1">
        <w:rPr>
          <w:sz w:val="26"/>
          <w:szCs w:val="26"/>
        </w:rPr>
        <w:t xml:space="preserve">Пунктом 20 розділу XII «Прикінцеві та перехідні положення» Закону України «Про судоустрій і статус суддів» (далі </w:t>
      </w:r>
      <w:r w:rsidR="00D573FC" w:rsidRPr="00E461B1">
        <w:rPr>
          <w:sz w:val="26"/>
          <w:szCs w:val="26"/>
        </w:rPr>
        <w:t>–</w:t>
      </w:r>
      <w:r w:rsidRPr="00E461B1">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26841" w:rsidRPr="00E461B1" w:rsidRDefault="00992595" w:rsidP="004F7F0F">
      <w:pPr>
        <w:pStyle w:val="11"/>
        <w:shd w:val="clear" w:color="auto" w:fill="auto"/>
        <w:tabs>
          <w:tab w:val="left" w:pos="142"/>
        </w:tabs>
        <w:spacing w:line="240" w:lineRule="auto"/>
        <w:ind w:left="40" w:firstLine="700"/>
        <w:rPr>
          <w:sz w:val="26"/>
          <w:szCs w:val="26"/>
        </w:rPr>
      </w:pPr>
      <w:r w:rsidRPr="00E461B1">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E461B1">
        <w:rPr>
          <w:sz w:val="20"/>
          <w:szCs w:val="26"/>
        </w:rPr>
        <w:t xml:space="preserve"> </w:t>
      </w:r>
      <w:r w:rsidRPr="00E461B1">
        <w:rPr>
          <w:sz w:val="26"/>
          <w:szCs w:val="26"/>
        </w:rPr>
        <w:t>або доброчесності</w:t>
      </w:r>
      <w:r w:rsidRPr="00E461B1">
        <w:rPr>
          <w:sz w:val="16"/>
          <w:szCs w:val="26"/>
        </w:rPr>
        <w:t xml:space="preserve"> </w:t>
      </w:r>
      <w:r w:rsidRPr="00E461B1">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E461B1">
        <w:rPr>
          <w:sz w:val="20"/>
          <w:szCs w:val="26"/>
        </w:rPr>
        <w:t xml:space="preserve"> </w:t>
      </w:r>
      <w:r w:rsidRPr="00E461B1">
        <w:rPr>
          <w:sz w:val="26"/>
          <w:szCs w:val="26"/>
        </w:rPr>
        <w:t>Вищої кваліфікаційної комісії суддів України.</w:t>
      </w:r>
    </w:p>
    <w:p w:rsidR="00D573FC" w:rsidRDefault="00992595" w:rsidP="004F7F0F">
      <w:pPr>
        <w:pStyle w:val="11"/>
        <w:shd w:val="clear" w:color="auto" w:fill="auto"/>
        <w:tabs>
          <w:tab w:val="left" w:pos="142"/>
        </w:tabs>
        <w:spacing w:line="240" w:lineRule="auto"/>
        <w:ind w:left="40" w:firstLine="700"/>
        <w:rPr>
          <w:sz w:val="26"/>
          <w:szCs w:val="26"/>
        </w:rPr>
      </w:pPr>
      <w:r w:rsidRPr="00E461B1">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E461B1">
        <w:rPr>
          <w:sz w:val="26"/>
          <w:szCs w:val="26"/>
        </w:rPr>
        <w:t>Сакалоша</w:t>
      </w:r>
      <w:proofErr w:type="spellEnd"/>
      <w:r w:rsidRPr="00E461B1">
        <w:rPr>
          <w:sz w:val="26"/>
          <w:szCs w:val="26"/>
        </w:rPr>
        <w:t xml:space="preserve"> В.М.</w:t>
      </w:r>
    </w:p>
    <w:p w:rsidR="00E461B1" w:rsidRDefault="00E461B1" w:rsidP="004F7F0F">
      <w:pPr>
        <w:pStyle w:val="11"/>
        <w:shd w:val="clear" w:color="auto" w:fill="auto"/>
        <w:tabs>
          <w:tab w:val="left" w:pos="142"/>
        </w:tabs>
        <w:spacing w:line="240" w:lineRule="auto"/>
        <w:ind w:left="40" w:firstLine="700"/>
        <w:rPr>
          <w:sz w:val="26"/>
          <w:szCs w:val="26"/>
        </w:rPr>
      </w:pPr>
    </w:p>
    <w:p w:rsidR="00E461B1" w:rsidRDefault="00E461B1" w:rsidP="004F7F0F">
      <w:pPr>
        <w:pStyle w:val="11"/>
        <w:shd w:val="clear" w:color="auto" w:fill="auto"/>
        <w:tabs>
          <w:tab w:val="left" w:pos="142"/>
        </w:tabs>
        <w:spacing w:line="240" w:lineRule="auto"/>
        <w:ind w:left="40" w:firstLine="700"/>
        <w:rPr>
          <w:sz w:val="26"/>
          <w:szCs w:val="26"/>
        </w:rPr>
      </w:pP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w:t>
      </w:r>
      <w:r w:rsidR="00D573FC" w:rsidRPr="00E461B1">
        <w:rPr>
          <w:sz w:val="26"/>
          <w:szCs w:val="26"/>
        </w:rPr>
        <w:t>редакції рішення Комісії від 13 </w:t>
      </w:r>
      <w:r w:rsidRPr="00E461B1">
        <w:rPr>
          <w:sz w:val="26"/>
          <w:szCs w:val="26"/>
        </w:rPr>
        <w:t xml:space="preserve">лютого 2018 року № 20/зп-18) (далі </w:t>
      </w:r>
      <w:r w:rsidR="00E461B1">
        <w:rPr>
          <w:sz w:val="26"/>
          <w:szCs w:val="26"/>
        </w:rPr>
        <w:t>–</w:t>
      </w:r>
      <w:r w:rsidRPr="00E461B1">
        <w:rPr>
          <w:sz w:val="26"/>
          <w:szCs w:val="26"/>
        </w:rPr>
        <w:t xml:space="preserve"> Положення), встановленн</w:t>
      </w:r>
      <w:r w:rsidR="00E461B1" w:rsidRPr="00E461B1">
        <w:rPr>
          <w:sz w:val="26"/>
          <w:szCs w:val="26"/>
        </w:rPr>
        <w:t xml:space="preserve">я відповідності судді критеріям </w:t>
      </w:r>
      <w:r w:rsidRPr="00E461B1">
        <w:rPr>
          <w:sz w:val="26"/>
          <w:szCs w:val="26"/>
        </w:rPr>
        <w:t>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w:t>
      </w:r>
      <w:r w:rsidR="00E461B1">
        <w:rPr>
          <w:sz w:val="26"/>
          <w:szCs w:val="26"/>
        </w:rPr>
        <w:t>а також більше 67 відсотків від </w:t>
      </w:r>
      <w:r w:rsidRPr="00E461B1">
        <w:rPr>
          <w:sz w:val="26"/>
          <w:szCs w:val="26"/>
        </w:rPr>
        <w:t>суми максимально можливих балів за результатами к</w:t>
      </w:r>
      <w:r w:rsidR="00E461B1">
        <w:rPr>
          <w:sz w:val="26"/>
          <w:szCs w:val="26"/>
        </w:rPr>
        <w:t>валіфікаційного оцінювання всіх </w:t>
      </w:r>
      <w:r w:rsidRPr="00E461B1">
        <w:rPr>
          <w:sz w:val="26"/>
          <w:szCs w:val="26"/>
        </w:rPr>
        <w:t>критеріїв за умови отримання за кожен з критеріїв бала більшого за 0.</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Згідно зі статтею 85 Закону кваліфікаційне оцінювання включає такі етапи:</w:t>
      </w:r>
    </w:p>
    <w:p w:rsidR="00E26841" w:rsidRPr="00E461B1" w:rsidRDefault="00992595" w:rsidP="004F7F0F">
      <w:pPr>
        <w:pStyle w:val="11"/>
        <w:numPr>
          <w:ilvl w:val="0"/>
          <w:numId w:val="1"/>
        </w:numPr>
        <w:shd w:val="clear" w:color="auto" w:fill="auto"/>
        <w:tabs>
          <w:tab w:val="left" w:pos="142"/>
          <w:tab w:val="left" w:pos="1172"/>
        </w:tabs>
        <w:spacing w:line="240" w:lineRule="auto"/>
        <w:ind w:left="20" w:firstLine="700"/>
        <w:rPr>
          <w:sz w:val="26"/>
          <w:szCs w:val="26"/>
        </w:rPr>
      </w:pPr>
      <w:r w:rsidRPr="00E461B1">
        <w:rPr>
          <w:sz w:val="26"/>
          <w:szCs w:val="26"/>
        </w:rPr>
        <w:t>складення іспиту (складення анонімного письмового тестування та виконання практичного завдання);</w:t>
      </w:r>
    </w:p>
    <w:p w:rsidR="00E26841" w:rsidRPr="00E461B1" w:rsidRDefault="00992595" w:rsidP="004F7F0F">
      <w:pPr>
        <w:pStyle w:val="11"/>
        <w:numPr>
          <w:ilvl w:val="0"/>
          <w:numId w:val="1"/>
        </w:numPr>
        <w:shd w:val="clear" w:color="auto" w:fill="auto"/>
        <w:tabs>
          <w:tab w:val="left" w:pos="142"/>
          <w:tab w:val="left" w:pos="998"/>
        </w:tabs>
        <w:spacing w:line="240" w:lineRule="auto"/>
        <w:ind w:left="20" w:firstLine="700"/>
        <w:rPr>
          <w:sz w:val="26"/>
          <w:szCs w:val="26"/>
        </w:rPr>
      </w:pPr>
      <w:r w:rsidRPr="00E461B1">
        <w:rPr>
          <w:sz w:val="26"/>
          <w:szCs w:val="26"/>
        </w:rPr>
        <w:t>дослідження досьє та проведення співбесіди.</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Відповідно до положень частини третьої статті</w:t>
      </w:r>
      <w:r w:rsidR="00D573FC" w:rsidRPr="00E461B1">
        <w:rPr>
          <w:sz w:val="26"/>
          <w:szCs w:val="26"/>
        </w:rPr>
        <w:t xml:space="preserve"> 85 Закону рішенням Комісії від </w:t>
      </w:r>
      <w:r w:rsidRPr="00E461B1">
        <w:rPr>
          <w:sz w:val="26"/>
          <w:szCs w:val="26"/>
        </w:rPr>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26841" w:rsidRPr="00E461B1" w:rsidRDefault="00992595" w:rsidP="004F7F0F">
      <w:pPr>
        <w:pStyle w:val="11"/>
        <w:shd w:val="clear" w:color="auto" w:fill="auto"/>
        <w:tabs>
          <w:tab w:val="left" w:pos="142"/>
        </w:tabs>
        <w:spacing w:line="240" w:lineRule="auto"/>
        <w:ind w:left="20" w:firstLine="700"/>
        <w:rPr>
          <w:sz w:val="26"/>
          <w:szCs w:val="26"/>
        </w:rPr>
      </w:pPr>
      <w:proofErr w:type="spellStart"/>
      <w:r w:rsidRPr="00E461B1">
        <w:rPr>
          <w:sz w:val="26"/>
          <w:szCs w:val="26"/>
        </w:rPr>
        <w:t>Сакалош</w:t>
      </w:r>
      <w:proofErr w:type="spellEnd"/>
      <w:r w:rsidRPr="00E461B1">
        <w:rPr>
          <w:sz w:val="26"/>
          <w:szCs w:val="26"/>
        </w:rPr>
        <w:t xml:space="preserve"> В.М. склав анонімне письмове тестування, за результатами якого набрав 90 балів. За результатами виконаного практичного завдання </w:t>
      </w:r>
      <w:proofErr w:type="spellStart"/>
      <w:r w:rsidRPr="00E461B1">
        <w:rPr>
          <w:sz w:val="26"/>
          <w:szCs w:val="26"/>
        </w:rPr>
        <w:t>Сакалош</w:t>
      </w:r>
      <w:proofErr w:type="spellEnd"/>
      <w:r w:rsidRPr="00E461B1">
        <w:rPr>
          <w:sz w:val="26"/>
          <w:szCs w:val="26"/>
        </w:rPr>
        <w:t xml:space="preserve"> В.М. набрав 88,5 бала. На етапі складення іспиту суддя загалом набрав 178,5 бала.</w:t>
      </w:r>
    </w:p>
    <w:p w:rsidR="00E26841" w:rsidRPr="00E461B1" w:rsidRDefault="00992595" w:rsidP="004F7F0F">
      <w:pPr>
        <w:pStyle w:val="11"/>
        <w:shd w:val="clear" w:color="auto" w:fill="auto"/>
        <w:tabs>
          <w:tab w:val="left" w:pos="142"/>
        </w:tabs>
        <w:spacing w:line="240" w:lineRule="auto"/>
        <w:ind w:left="20" w:firstLine="700"/>
        <w:rPr>
          <w:sz w:val="26"/>
          <w:szCs w:val="26"/>
        </w:rPr>
      </w:pPr>
      <w:proofErr w:type="spellStart"/>
      <w:r w:rsidRPr="00E461B1">
        <w:rPr>
          <w:sz w:val="26"/>
          <w:szCs w:val="26"/>
        </w:rPr>
        <w:t>Сакалош</w:t>
      </w:r>
      <w:proofErr w:type="spellEnd"/>
      <w:r w:rsidRPr="00E461B1">
        <w:rPr>
          <w:sz w:val="26"/>
          <w:szCs w:val="26"/>
        </w:rPr>
        <w:t xml:space="preserve">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Львівського окружного адміністративного суду </w:t>
      </w:r>
      <w:proofErr w:type="spellStart"/>
      <w:r w:rsidRPr="00E461B1">
        <w:rPr>
          <w:sz w:val="26"/>
          <w:szCs w:val="26"/>
        </w:rPr>
        <w:t>Сакалоша</w:t>
      </w:r>
      <w:proofErr w:type="spellEnd"/>
      <w:r w:rsidRPr="00E461B1">
        <w:rPr>
          <w:sz w:val="26"/>
          <w:szCs w:val="26"/>
        </w:rPr>
        <w:t xml:space="preserve"> В.М.,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Комісією 04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Рішенням Комісії від 04 липня 2018 року відповідно до частини шостої статті 84 Закону зупинено кваліфікаційне оцінюва</w:t>
      </w:r>
      <w:r w:rsidR="00E461B1">
        <w:rPr>
          <w:sz w:val="26"/>
          <w:szCs w:val="26"/>
        </w:rPr>
        <w:t xml:space="preserve">ння судді Львівського окружного </w:t>
      </w:r>
      <w:r w:rsidRPr="00E461B1">
        <w:rPr>
          <w:sz w:val="26"/>
          <w:szCs w:val="26"/>
        </w:rPr>
        <w:t xml:space="preserve">адміністративного суду </w:t>
      </w:r>
      <w:proofErr w:type="spellStart"/>
      <w:r w:rsidRPr="00E461B1">
        <w:rPr>
          <w:sz w:val="26"/>
          <w:szCs w:val="26"/>
        </w:rPr>
        <w:t>Сакалоша</w:t>
      </w:r>
      <w:proofErr w:type="spellEnd"/>
      <w:r w:rsidRPr="00E461B1">
        <w:rPr>
          <w:sz w:val="26"/>
          <w:szCs w:val="26"/>
        </w:rPr>
        <w:t xml:space="preserve"> Володимира Миколайовича та повідомлено</w:t>
      </w:r>
      <w:r w:rsidR="00E461B1">
        <w:rPr>
          <w:sz w:val="26"/>
          <w:szCs w:val="26"/>
        </w:rPr>
        <w:t xml:space="preserve"> </w:t>
      </w:r>
      <w:r w:rsidRPr="00E461B1">
        <w:rPr>
          <w:sz w:val="26"/>
          <w:szCs w:val="26"/>
        </w:rPr>
        <w:lastRenderedPageBreak/>
        <w:t>Національне агентство з питань запобігання корупції про обставини, що можуть свідчити про порушення суддею законодавства у</w:t>
      </w:r>
      <w:r w:rsidR="00E461B1">
        <w:rPr>
          <w:sz w:val="26"/>
          <w:szCs w:val="26"/>
        </w:rPr>
        <w:t xml:space="preserve"> сфері запобігання корупції. До </w:t>
      </w:r>
      <w:r w:rsidRPr="00E461B1">
        <w:rPr>
          <w:sz w:val="26"/>
          <w:szCs w:val="26"/>
        </w:rPr>
        <w:t xml:space="preserve">Комісії надійшов лист з Національного агентства з питань запобігання корупції, у якому йшлося, що інформацію, зазначену у повідомленні, взято до уваги та врахування в роботі. Проведення співбесіди за результатами дослідження досьє судді </w:t>
      </w:r>
      <w:proofErr w:type="spellStart"/>
      <w:r w:rsidRPr="00E461B1">
        <w:rPr>
          <w:sz w:val="26"/>
          <w:szCs w:val="26"/>
        </w:rPr>
        <w:t>Сакалоша</w:t>
      </w:r>
      <w:proofErr w:type="spellEnd"/>
      <w:r w:rsidRPr="00E461B1">
        <w:rPr>
          <w:sz w:val="26"/>
          <w:szCs w:val="26"/>
        </w:rPr>
        <w:t xml:space="preserve"> В.М. у межах кваліфікаційного оцінювання суддів місцевих та апеляційних судів на відповідність займаній посаді продовжено 12 жовтня 2018 року. У зв’язку з необхідністю отримати інформацію та копії документів у засіданні Комісії було оголошено перерву. Проведення співбесіди за результатами дослідження досьє судді </w:t>
      </w:r>
      <w:proofErr w:type="spellStart"/>
      <w:r w:rsidRPr="00E461B1">
        <w:rPr>
          <w:sz w:val="26"/>
          <w:szCs w:val="26"/>
        </w:rPr>
        <w:t>Сакалоша</w:t>
      </w:r>
      <w:proofErr w:type="spellEnd"/>
      <w:r w:rsidRPr="00E461B1">
        <w:rPr>
          <w:sz w:val="26"/>
          <w:szCs w:val="26"/>
        </w:rPr>
        <w:t xml:space="preserve"> В.М. у межах кваліфікаційного оцінювання суддів місцевих та апеляційних судів на відповідність займаній посаді продовжено 09 листопада 2018 року.</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w:t>
      </w:r>
      <w:r w:rsidR="004F7F0F">
        <w:rPr>
          <w:sz w:val="26"/>
          <w:szCs w:val="26"/>
        </w:rPr>
        <w:t>про відповідність Са</w:t>
      </w:r>
      <w:proofErr w:type="spellStart"/>
      <w:r w:rsidR="004F7F0F">
        <w:rPr>
          <w:sz w:val="26"/>
          <w:szCs w:val="26"/>
        </w:rPr>
        <w:t>калоша В.М. </w:t>
      </w:r>
      <w:proofErr w:type="spellEnd"/>
      <w:r w:rsidRPr="00E461B1">
        <w:rPr>
          <w:sz w:val="26"/>
          <w:szCs w:val="26"/>
        </w:rPr>
        <w:t>критеріям кваліфікаційного оцінювання, Комісія дійшла таких висновків.</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За критеріями компетентності (професійної, особистої та соціальної) суддя набрав 351,5 бала.</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При цьому за критерієм професійної компетентності </w:t>
      </w:r>
      <w:proofErr w:type="spellStart"/>
      <w:r w:rsidRPr="00E461B1">
        <w:rPr>
          <w:sz w:val="26"/>
          <w:szCs w:val="26"/>
        </w:rPr>
        <w:t>Сакалоша</w:t>
      </w:r>
      <w:proofErr w:type="spellEnd"/>
      <w:r w:rsidRPr="00E461B1">
        <w:rPr>
          <w:sz w:val="26"/>
          <w:szCs w:val="26"/>
        </w:rPr>
        <w:t xml:space="preserve"> В.М.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461B1">
        <w:rPr>
          <w:sz w:val="26"/>
          <w:szCs w:val="26"/>
        </w:rPr>
        <w:t>Сакалоша</w:t>
      </w:r>
      <w:proofErr w:type="spellEnd"/>
      <w:r w:rsidRPr="00E461B1">
        <w:rPr>
          <w:sz w:val="26"/>
          <w:szCs w:val="26"/>
        </w:rPr>
        <w:t xml:space="preserve"> В.М.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За критерієм професійної етики, оціненим за показниками, визначеними пунктом 8 глави 2 розділу II Положення, суддя набрав 180 балів. За цим критерієм </w:t>
      </w:r>
      <w:proofErr w:type="spellStart"/>
      <w:r w:rsidRPr="00E461B1">
        <w:rPr>
          <w:sz w:val="26"/>
          <w:szCs w:val="26"/>
        </w:rPr>
        <w:t>Сакалоша</w:t>
      </w:r>
      <w:proofErr w:type="spellEnd"/>
      <w:r w:rsidRPr="00E461B1">
        <w:rPr>
          <w:sz w:val="26"/>
          <w:szCs w:val="26"/>
        </w:rPr>
        <w:t xml:space="preserve"> В.М.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За критерієм доброчесності, оціненим за показниками, визначеними пунктом 9 глави 2 розділу II Положення, суддя набрав 115 б</w:t>
      </w:r>
      <w:r w:rsidR="00E461B1">
        <w:rPr>
          <w:sz w:val="26"/>
          <w:szCs w:val="26"/>
        </w:rPr>
        <w:t>алів. За цим критерієм Сакалоша </w:t>
      </w:r>
      <w:r w:rsidRPr="00E461B1">
        <w:rPr>
          <w:sz w:val="26"/>
          <w:szCs w:val="26"/>
        </w:rPr>
        <w:t>В.М.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Оцінюючи відповідність судді </w:t>
      </w:r>
      <w:proofErr w:type="spellStart"/>
      <w:r w:rsidRPr="00E461B1">
        <w:rPr>
          <w:sz w:val="26"/>
          <w:szCs w:val="26"/>
        </w:rPr>
        <w:t>Сакалоша</w:t>
      </w:r>
      <w:proofErr w:type="spellEnd"/>
      <w:r w:rsidRPr="00E461B1">
        <w:rPr>
          <w:sz w:val="26"/>
          <w:szCs w:val="26"/>
        </w:rPr>
        <w:t xml:space="preserve"> В.М. займаній посаді за критеріями професійної етики та доброчесності, колегією Комісії, крім іншого, були взяті до уваги обставини, інформація про які міститься в суддівському досьє, та відомості, встановлені під час співбесіди.</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Положеннями Закону України «Про запобіган</w:t>
      </w:r>
      <w:r w:rsidR="00E461B1">
        <w:rPr>
          <w:sz w:val="26"/>
          <w:szCs w:val="26"/>
        </w:rPr>
        <w:t>ня корупції» від 14 жовтня 2014 </w:t>
      </w:r>
      <w:r w:rsidRPr="00E461B1">
        <w:rPr>
          <w:sz w:val="26"/>
          <w:szCs w:val="26"/>
        </w:rPr>
        <w:t>року№ 1700-</w:t>
      </w:r>
      <w:r w:rsidR="00E461B1">
        <w:rPr>
          <w:sz w:val="26"/>
          <w:szCs w:val="26"/>
          <w:lang w:val="en-US"/>
        </w:rPr>
        <w:t>VII</w:t>
      </w:r>
      <w:r w:rsidRPr="00E461B1">
        <w:rPr>
          <w:sz w:val="26"/>
          <w:szCs w:val="26"/>
        </w:rPr>
        <w:t xml:space="preserve"> визначено, що судді є суб’єктами декларування, які мають обов’язок у порядку, за формою та у строки, визначені цими законами, декларувати належне їм та членам їх сім’ї майно, цінне рухоме майно (на праві власності та на праві користування), доходів тощо шляхом подання відповідних декларацій.</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Із набранням чинності Закону України «П</w:t>
      </w:r>
      <w:r w:rsidR="00E461B1">
        <w:rPr>
          <w:sz w:val="26"/>
          <w:szCs w:val="26"/>
        </w:rPr>
        <w:t>ро запобігання корупції» від 14 </w:t>
      </w:r>
      <w:r w:rsidR="00B313F0">
        <w:rPr>
          <w:sz w:val="26"/>
          <w:szCs w:val="26"/>
        </w:rPr>
        <w:t>жовтня 2014 року № 1700-</w:t>
      </w:r>
      <w:r w:rsidR="00B313F0">
        <w:rPr>
          <w:sz w:val="26"/>
          <w:szCs w:val="26"/>
          <w:lang w:val="en-US"/>
        </w:rPr>
        <w:t>V</w:t>
      </w:r>
      <w:r w:rsidRPr="00E461B1">
        <w:rPr>
          <w:sz w:val="26"/>
          <w:szCs w:val="26"/>
        </w:rPr>
        <w:t xml:space="preserve">ІІ відповідно до статті 45 цього закону суб’єкти декларування подають декларацію особи, уповноваженої на виконання функцій держави або місцевого самоврядування (далі - електронна декларація), за минулий </w:t>
      </w:r>
      <w:r w:rsidRPr="00E461B1">
        <w:rPr>
          <w:sz w:val="26"/>
          <w:szCs w:val="26"/>
        </w:rPr>
        <w:lastRenderedPageBreak/>
        <w:t>рік</w:t>
      </w:r>
      <w:r w:rsidR="004F7F0F">
        <w:rPr>
          <w:sz w:val="26"/>
          <w:szCs w:val="26"/>
        </w:rPr>
        <w:t> </w:t>
      </w:r>
      <w:r w:rsidRPr="00E461B1">
        <w:rPr>
          <w:sz w:val="26"/>
          <w:szCs w:val="26"/>
        </w:rPr>
        <w:t>за формою, що визначається Національним агентством з питань запобігання корупції.</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Рішенням Національного агентства з питань запобігання корупції від 10 червня 2013 року № 3, зареєстрованим у Міністерстві юстиції України 15 липня 2016 року, затверджено форму електронної декларації.</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Положеннями частини першої статті 46 Закону України «Про запобігання корупції» передбачено, що в електронній декларації зазначаються відомості, зокрема, про: 1) цінне рухоме майно, вартість якого перевищує 100 прожиткових мінімумів, встановлених для працездатних осіб на 1 січня звітного року, що належить суб’єкту декларування або членам його сім’ї на праві приватної власності, у тому числі спільної власності, або перебуває в її володінні або користуванні незалежно від форми правочину, внаслідок якого набуте таке право; 2) отримані (нараховані) доходи, у тому числі доходи у вигляді заробітної плати (грошового забезпечення), отримані як за основним місцем роботи, так і за сумісництвом, г</w:t>
      </w:r>
      <w:r w:rsidR="004F7F0F">
        <w:rPr>
          <w:sz w:val="26"/>
          <w:szCs w:val="26"/>
        </w:rPr>
        <w:t xml:space="preserve">онорари, дивіденди, </w:t>
      </w:r>
      <w:r w:rsidRPr="00E461B1">
        <w:rPr>
          <w:sz w:val="26"/>
          <w:szCs w:val="26"/>
        </w:rPr>
        <w:t xml:space="preserve">проценти, роялті, страхові виплати, благодійна допомога, пенсія, доходи від </w:t>
      </w:r>
      <w:r w:rsidR="004F7F0F">
        <w:rPr>
          <w:sz w:val="26"/>
          <w:szCs w:val="26"/>
        </w:rPr>
        <w:t>відчуження цінних паперів та корпоративних прав, подарунки та інші доходи.</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Національним антикорупційним бюро України надано Комісії інформацію, згідно з якою на </w:t>
      </w:r>
      <w:proofErr w:type="spellStart"/>
      <w:r w:rsidRPr="00E461B1">
        <w:rPr>
          <w:sz w:val="26"/>
          <w:szCs w:val="26"/>
        </w:rPr>
        <w:t>Сакалоша</w:t>
      </w:r>
      <w:proofErr w:type="spellEnd"/>
      <w:r w:rsidRPr="00E461B1">
        <w:rPr>
          <w:sz w:val="26"/>
          <w:szCs w:val="26"/>
        </w:rPr>
        <w:t xml:space="preserve"> Володимира Миколайовича було видано довіреність </w:t>
      </w:r>
      <w:r w:rsidR="0077286C">
        <w:rPr>
          <w:sz w:val="26"/>
          <w:szCs w:val="26"/>
        </w:rPr>
        <w:t>О</w:t>
      </w:r>
      <w:r w:rsidR="00B313F0">
        <w:rPr>
          <w:sz w:val="26"/>
          <w:szCs w:val="26"/>
        </w:rPr>
        <w:t>СОБА</w:t>
      </w:r>
      <w:r w:rsidR="0077286C">
        <w:rPr>
          <w:sz w:val="26"/>
          <w:szCs w:val="26"/>
        </w:rPr>
        <w:t>_1</w:t>
      </w:r>
      <w:r w:rsidRPr="00E461B1">
        <w:rPr>
          <w:sz w:val="26"/>
          <w:szCs w:val="26"/>
        </w:rPr>
        <w:t xml:space="preserve"> на автомобіль </w:t>
      </w:r>
      <w:r w:rsidR="00B313F0">
        <w:rPr>
          <w:sz w:val="26"/>
          <w:szCs w:val="26"/>
          <w:lang w:val="en-US"/>
        </w:rPr>
        <w:t>AUDI</w:t>
      </w:r>
      <w:r w:rsidR="00B313F0" w:rsidRPr="00B313F0">
        <w:rPr>
          <w:sz w:val="26"/>
          <w:szCs w:val="26"/>
        </w:rPr>
        <w:t xml:space="preserve"> </w:t>
      </w:r>
      <w:r w:rsidR="00B313F0">
        <w:rPr>
          <w:sz w:val="26"/>
          <w:szCs w:val="26"/>
          <w:lang w:val="en-US"/>
        </w:rPr>
        <w:t>Q</w:t>
      </w:r>
      <w:r w:rsidR="00B313F0" w:rsidRPr="00B313F0">
        <w:rPr>
          <w:sz w:val="26"/>
          <w:szCs w:val="26"/>
        </w:rPr>
        <w:t>7</w:t>
      </w:r>
      <w:r w:rsidRPr="00E461B1">
        <w:rPr>
          <w:sz w:val="26"/>
          <w:szCs w:val="26"/>
        </w:rPr>
        <w:t xml:space="preserve"> 2016 року випуск</w:t>
      </w:r>
      <w:r w:rsidR="0077286C">
        <w:rPr>
          <w:sz w:val="26"/>
          <w:szCs w:val="26"/>
        </w:rPr>
        <w:t>у терміном дії з 01 червня 2016 </w:t>
      </w:r>
      <w:r w:rsidRPr="00E461B1">
        <w:rPr>
          <w:sz w:val="26"/>
          <w:szCs w:val="26"/>
        </w:rPr>
        <w:t>року до 01 червня 2026 року. Під час співбесіди суддею було надано копію цієї довіреності на вказаний автомобіль та підтверджено факт користування вказаним автомобілем.</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Водночас, як вбачається з Єдиного державного реєстру декларацій осіб, уповноважених на виконання функцій держави або місцевого самоврядування, в електронній декларації </w:t>
      </w:r>
      <w:proofErr w:type="spellStart"/>
      <w:r w:rsidRPr="00E461B1">
        <w:rPr>
          <w:sz w:val="26"/>
          <w:szCs w:val="26"/>
        </w:rPr>
        <w:t>Сакалоша</w:t>
      </w:r>
      <w:proofErr w:type="spellEnd"/>
      <w:r w:rsidRPr="00E461B1">
        <w:rPr>
          <w:sz w:val="26"/>
          <w:szCs w:val="26"/>
        </w:rPr>
        <w:t xml:space="preserve"> Володимира Миколайовича за 2016 рік будь-які відомості щодо вказаного транспортного засобу в розділі 6 «Цінне рухоме майно </w:t>
      </w:r>
      <w:r w:rsidR="0077286C">
        <w:rPr>
          <w:sz w:val="26"/>
          <w:szCs w:val="26"/>
        </w:rPr>
        <w:t>–</w:t>
      </w:r>
      <w:r w:rsidRPr="00E461B1">
        <w:rPr>
          <w:sz w:val="26"/>
          <w:szCs w:val="26"/>
        </w:rPr>
        <w:t xml:space="preserve"> транспортні засоби» відсутні.</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Окрім цього, з інформації, наданої Національним антикорупційним бюро України, вбачається, що в 2015 році дружина судді - </w:t>
      </w:r>
      <w:proofErr w:type="spellStart"/>
      <w:r w:rsidRPr="00E461B1">
        <w:rPr>
          <w:sz w:val="26"/>
          <w:szCs w:val="26"/>
        </w:rPr>
        <w:t>Сакалош</w:t>
      </w:r>
      <w:proofErr w:type="spellEnd"/>
      <w:r w:rsidRPr="00E461B1">
        <w:rPr>
          <w:sz w:val="26"/>
          <w:szCs w:val="26"/>
        </w:rPr>
        <w:t xml:space="preserve"> Леся Петрівна, отримала дохід від Товариства з додатковою відповідальністю «Альянс Україна» у вигляді страхових виплат у розмірі 32 943 гривні, а донька - </w:t>
      </w:r>
      <w:proofErr w:type="spellStart"/>
      <w:r w:rsidRPr="00E461B1">
        <w:rPr>
          <w:sz w:val="26"/>
          <w:szCs w:val="26"/>
        </w:rPr>
        <w:t>Сакалош</w:t>
      </w:r>
      <w:proofErr w:type="spellEnd"/>
      <w:r w:rsidRPr="00E461B1">
        <w:rPr>
          <w:sz w:val="26"/>
          <w:szCs w:val="26"/>
        </w:rPr>
        <w:t xml:space="preserve"> Анна Володимирівна отримала дохід від Товариства з обмеженою відповідальністю «Правничо-економічна група «</w:t>
      </w:r>
      <w:proofErr w:type="spellStart"/>
      <w:r w:rsidRPr="00E461B1">
        <w:rPr>
          <w:sz w:val="26"/>
          <w:szCs w:val="26"/>
        </w:rPr>
        <w:t>Лексарт</w:t>
      </w:r>
      <w:proofErr w:type="spellEnd"/>
      <w:r w:rsidRPr="00E461B1">
        <w:rPr>
          <w:sz w:val="26"/>
          <w:szCs w:val="26"/>
        </w:rPr>
        <w:t>» у вигляді за</w:t>
      </w:r>
      <w:r w:rsidR="0077286C">
        <w:rPr>
          <w:sz w:val="26"/>
          <w:szCs w:val="26"/>
        </w:rPr>
        <w:t>робітної плати в розмірі 29 565 </w:t>
      </w:r>
      <w:r w:rsidRPr="00E461B1">
        <w:rPr>
          <w:sz w:val="26"/>
          <w:szCs w:val="26"/>
        </w:rPr>
        <w:t>гривень.</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Як вбачається з Єдиного державного реєстру декларацій осіб, уповноважених на виконання функцій держави або місцевого самоврядування, в електронній декларації за 2015 рік будь-які відомості щодо вказаних доходів у розділі 11 «Доходи, у тому числі подарунки» відсутні. Відповідно до розділу 2.2 «Інформація про членів сім’ї суб’єкта декларування» цієї ж декларації членами сім’ї судді були дружина </w:t>
      </w:r>
      <w:proofErr w:type="spellStart"/>
      <w:r w:rsidRPr="00E461B1">
        <w:rPr>
          <w:sz w:val="26"/>
          <w:szCs w:val="26"/>
        </w:rPr>
        <w:t>Сакалош</w:t>
      </w:r>
      <w:proofErr w:type="spellEnd"/>
      <w:r w:rsidRPr="00E461B1">
        <w:rPr>
          <w:sz w:val="26"/>
          <w:szCs w:val="26"/>
        </w:rPr>
        <w:t xml:space="preserve"> Леся Петрівна та донька </w:t>
      </w:r>
      <w:proofErr w:type="spellStart"/>
      <w:r w:rsidRPr="00E461B1">
        <w:rPr>
          <w:sz w:val="26"/>
          <w:szCs w:val="26"/>
        </w:rPr>
        <w:t>Сакалош</w:t>
      </w:r>
      <w:proofErr w:type="spellEnd"/>
      <w:r w:rsidRPr="00E461B1">
        <w:rPr>
          <w:sz w:val="26"/>
          <w:szCs w:val="26"/>
        </w:rPr>
        <w:t xml:space="preserve"> Анна Володимирівна.</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Суддя пояснив, що про отримання зазначених коштів дружина його не повідомляла у зв’язку з існуванням на той момент напруженості у їх шлюбних відносинах, а щодо доньки, суддя пояснив, що зазначена помилка сталася внаслідок ненадання його донькою інформації про отриману за сумісництвом заробітну плату.</w:t>
      </w:r>
    </w:p>
    <w:p w:rsidR="0077286C" w:rsidRDefault="00992595" w:rsidP="0077286C">
      <w:pPr>
        <w:pStyle w:val="11"/>
        <w:shd w:val="clear" w:color="auto" w:fill="auto"/>
        <w:tabs>
          <w:tab w:val="left" w:pos="142"/>
        </w:tabs>
        <w:spacing w:line="240" w:lineRule="auto"/>
        <w:ind w:left="20" w:firstLine="700"/>
        <w:rPr>
          <w:sz w:val="26"/>
          <w:szCs w:val="26"/>
        </w:rPr>
      </w:pPr>
      <w:r w:rsidRPr="00E461B1">
        <w:rPr>
          <w:sz w:val="26"/>
          <w:szCs w:val="26"/>
        </w:rPr>
        <w:t xml:space="preserve">Під час дослідження досьє та співбесіди Комісією встановлено, що суддя </w:t>
      </w:r>
      <w:proofErr w:type="spellStart"/>
      <w:r w:rsidRPr="00E461B1">
        <w:rPr>
          <w:sz w:val="26"/>
          <w:szCs w:val="26"/>
        </w:rPr>
        <w:t>Сакалош</w:t>
      </w:r>
      <w:proofErr w:type="spellEnd"/>
      <w:r w:rsidRPr="00E461B1">
        <w:rPr>
          <w:sz w:val="26"/>
          <w:szCs w:val="26"/>
        </w:rPr>
        <w:t xml:space="preserve"> В.М. неналежним чином виконував вимоги, визначені статтею 46 Закону України «Про запобігання корупції», щодо декларування свого майна та доходів</w:t>
      </w:r>
    </w:p>
    <w:p w:rsidR="0077286C" w:rsidRDefault="0077286C" w:rsidP="0077286C">
      <w:pPr>
        <w:pStyle w:val="11"/>
        <w:shd w:val="clear" w:color="auto" w:fill="auto"/>
        <w:tabs>
          <w:tab w:val="left" w:pos="142"/>
        </w:tabs>
        <w:spacing w:line="240" w:lineRule="auto"/>
        <w:rPr>
          <w:sz w:val="26"/>
          <w:szCs w:val="26"/>
        </w:rPr>
      </w:pPr>
      <w:r>
        <w:rPr>
          <w:sz w:val="26"/>
          <w:szCs w:val="26"/>
        </w:rPr>
        <w:t xml:space="preserve"> </w:t>
      </w:r>
    </w:p>
    <w:p w:rsidR="00E26841" w:rsidRPr="00E461B1" w:rsidRDefault="00992595" w:rsidP="0077286C">
      <w:pPr>
        <w:pStyle w:val="11"/>
        <w:shd w:val="clear" w:color="auto" w:fill="auto"/>
        <w:tabs>
          <w:tab w:val="left" w:pos="142"/>
        </w:tabs>
        <w:spacing w:line="240" w:lineRule="auto"/>
        <w:rPr>
          <w:sz w:val="26"/>
          <w:szCs w:val="26"/>
        </w:rPr>
      </w:pPr>
      <w:r w:rsidRPr="00E461B1">
        <w:rPr>
          <w:sz w:val="26"/>
          <w:szCs w:val="26"/>
        </w:rPr>
        <w:lastRenderedPageBreak/>
        <w:t>членів своєї сім’ї, а також пункту 6 частини сьомої статті 56 Закону щодо виконання вимог, установлених законодавством у сфері запобігання корупції.</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Факт недбалого ставлення до обов’язку декларування свого майна та доходів членів своєї сім’ї знайшов своє підтвердження також і у поясненнях, наданих </w:t>
      </w:r>
      <w:proofErr w:type="spellStart"/>
      <w:r w:rsidRPr="00E461B1">
        <w:rPr>
          <w:sz w:val="26"/>
          <w:szCs w:val="26"/>
        </w:rPr>
        <w:t>Сакалошем</w:t>
      </w:r>
      <w:proofErr w:type="spellEnd"/>
      <w:r w:rsidRPr="00E461B1">
        <w:rPr>
          <w:sz w:val="26"/>
          <w:szCs w:val="26"/>
        </w:rPr>
        <w:t xml:space="preserve"> В.М. під час кваліфікаційного оцінювання.</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Відповідно до пункту 2 частини сьомої статті 56 Закону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Статтею 1 Кодексу суддівської етики, затвердженого на XI черговому з’їзді суддів України 22 лютого 2013 року (далі - Кодекс),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Відповідно до статті 3 Кодексу суддя має докладати всіх зусиль до того, щоб, на думку розсудливої, законослухняної та поінформованої людини, його поведінка була бездоганною.</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Статтею 18 Кодексу передбачено, що 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Рішенням Ради суддів України від 04 лютого 2016 року № 1 затверджено коментар до Кодексу суддівської етики, в якому наведено тлумачення, зокрема, високих стандартів поведінки судді.</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У коментарі до Кодексу зазначено, що високі стандарти поведінки полягають у тому, що суддя як на роботі, так і поза її межами, в повсякденному житті, має демонструвати таку поведінку, щоб учасники процесу і оточуючі люди бачили в ньому еталон порядності і справедливості - високоморальну, чесну, стриману, врівноважену людину. При цьому суддя має не лише подавати особистий приклад, але й пропагувати етичну поведінку серед учасників процесу та оточуючих, вимагати етичної поведінки від інших.</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Оволодіння високими стандартами поведінки має бути невід’ємною складовою частиною підготовки кожного професійного судді та кандидата на посаду судді. Від моральних цінностей, якими керується суддя в своїй роботі під час здійснення правосуддя і в позасудовій поведінці, залежить оцінка судових рішень з точки зору їх справедливості як кожним окремим громадянином, та суспільством в цілому.</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Установлені під час оцінювання обставини вказують на те, що поведінка судді </w:t>
      </w:r>
      <w:proofErr w:type="spellStart"/>
      <w:r w:rsidRPr="00E461B1">
        <w:rPr>
          <w:sz w:val="26"/>
          <w:szCs w:val="26"/>
        </w:rPr>
        <w:t>Сакалоша</w:t>
      </w:r>
      <w:proofErr w:type="spellEnd"/>
      <w:r w:rsidRPr="00E461B1">
        <w:rPr>
          <w:sz w:val="26"/>
          <w:szCs w:val="26"/>
        </w:rPr>
        <w:t xml:space="preserve"> В.М. не узгоджується з високими стандартами поведінки судді, які відповідно до статті 56 Закону є його обов’язком та свідчать про неналежне дотримання ним вимог доброчесності судді.</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Ураховуючи викладене, за результатами кваліфікаційного оцінювання суддя Львівського окружного адміністративного суду </w:t>
      </w:r>
      <w:proofErr w:type="spellStart"/>
      <w:r w:rsidRPr="00E461B1">
        <w:rPr>
          <w:sz w:val="26"/>
          <w:szCs w:val="26"/>
        </w:rPr>
        <w:t>Сакалош</w:t>
      </w:r>
      <w:proofErr w:type="spellEnd"/>
      <w:r w:rsidRPr="00E461B1">
        <w:rPr>
          <w:sz w:val="26"/>
          <w:szCs w:val="26"/>
        </w:rPr>
        <w:t xml:space="preserve"> Володимир Миколайович набрав 646,5 бала, що становить менше 67 відсотків від суми максимально можливих балів за результатами кваліфікаційного оцінювання всіх критеріїв.</w:t>
      </w:r>
    </w:p>
    <w:p w:rsidR="004D62C7" w:rsidRDefault="00992595" w:rsidP="007F4F56">
      <w:pPr>
        <w:pStyle w:val="11"/>
        <w:shd w:val="clear" w:color="auto" w:fill="auto"/>
        <w:tabs>
          <w:tab w:val="left" w:pos="142"/>
        </w:tabs>
        <w:spacing w:line="240" w:lineRule="auto"/>
        <w:ind w:left="20" w:firstLine="700"/>
        <w:rPr>
          <w:sz w:val="26"/>
          <w:szCs w:val="26"/>
        </w:rPr>
      </w:pPr>
      <w:r w:rsidRPr="00E461B1">
        <w:rPr>
          <w:sz w:val="26"/>
          <w:szCs w:val="26"/>
        </w:rPr>
        <w:t xml:space="preserve">З огляду на викладене колегія Комісії дійшла висновку про невідповідність судді Львівського окружного адміністративного суду </w:t>
      </w:r>
      <w:proofErr w:type="spellStart"/>
      <w:r w:rsidRPr="00E461B1">
        <w:rPr>
          <w:sz w:val="26"/>
          <w:szCs w:val="26"/>
        </w:rPr>
        <w:t>Сакалоша</w:t>
      </w:r>
      <w:proofErr w:type="spellEnd"/>
      <w:r w:rsidRPr="00E461B1">
        <w:rPr>
          <w:sz w:val="26"/>
          <w:szCs w:val="26"/>
        </w:rPr>
        <w:t xml:space="preserve"> Володимира</w:t>
      </w:r>
      <w:r w:rsidR="007F4F56">
        <w:rPr>
          <w:sz w:val="26"/>
          <w:szCs w:val="26"/>
        </w:rPr>
        <w:t xml:space="preserve"> </w:t>
      </w:r>
    </w:p>
    <w:p w:rsidR="004D62C7" w:rsidRDefault="004D62C7" w:rsidP="007F4F56">
      <w:pPr>
        <w:pStyle w:val="11"/>
        <w:shd w:val="clear" w:color="auto" w:fill="auto"/>
        <w:tabs>
          <w:tab w:val="left" w:pos="142"/>
        </w:tabs>
        <w:spacing w:line="240" w:lineRule="auto"/>
        <w:ind w:left="20" w:firstLine="700"/>
        <w:rPr>
          <w:sz w:val="26"/>
          <w:szCs w:val="26"/>
        </w:rPr>
      </w:pPr>
    </w:p>
    <w:p w:rsidR="00E26841" w:rsidRPr="00E461B1" w:rsidRDefault="00992595" w:rsidP="004D62C7">
      <w:pPr>
        <w:pStyle w:val="11"/>
        <w:shd w:val="clear" w:color="auto" w:fill="auto"/>
        <w:tabs>
          <w:tab w:val="left" w:pos="142"/>
        </w:tabs>
        <w:spacing w:line="240" w:lineRule="auto"/>
        <w:ind w:left="23" w:hanging="23"/>
        <w:rPr>
          <w:sz w:val="26"/>
          <w:szCs w:val="26"/>
        </w:rPr>
      </w:pPr>
      <w:bookmarkStart w:id="0" w:name="_GoBack"/>
      <w:bookmarkEnd w:id="0"/>
      <w:r w:rsidRPr="00E461B1">
        <w:rPr>
          <w:sz w:val="26"/>
          <w:szCs w:val="26"/>
        </w:rPr>
        <w:lastRenderedPageBreak/>
        <w:t>Миколайовича займаній посаді та внесення до Вищої ради правосуддя подання про звільнення його з посади судді.</w:t>
      </w:r>
    </w:p>
    <w:p w:rsidR="00E26841" w:rsidRPr="00E461B1" w:rsidRDefault="00992595" w:rsidP="004F7F0F">
      <w:pPr>
        <w:pStyle w:val="11"/>
        <w:shd w:val="clear" w:color="auto" w:fill="auto"/>
        <w:tabs>
          <w:tab w:val="left" w:pos="142"/>
        </w:tabs>
        <w:spacing w:after="286" w:line="240" w:lineRule="auto"/>
        <w:ind w:left="20" w:firstLine="700"/>
        <w:rPr>
          <w:sz w:val="26"/>
          <w:szCs w:val="26"/>
        </w:rPr>
      </w:pPr>
      <w:r w:rsidRPr="00E461B1">
        <w:rPr>
          <w:sz w:val="26"/>
          <w:szCs w:val="26"/>
        </w:rPr>
        <w:t>Керуючись статтями 83-86, 88, 93, 101 Закону, пунктом 20 розділу XII «Прикінцеві та перехідні положення» Закону, Положенням, колегія Комісії</w:t>
      </w:r>
    </w:p>
    <w:p w:rsidR="00E26841" w:rsidRPr="00E461B1" w:rsidRDefault="00992595" w:rsidP="007F4F56">
      <w:pPr>
        <w:pStyle w:val="11"/>
        <w:shd w:val="clear" w:color="auto" w:fill="auto"/>
        <w:tabs>
          <w:tab w:val="left" w:pos="142"/>
        </w:tabs>
        <w:spacing w:after="261" w:line="240" w:lineRule="auto"/>
        <w:jc w:val="center"/>
        <w:rPr>
          <w:sz w:val="26"/>
          <w:szCs w:val="26"/>
        </w:rPr>
      </w:pPr>
      <w:r w:rsidRPr="00E461B1">
        <w:rPr>
          <w:sz w:val="26"/>
          <w:szCs w:val="26"/>
        </w:rPr>
        <w:t>вирішила:</w:t>
      </w:r>
    </w:p>
    <w:p w:rsidR="00E26841" w:rsidRPr="00E461B1" w:rsidRDefault="00992595" w:rsidP="004F7F0F">
      <w:pPr>
        <w:pStyle w:val="11"/>
        <w:shd w:val="clear" w:color="auto" w:fill="auto"/>
        <w:tabs>
          <w:tab w:val="left" w:pos="142"/>
        </w:tabs>
        <w:spacing w:line="240" w:lineRule="auto"/>
        <w:ind w:left="20"/>
        <w:rPr>
          <w:sz w:val="26"/>
          <w:szCs w:val="26"/>
        </w:rPr>
      </w:pPr>
      <w:r w:rsidRPr="00E461B1">
        <w:rPr>
          <w:sz w:val="26"/>
          <w:szCs w:val="26"/>
        </w:rPr>
        <w:t xml:space="preserve">визначити, що суддя Львівського окружного адміністративного суду </w:t>
      </w:r>
      <w:proofErr w:type="spellStart"/>
      <w:r w:rsidRPr="00E461B1">
        <w:rPr>
          <w:sz w:val="26"/>
          <w:szCs w:val="26"/>
        </w:rPr>
        <w:t>Сакалош</w:t>
      </w:r>
      <w:proofErr w:type="spellEnd"/>
      <w:r w:rsidRPr="00E461B1">
        <w:rPr>
          <w:sz w:val="26"/>
          <w:szCs w:val="26"/>
        </w:rPr>
        <w:t xml:space="preserve"> Володимир Миколайович за результатами кваліфікаційного оцінювання суддів місцевих та апеляційних судів на відповідність займаній посаді набрав 646,5 бала.</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Визнати суддю Львівського окружного адміністративного суду </w:t>
      </w:r>
      <w:proofErr w:type="spellStart"/>
      <w:r w:rsidRPr="00E461B1">
        <w:rPr>
          <w:sz w:val="26"/>
          <w:szCs w:val="26"/>
        </w:rPr>
        <w:t>Сакалоша</w:t>
      </w:r>
      <w:proofErr w:type="spellEnd"/>
      <w:r w:rsidRPr="00E461B1">
        <w:rPr>
          <w:sz w:val="26"/>
          <w:szCs w:val="26"/>
        </w:rPr>
        <w:t xml:space="preserve"> Володимира Миколайовича таким, що не відповідає займаній посаді.</w:t>
      </w:r>
    </w:p>
    <w:p w:rsidR="00E26841" w:rsidRPr="00E461B1" w:rsidRDefault="00992595" w:rsidP="004F7F0F">
      <w:pPr>
        <w:pStyle w:val="11"/>
        <w:shd w:val="clear" w:color="auto" w:fill="auto"/>
        <w:tabs>
          <w:tab w:val="left" w:pos="142"/>
        </w:tabs>
        <w:spacing w:line="240" w:lineRule="auto"/>
        <w:ind w:left="20" w:firstLine="700"/>
        <w:rPr>
          <w:sz w:val="26"/>
          <w:szCs w:val="26"/>
        </w:rPr>
      </w:pPr>
      <w:r w:rsidRPr="00E461B1">
        <w:rPr>
          <w:sz w:val="26"/>
          <w:szCs w:val="26"/>
        </w:rPr>
        <w:t xml:space="preserve">Внести до Вищої ради правосуддя подання з рекомендацією про звільнення з посади судді Львівського окружного адміністративного суду </w:t>
      </w:r>
      <w:proofErr w:type="spellStart"/>
      <w:r w:rsidRPr="00E461B1">
        <w:rPr>
          <w:sz w:val="26"/>
          <w:szCs w:val="26"/>
        </w:rPr>
        <w:t>Сакалоша</w:t>
      </w:r>
      <w:proofErr w:type="spellEnd"/>
      <w:r w:rsidRPr="00E461B1">
        <w:rPr>
          <w:sz w:val="26"/>
          <w:szCs w:val="26"/>
        </w:rPr>
        <w:t xml:space="preserve"> Володимира Миколайовича.</w:t>
      </w:r>
    </w:p>
    <w:p w:rsidR="00E26841" w:rsidRPr="00E461B1" w:rsidRDefault="00E26841" w:rsidP="004F7F0F">
      <w:pPr>
        <w:tabs>
          <w:tab w:val="left" w:pos="142"/>
        </w:tabs>
        <w:jc w:val="both"/>
        <w:rPr>
          <w:rFonts w:ascii="Times New Roman" w:hAnsi="Times New Roman" w:cs="Times New Roman"/>
          <w:sz w:val="26"/>
          <w:szCs w:val="26"/>
        </w:rPr>
      </w:pPr>
    </w:p>
    <w:p w:rsidR="00D573FC" w:rsidRPr="00E461B1" w:rsidRDefault="00D573FC" w:rsidP="004F7F0F">
      <w:pPr>
        <w:pStyle w:val="3"/>
        <w:tabs>
          <w:tab w:val="left" w:pos="142"/>
        </w:tabs>
        <w:spacing w:after="665" w:line="240" w:lineRule="auto"/>
        <w:ind w:firstLine="20"/>
        <w:rPr>
          <w:sz w:val="26"/>
          <w:szCs w:val="26"/>
        </w:rPr>
      </w:pPr>
      <w:r w:rsidRPr="00E461B1">
        <w:rPr>
          <w:sz w:val="26"/>
          <w:szCs w:val="26"/>
        </w:rPr>
        <w:t>Головуючий</w:t>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t xml:space="preserve">М.А. </w:t>
      </w:r>
      <w:proofErr w:type="spellStart"/>
      <w:r w:rsidRPr="00E461B1">
        <w:rPr>
          <w:sz w:val="26"/>
          <w:szCs w:val="26"/>
        </w:rPr>
        <w:t>Макарчук</w:t>
      </w:r>
      <w:proofErr w:type="spellEnd"/>
    </w:p>
    <w:p w:rsidR="00D573FC" w:rsidRPr="00E461B1" w:rsidRDefault="00D573FC" w:rsidP="004F7F0F">
      <w:pPr>
        <w:pStyle w:val="3"/>
        <w:tabs>
          <w:tab w:val="left" w:pos="142"/>
        </w:tabs>
        <w:spacing w:after="665" w:line="240" w:lineRule="auto"/>
        <w:rPr>
          <w:sz w:val="26"/>
          <w:szCs w:val="26"/>
        </w:rPr>
      </w:pPr>
      <w:r w:rsidRPr="00E461B1">
        <w:rPr>
          <w:sz w:val="26"/>
          <w:szCs w:val="26"/>
        </w:rPr>
        <w:t>Члени Комісії:</w:t>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t xml:space="preserve">Т.Ф. </w:t>
      </w:r>
      <w:proofErr w:type="spellStart"/>
      <w:r w:rsidRPr="00E461B1">
        <w:rPr>
          <w:sz w:val="26"/>
          <w:szCs w:val="26"/>
        </w:rPr>
        <w:t>Весельська</w:t>
      </w:r>
      <w:proofErr w:type="spellEnd"/>
    </w:p>
    <w:p w:rsidR="00D573FC" w:rsidRPr="00E461B1" w:rsidRDefault="00D573FC" w:rsidP="004F7F0F">
      <w:pPr>
        <w:pStyle w:val="3"/>
        <w:tabs>
          <w:tab w:val="left" w:pos="142"/>
        </w:tabs>
        <w:spacing w:after="665" w:line="240" w:lineRule="auto"/>
        <w:ind w:left="20" w:firstLine="700"/>
        <w:rPr>
          <w:sz w:val="26"/>
          <w:szCs w:val="26"/>
        </w:rPr>
      </w:pP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r>
      <w:r w:rsidRPr="00E461B1">
        <w:rPr>
          <w:sz w:val="26"/>
          <w:szCs w:val="26"/>
        </w:rPr>
        <w:tab/>
        <w:t>Т.В. Лукаш</w:t>
      </w:r>
    </w:p>
    <w:sectPr w:rsidR="00D573FC" w:rsidRPr="00E461B1" w:rsidSect="007F4F56">
      <w:headerReference w:type="even" r:id="rId10"/>
      <w:headerReference w:type="default" r:id="rId11"/>
      <w:footerReference w:type="default" r:id="rId12"/>
      <w:type w:val="continuous"/>
      <w:pgSz w:w="11909" w:h="16838"/>
      <w:pgMar w:top="1134" w:right="567" w:bottom="1276"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595" w:rsidRDefault="00992595">
      <w:r>
        <w:separator/>
      </w:r>
    </w:p>
  </w:endnote>
  <w:endnote w:type="continuationSeparator" w:id="0">
    <w:p w:rsidR="00992595" w:rsidRDefault="00992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F56" w:rsidRDefault="007F4F56">
    <w:pPr>
      <w:pStyle w:val="aa"/>
      <w:jc w:val="center"/>
    </w:pPr>
  </w:p>
  <w:p w:rsidR="007F4F56" w:rsidRDefault="007F4F5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595" w:rsidRDefault="00992595"/>
  </w:footnote>
  <w:footnote w:type="continuationSeparator" w:id="0">
    <w:p w:rsidR="00992595" w:rsidRDefault="009925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4360131"/>
      <w:docPartObj>
        <w:docPartGallery w:val="Page Numbers (Top of Page)"/>
        <w:docPartUnique/>
      </w:docPartObj>
    </w:sdtPr>
    <w:sdtEndPr/>
    <w:sdtContent>
      <w:p w:rsidR="007F4F56" w:rsidRDefault="007F4F56">
        <w:pPr>
          <w:pStyle w:val="a8"/>
          <w:jc w:val="center"/>
        </w:pPr>
        <w:r>
          <w:fldChar w:fldCharType="begin"/>
        </w:r>
        <w:r>
          <w:instrText>PAGE   \* MERGEFORMAT</w:instrText>
        </w:r>
        <w:r>
          <w:fldChar w:fldCharType="separate"/>
        </w:r>
        <w:r w:rsidRPr="007F4F56">
          <w:rPr>
            <w:noProof/>
            <w:lang w:val="ru-RU"/>
          </w:rPr>
          <w:t>6</w:t>
        </w:r>
        <w:r>
          <w:fldChar w:fldCharType="end"/>
        </w:r>
      </w:p>
    </w:sdtContent>
  </w:sdt>
  <w:p w:rsidR="007F4F56" w:rsidRDefault="007F4F5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988026"/>
      <w:docPartObj>
        <w:docPartGallery w:val="Page Numbers (Top of Page)"/>
        <w:docPartUnique/>
      </w:docPartObj>
    </w:sdtPr>
    <w:sdtEndPr>
      <w:rPr>
        <w:rFonts w:ascii="Times New Roman" w:hAnsi="Times New Roman" w:cs="Times New Roman"/>
      </w:rPr>
    </w:sdtEndPr>
    <w:sdtContent>
      <w:p w:rsidR="007F4F56" w:rsidRDefault="007F4F56">
        <w:pPr>
          <w:pStyle w:val="a8"/>
          <w:jc w:val="center"/>
        </w:pPr>
      </w:p>
      <w:p w:rsidR="007F4F56" w:rsidRPr="007F4F56" w:rsidRDefault="007F4F56">
        <w:pPr>
          <w:pStyle w:val="a8"/>
          <w:jc w:val="center"/>
          <w:rPr>
            <w:rFonts w:ascii="Times New Roman" w:hAnsi="Times New Roman" w:cs="Times New Roman"/>
          </w:rPr>
        </w:pPr>
        <w:r w:rsidRPr="007F4F56">
          <w:rPr>
            <w:rFonts w:ascii="Times New Roman" w:hAnsi="Times New Roman" w:cs="Times New Roman"/>
          </w:rPr>
          <w:fldChar w:fldCharType="begin"/>
        </w:r>
        <w:r w:rsidRPr="007F4F56">
          <w:rPr>
            <w:rFonts w:ascii="Times New Roman" w:hAnsi="Times New Roman" w:cs="Times New Roman"/>
          </w:rPr>
          <w:instrText>PAGE   \* MERGEFORMAT</w:instrText>
        </w:r>
        <w:r w:rsidRPr="007F4F56">
          <w:rPr>
            <w:rFonts w:ascii="Times New Roman" w:hAnsi="Times New Roman" w:cs="Times New Roman"/>
          </w:rPr>
          <w:fldChar w:fldCharType="separate"/>
        </w:r>
        <w:r w:rsidR="004D62C7" w:rsidRPr="004D62C7">
          <w:rPr>
            <w:rFonts w:ascii="Times New Roman" w:hAnsi="Times New Roman" w:cs="Times New Roman"/>
            <w:noProof/>
            <w:lang w:val="ru-RU"/>
          </w:rPr>
          <w:t>6</w:t>
        </w:r>
        <w:r w:rsidRPr="007F4F56">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162C1F"/>
    <w:multiLevelType w:val="multilevel"/>
    <w:tmpl w:val="D35AA1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26841"/>
    <w:rsid w:val="004D62C7"/>
    <w:rsid w:val="004F7F0F"/>
    <w:rsid w:val="0075121A"/>
    <w:rsid w:val="0077286C"/>
    <w:rsid w:val="007F4F56"/>
    <w:rsid w:val="00992595"/>
    <w:rsid w:val="00B313F0"/>
    <w:rsid w:val="00D573FC"/>
    <w:rsid w:val="00E26841"/>
    <w:rsid w:val="00E461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3">
    <w:name w:val="Основной текст3"/>
    <w:basedOn w:val="a"/>
    <w:rsid w:val="00D573FC"/>
    <w:pPr>
      <w:shd w:val="clear" w:color="auto" w:fill="FFFFFF"/>
      <w:spacing w:before="480" w:after="300" w:line="0" w:lineRule="atLeast"/>
      <w:jc w:val="both"/>
    </w:pPr>
    <w:rPr>
      <w:rFonts w:ascii="Times New Roman" w:eastAsia="Times New Roman" w:hAnsi="Times New Roman" w:cs="Times New Roman"/>
    </w:rPr>
  </w:style>
  <w:style w:type="paragraph" w:styleId="a8">
    <w:name w:val="header"/>
    <w:basedOn w:val="a"/>
    <w:link w:val="a9"/>
    <w:uiPriority w:val="99"/>
    <w:unhideWhenUsed/>
    <w:rsid w:val="00D573FC"/>
    <w:pPr>
      <w:tabs>
        <w:tab w:val="center" w:pos="4819"/>
        <w:tab w:val="right" w:pos="9639"/>
      </w:tabs>
    </w:pPr>
  </w:style>
  <w:style w:type="character" w:customStyle="1" w:styleId="a9">
    <w:name w:val="Верхний колонтитул Знак"/>
    <w:basedOn w:val="a0"/>
    <w:link w:val="a8"/>
    <w:uiPriority w:val="99"/>
    <w:rsid w:val="00D573FC"/>
    <w:rPr>
      <w:color w:val="000000"/>
    </w:rPr>
  </w:style>
  <w:style w:type="paragraph" w:styleId="aa">
    <w:name w:val="footer"/>
    <w:basedOn w:val="a"/>
    <w:link w:val="ab"/>
    <w:uiPriority w:val="99"/>
    <w:unhideWhenUsed/>
    <w:rsid w:val="00D573FC"/>
    <w:pPr>
      <w:tabs>
        <w:tab w:val="center" w:pos="4819"/>
        <w:tab w:val="right" w:pos="9639"/>
      </w:tabs>
    </w:pPr>
  </w:style>
  <w:style w:type="character" w:customStyle="1" w:styleId="ab">
    <w:name w:val="Нижний колонтитул Знак"/>
    <w:basedOn w:val="a0"/>
    <w:link w:val="aa"/>
    <w:uiPriority w:val="99"/>
    <w:rsid w:val="00D573F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C700A-D4AD-4A95-AAB9-0E9E3812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2440</Words>
  <Characters>13908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2020-11-27T06:45:00Z</dcterms:created>
  <dcterms:modified xsi:type="dcterms:W3CDTF">2021-01-16T09:05:00Z</dcterms:modified>
</cp:coreProperties>
</file>