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35585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154F70">
        <w:rPr>
          <w:rFonts w:ascii="Times New Roman" w:eastAsia="Times New Roman" w:hAnsi="Times New Roman"/>
          <w:sz w:val="25"/>
          <w:szCs w:val="25"/>
          <w:lang w:eastAsia="ru-RU"/>
        </w:rPr>
        <w:t>3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54F70" w:rsidRDefault="007B3BC8" w:rsidP="001B45F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A7412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AB476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B45F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2A54" w:rsidRPr="007B2A54" w:rsidRDefault="007B2A54" w:rsidP="001B45FE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</w:t>
      </w:r>
      <w:r w:rsidR="00D8425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ії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:</w:t>
      </w:r>
    </w:p>
    <w:p w:rsidR="00A53053" w:rsidRDefault="00A53053" w:rsidP="001B45FE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B2A54" w:rsidRPr="007B2A54" w:rsidRDefault="001B45FE" w:rsidP="001B45FE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В.Є.,</w:t>
      </w:r>
    </w:p>
    <w:p w:rsidR="00A53053" w:rsidRDefault="00A53053" w:rsidP="001B45FE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B2A54" w:rsidRPr="007B2A54" w:rsidRDefault="007B2A54" w:rsidP="001B45FE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Гладія С.В., </w:t>
      </w:r>
      <w:proofErr w:type="spellStart"/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</w:t>
      </w:r>
    </w:p>
    <w:p w:rsidR="00A53053" w:rsidRDefault="00A53053" w:rsidP="001B45FE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B2A54" w:rsidRPr="007B2A54" w:rsidRDefault="00A53053" w:rsidP="00D8425D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озглянувши питання про результати кваліфікаційного оцінювання судді</w:t>
      </w:r>
      <w:r w:rsidR="00D8425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апеляційного суду Волинської області </w:t>
      </w:r>
      <w:proofErr w:type="spellStart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Петра </w:t>
      </w:r>
      <w:proofErr w:type="spellStart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Тодосьовича</w:t>
      </w:r>
      <w:proofErr w:type="spellEnd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 відповідніс</w:t>
      </w:r>
      <w:r w:rsidR="00D8425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ть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посаді,</w:t>
      </w:r>
    </w:p>
    <w:p w:rsidR="001B45FE" w:rsidRDefault="001B45FE" w:rsidP="001B45F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B2A54" w:rsidRPr="007B2A54" w:rsidRDefault="007B2A54" w:rsidP="001B45F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1B45FE" w:rsidRDefault="001B45FE" w:rsidP="001B45FE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F2547" w:rsidRDefault="007B2A54" w:rsidP="000F2547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 w:rsidR="001B45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16¹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 відповідність займаній посаді судді, якого пр</w:t>
      </w:r>
      <w:r w:rsidR="00EC5F3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изначено на посаду строком на п</w:t>
      </w:r>
      <w:r w:rsidR="00EC5F39" w:rsidRPr="00EC5F39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’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ять </w:t>
      </w:r>
      <w:r w:rsid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років або обрано суддею безстроково до набрання чинност</w:t>
      </w:r>
      <w:r w:rsid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Законом України «Про              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внесення змін до Конституції України (щодо правосуддя)», маг бути оцінена в</w:t>
      </w:r>
      <w:r w:rsid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2A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порядку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визначеному законом. Виявлення за результатами такого оцінювання невідповідності судді займаній посаді за критеріями компетентності, професійно</w:t>
      </w:r>
      <w:r w:rsid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ї         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етики або доброчесності чи відмова судді від т</w:t>
      </w:r>
      <w:r w:rsidR="001B45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акого оцінювання є підставою для </w:t>
      </w:r>
      <w:r w:rsid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звільнення судді з посади.</w:t>
      </w:r>
    </w:p>
    <w:p w:rsidR="000F2547" w:rsidRDefault="000F2547" w:rsidP="000F2547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20 розділу </w:t>
      </w:r>
      <w:r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XII</w:t>
      </w:r>
      <w:r w:rsidRP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«П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рикінцеві та перехідні положення» Закону України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«Про судо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устрій і статус суддів» (далі –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передбачено, що відповідність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займаній посаді судді, якого призначено на посаду ст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роком на п</w:t>
      </w:r>
      <w:r w:rsidRP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’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ять років або обрано суддею безстроково</w:t>
      </w:r>
      <w:r w:rsidRPr="000F25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набрання чинності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Законо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 України «Про внесення змін до Конституції України (щодо правосуддя)» оцінюється колегіями Вищої                       кваліфікаційної комісії суддів України в порядку, визначеному цим Законом.</w:t>
      </w:r>
    </w:p>
    <w:p w:rsidR="00C674C3" w:rsidRDefault="000F2547" w:rsidP="00C674C3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01 лютого 2018 року № 8/зп-18 призначено</w:t>
      </w:r>
      <w:r w:rsidR="00C674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аційне оцінювання 1790 суддів місцевих та апеляційних судів на</w:t>
      </w:r>
      <w:r w:rsidR="00C674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відповідність займаній посаді, зокрема судді апеляційного суду Волинської області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</w:t>
      </w:r>
      <w:r w:rsidR="00EC5F3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люка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</w:t>
      </w:r>
    </w:p>
    <w:p w:rsidR="00941458" w:rsidRDefault="00C674C3" w:rsidP="00941458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 </w:t>
      </w:r>
      <w:r w:rsidR="007B2A54" w:rsidRPr="00C674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26 квітня 2018 року №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97/зп</w:t>
      </w:r>
      <w:r w:rsidR="007B2A54" w:rsidRPr="00C674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-18 затверджен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результати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</w:t>
      </w:r>
      <w:r w:rsidR="007B2A54" w:rsidRPr="007A3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складеного 20 березня 2018</w:t>
      </w:r>
      <w:r w:rsidR="007B2A54" w:rsidRPr="007B2A5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року, зокрема,                         судді апеляційного суду Волинської області </w:t>
      </w:r>
      <w:proofErr w:type="spellStart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та допущено його до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другого етап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кваліфікаційного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судді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 місцевих та апеляційних суддів на відповідність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 «Дослідження досьє та проведення співбесід</w:t>
      </w:r>
      <w:r w:rsidR="00D112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».</w:t>
      </w:r>
    </w:p>
    <w:p w:rsidR="00941458" w:rsidRDefault="00941458" w:rsidP="00941458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41458" w:rsidRDefault="00941458" w:rsidP="00941458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41458" w:rsidRDefault="00941458" w:rsidP="00941458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41458" w:rsidRDefault="00941458" w:rsidP="00941458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41458" w:rsidRDefault="007B2A54" w:rsidP="00941458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Згідно з частиною першою статті 61 та частиною першою та другою 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статті 62 Закону суддя зобов’язаний щорічно до </w:t>
      </w:r>
      <w:r w:rsidRPr="007B2A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лютого подавати шляхом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заповнення на офіційному веб-сайті Вищої кваліфікаційної комісії суддів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України декларації родинних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зв’язків та доброчесності за формою, що визначається Комісією. 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="00941458" w:rsidRP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</w:t>
      </w:r>
      <w:r w:rsidR="004A326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ри цьому д</w:t>
      </w:r>
      <w:r w:rsidRP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екларація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доброчесності судді складається з переліку тверджень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        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правдивість яких суддя повинен задекла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рувати шляхом їх підтвердження або </w:t>
      </w:r>
      <w:proofErr w:type="spellStart"/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непідтвердження</w:t>
      </w:r>
      <w:proofErr w:type="spellEnd"/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941458" w:rsidRDefault="00941458" w:rsidP="00941458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Приписами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частини п’ятої статті 61 та частини шостої статті 62 Закону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передбачено,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 у разі одержання інформації, що може свідчити про недостовірні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сть            (в тому числі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неповноту) тверджень судді у вказаних деклараціях, Вища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кваліфікаційна комісія суддів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проводить відповідну перевірку. </w:t>
      </w:r>
    </w:p>
    <w:p w:rsidR="003B5206" w:rsidRDefault="007B2A54" w:rsidP="003B5206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Положеннями пункту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6.2 розділу VI Регламенту Вищої кваліфікаційної комісії суддів України, затвердженого рішенням Комісії від 13 жовтня 2016 року № 81/</w:t>
      </w:r>
      <w:proofErr w:type="spellStart"/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зп-</w:t>
      </w:r>
      <w:proofErr w:type="spellEnd"/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16 (зі змінами) (далі – Регламент), передбачено, що перевірка декларацій родинних                  зв</w:t>
      </w:r>
      <w:r w:rsidR="00941458" w:rsidRP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’</w:t>
      </w:r>
      <w:r w:rsidR="0094145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язків судді та доброчесності судді проводиться у разі надходження до Комісії                     інформації, що може свідчити про недостовірність (в тому числі неповноту)                         відомостей або тверджень, вказаних суддями у цих деклараціях, наданої будь-якою </w:t>
      </w:r>
      <w:r w:rsidR="003B52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особою.</w:t>
      </w:r>
    </w:p>
    <w:p w:rsidR="009252BA" w:rsidRDefault="009252BA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Перевірка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інформації, що надійшла до Комісії в межах процедури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оцінювання, проводиться під час дослідження досьє та співбесіди відповідно до Положення про порядок та методологію кваліфікаційного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показники відповідності критеріям кваліфікаційного оцінювання та засоби їх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встановлення (підпункт 6.2.4 пункту 6.2 розділу VI Регламенту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).</w:t>
      </w:r>
    </w:p>
    <w:p w:rsidR="009252BA" w:rsidRDefault="007B2A54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Оцінивши у сукупності наявну у суддівському досьє інформацію та пояснення</w:t>
      </w:r>
      <w:r w:rsidR="009252B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</w:t>
      </w:r>
      <w:r w:rsidR="009252B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і, Комісія встановила, що вказані у декларації доброчесності судді за 2016 </w:t>
      </w:r>
      <w:r w:rsidR="009252B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рік твердження є недостовірними.</w:t>
      </w:r>
    </w:p>
    <w:p w:rsidR="009252BA" w:rsidRDefault="009252BA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Суддею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Філюком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30 січня 2017 року подано декларацію доброчесності                                                      судді за 2016 рік. У пункті 22 зазначеної декларації суддя підтвердив, що ним не                                        здійснювалися вчинки, що можуть мати наслідком притягнення його до                    відповідальності.</w:t>
      </w:r>
    </w:p>
    <w:p w:rsidR="000157A3" w:rsidRDefault="000157A3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дослідження суддівського досьє та співбесіди встановлено, що                           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протягом 2016 року двічі притягувався до відповідальності за                           адміністр</w:t>
      </w:r>
      <w:r w:rsidR="00FB5EE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ти</w:t>
      </w:r>
      <w:r w:rsidR="00FB5EE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 правопорушення  за частиною першою статті 122 Кодексу України</w:t>
      </w:r>
      <w:r w:rsidR="00FB5EE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про адміністративні правопорушення із накладенням штрафу у розмірі 255 гривень:                                                       відповідно до постанови інспектора ДПС УПП НП у місті Луцьку </w:t>
      </w:r>
      <w:r w:rsidR="00FB5EE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Ющика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В.В. від 19 січня 2016 року та постанови інспектора  ДПС УПП НП у місті </w:t>
      </w:r>
      <w:r w:rsidR="00FB5EE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Луцьку Кравчука В.П. від 21 лютого 2016 року.</w:t>
      </w:r>
    </w:p>
    <w:p w:rsidR="00FB5EE3" w:rsidRDefault="00877983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 час співбесіди суддя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вказав, що накладені на нього штрафи                                                  оплачено у повному розмірі.</w:t>
      </w:r>
    </w:p>
    <w:p w:rsidR="00877983" w:rsidRDefault="009C5886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зв</w:t>
      </w:r>
      <w:r w:rsidRPr="009C58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’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язку з посиланням судді на оскарження ним постанови інспектора</w:t>
      </w:r>
      <w:r w:rsidR="00E714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патрульної поліції від 16 січня 2016 року Комісією встановлено, що постановою судді Луцького міськрайонного суду Волинської області від 11 березня 2016 року </w:t>
      </w:r>
      <w:r w:rsidR="00E714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постанову інспектора патрульної поліції від 16 січня 2016 року про притягнення</w:t>
      </w:r>
      <w:r w:rsidR="00E714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до адміністративної відповідальності за частиною першою статті 122</w:t>
      </w:r>
      <w:r w:rsidR="00E714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Кодуксу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України про адміністративні правопорушення скасовано.</w:t>
      </w:r>
    </w:p>
    <w:p w:rsidR="00E7146F" w:rsidRDefault="00E7146F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Постановою Львівського апеляційного адміністративного суду від 15 червня</w:t>
      </w:r>
      <w:r w:rsidR="002D51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2016 року скасовано постанову суду першої інстанції від 16 січня 2016 року та у задоволенні позову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відмовлено. Справу судом апеляційної інстанції розглянуто за участі представника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</w:t>
      </w:r>
    </w:p>
    <w:p w:rsidR="00772651" w:rsidRDefault="00772651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Отже, на момент подання суддею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Філюком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декларації доброчесності за</w:t>
      </w:r>
      <w:r w:rsidR="001232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2016 рік постанова інспектора поліції від 16 січня 2016 року про притягнення </w:t>
      </w:r>
      <w:r w:rsidR="001232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до відповідальності за адміністративне правопорушення була чинною.</w:t>
      </w:r>
    </w:p>
    <w:p w:rsidR="001232D8" w:rsidRDefault="001232D8" w:rsidP="009252BA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Крім того, суддя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зазначив в анкеті судді, яку подано ним 05 липня                                2018 року</w:t>
      </w:r>
      <w:r w:rsidR="00D44A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про випадки притягнення його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2016 році до відповідальності за </w:t>
      </w:r>
      <w:r w:rsidR="00000F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порушення правил дорожнього руху, однак з проміжком часу понад рік після подання декларації доброчесності судді за 2016 рік.</w:t>
      </w:r>
    </w:p>
    <w:p w:rsidR="00287B9D" w:rsidRDefault="00000F07" w:rsidP="00287B9D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п</w:t>
      </w:r>
      <w:r w:rsidRPr="00000F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’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ятою статті 84 Закону у разі виявлення під час проведення кваліфікаційного оцінювання фактів, що можуть мати наслідком дисциплінарну відповідальність судді, Вища кваліфікаційна комісія суддів України може звернутися </w:t>
      </w:r>
      <w:r w:rsidR="00287B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органу, що здійснює дисциплінарне провадження щодо судді, для вирішення </w:t>
      </w:r>
      <w:r w:rsidR="00287B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питання про відкриття дисциплінарної справи чи відмову в її відкритті та зупинити проведення кваліфікаційного оцінювання цього судді.</w:t>
      </w:r>
    </w:p>
    <w:p w:rsidR="00287B9D" w:rsidRDefault="00287B9D" w:rsidP="00287B9D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Урахувавши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викладене, заслухавши доповідача, дослідивши досьє </w:t>
      </w:r>
      <w:r w:rsidR="007B2A54" w:rsidRPr="007B2A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                          </w:t>
      </w:r>
      <w:r w:rsidR="007B2A54" w:rsidRPr="007B2A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надані суддею пояснення, Комісія дійшла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висновку направити до Вищої               ради п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равосуддя відповідну інформацію щодо викладених обставин для вирішення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питання </w:t>
      </w:r>
      <w:r w:rsidR="00D44A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відкриття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дисциплінарної справи стосовно судді апеляційного суду</w:t>
      </w:r>
      <w:bookmarkStart w:id="0" w:name="bookmark1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Волинської області </w:t>
      </w:r>
      <w:proofErr w:type="spellStart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Філюка</w:t>
      </w:r>
      <w:proofErr w:type="spellEnd"/>
      <w:r w:rsidR="007B2A54"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П.Т. чи відмову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 її відкритті.</w:t>
      </w:r>
    </w:p>
    <w:p w:rsidR="007B2A54" w:rsidRPr="007B2A54" w:rsidRDefault="007B2A54" w:rsidP="00287B9D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84,</w:t>
      </w:r>
      <w:r w:rsidR="00521BB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bookmarkStart w:id="1" w:name="_GoBack"/>
      <w:bookmarkEnd w:id="1"/>
      <w:r w:rsidRPr="007B2A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93, 101 Закону, розділом VI Регламенту, Комісія</w:t>
      </w:r>
      <w:bookmarkEnd w:id="0"/>
    </w:p>
    <w:p w:rsidR="00287B9D" w:rsidRDefault="00287B9D" w:rsidP="007B2A54">
      <w:pPr>
        <w:widowControl w:val="0"/>
        <w:spacing w:after="247" w:line="250" w:lineRule="exact"/>
        <w:ind w:left="1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B2A54" w:rsidRPr="007B2A54" w:rsidRDefault="007B2A54" w:rsidP="007B2A54">
      <w:pPr>
        <w:widowControl w:val="0"/>
        <w:spacing w:after="247" w:line="250" w:lineRule="exact"/>
        <w:ind w:left="1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2D5CC7" w:rsidRDefault="007B2A54" w:rsidP="00656132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 w:rsidRPr="007B2A5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підтвердженою інформацію про недостовірність тверджень, вказаних суддею апеляційного суду Волинської області </w:t>
      </w:r>
      <w:proofErr w:type="spellStart"/>
      <w:r w:rsidRPr="007B2A5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Філюком</w:t>
      </w:r>
      <w:proofErr w:type="spellEnd"/>
      <w:r w:rsidRPr="007B2A5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Петром </w:t>
      </w:r>
      <w:proofErr w:type="spellStart"/>
      <w:r w:rsidRPr="007B2A5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Тодосьовичем</w:t>
      </w:r>
      <w:proofErr w:type="spellEnd"/>
      <w:r w:rsidRPr="007B2A5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у декларац</w:t>
      </w:r>
      <w:r w:rsidR="0085206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ії доброчесності судді за 2016 рік.</w:t>
      </w:r>
    </w:p>
    <w:p w:rsidR="00852066" w:rsidRDefault="00C240A1" w:rsidP="00656132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ab/>
        <w:t xml:space="preserve">Звернутися до Вищої ради правосуддя для вирішення питання про відкриття дисциплінарної справи чи відмову в її відкритті стосовно судді </w:t>
      </w:r>
      <w:r w:rsidRPr="007B2A5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апеляційного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суду Волинської області </w:t>
      </w:r>
      <w:proofErr w:type="spellStart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Філюка</w:t>
      </w:r>
      <w:proofErr w:type="spellEnd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Петра </w:t>
      </w:r>
      <w:proofErr w:type="spellStart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Тодосьовича</w:t>
      </w:r>
      <w:proofErr w:type="spellEnd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C240A1" w:rsidRDefault="00C240A1" w:rsidP="006561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ab/>
        <w:t xml:space="preserve">Зупинити кваліфікаційне оцінювання судді </w:t>
      </w:r>
      <w:r w:rsidRPr="007B2A5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апеляційного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суду Волинської </w:t>
      </w:r>
      <w:r w:rsidR="0065613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області </w:t>
      </w:r>
      <w:proofErr w:type="spellStart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Філюка</w:t>
      </w:r>
      <w:proofErr w:type="spellEnd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Петра </w:t>
      </w:r>
      <w:proofErr w:type="spellStart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Тодосьовича</w:t>
      </w:r>
      <w:proofErr w:type="spellEnd"/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</w:t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>и Комісії:</w:t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B2A54">
        <w:rPr>
          <w:rFonts w:ascii="Times New Roman" w:eastAsia="Times New Roman" w:hAnsi="Times New Roman"/>
          <w:sz w:val="25"/>
          <w:szCs w:val="25"/>
          <w:lang w:eastAsia="uk-UA"/>
        </w:rPr>
        <w:tab/>
        <w:t>С.В. Гладій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7B2A5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1B45FE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65D" w:rsidRDefault="0071665D" w:rsidP="002F156E">
      <w:pPr>
        <w:spacing w:after="0" w:line="240" w:lineRule="auto"/>
      </w:pPr>
      <w:r>
        <w:separator/>
      </w:r>
    </w:p>
  </w:endnote>
  <w:endnote w:type="continuationSeparator" w:id="0">
    <w:p w:rsidR="0071665D" w:rsidRDefault="0071665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65D" w:rsidRDefault="0071665D" w:rsidP="002F156E">
      <w:pPr>
        <w:spacing w:after="0" w:line="240" w:lineRule="auto"/>
      </w:pPr>
      <w:r>
        <w:separator/>
      </w:r>
    </w:p>
  </w:footnote>
  <w:footnote w:type="continuationSeparator" w:id="0">
    <w:p w:rsidR="0071665D" w:rsidRDefault="0071665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BB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F07"/>
    <w:rsid w:val="0000501E"/>
    <w:rsid w:val="00007D4A"/>
    <w:rsid w:val="00010E1B"/>
    <w:rsid w:val="00012239"/>
    <w:rsid w:val="00012836"/>
    <w:rsid w:val="000157A3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2547"/>
    <w:rsid w:val="000F4C37"/>
    <w:rsid w:val="00105DFA"/>
    <w:rsid w:val="00106FDD"/>
    <w:rsid w:val="00107295"/>
    <w:rsid w:val="001223BD"/>
    <w:rsid w:val="001232D8"/>
    <w:rsid w:val="00126C97"/>
    <w:rsid w:val="00132725"/>
    <w:rsid w:val="0015144D"/>
    <w:rsid w:val="0015444C"/>
    <w:rsid w:val="00154F70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B45FE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7B9D"/>
    <w:rsid w:val="002B6583"/>
    <w:rsid w:val="002C1E4E"/>
    <w:rsid w:val="002C4F75"/>
    <w:rsid w:val="002D51C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1682D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B5206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263"/>
    <w:rsid w:val="004A37FF"/>
    <w:rsid w:val="004C48F9"/>
    <w:rsid w:val="004E1126"/>
    <w:rsid w:val="004F5123"/>
    <w:rsid w:val="004F6FE3"/>
    <w:rsid w:val="004F73FF"/>
    <w:rsid w:val="00505AC1"/>
    <w:rsid w:val="00511357"/>
    <w:rsid w:val="00521BBE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2563"/>
    <w:rsid w:val="00612AEB"/>
    <w:rsid w:val="00650342"/>
    <w:rsid w:val="00650569"/>
    <w:rsid w:val="006510A2"/>
    <w:rsid w:val="0065613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1665D"/>
    <w:rsid w:val="00721FF2"/>
    <w:rsid w:val="00723A7E"/>
    <w:rsid w:val="00741A9F"/>
    <w:rsid w:val="007607C4"/>
    <w:rsid w:val="00761CAB"/>
    <w:rsid w:val="00770CE8"/>
    <w:rsid w:val="00771DF7"/>
    <w:rsid w:val="00772651"/>
    <w:rsid w:val="007730CD"/>
    <w:rsid w:val="00774B44"/>
    <w:rsid w:val="00775EE4"/>
    <w:rsid w:val="007A062E"/>
    <w:rsid w:val="007A3050"/>
    <w:rsid w:val="007B0200"/>
    <w:rsid w:val="007B2A54"/>
    <w:rsid w:val="007B3BC8"/>
    <w:rsid w:val="007C3444"/>
    <w:rsid w:val="007E5CAA"/>
    <w:rsid w:val="007F435E"/>
    <w:rsid w:val="00821906"/>
    <w:rsid w:val="00852066"/>
    <w:rsid w:val="00872436"/>
    <w:rsid w:val="00877983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252BA"/>
    <w:rsid w:val="009317BB"/>
    <w:rsid w:val="00934B11"/>
    <w:rsid w:val="009362A7"/>
    <w:rsid w:val="00941458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5886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53053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B476A"/>
    <w:rsid w:val="00AE4DAF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A1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66C8"/>
    <w:rsid w:val="00C674C3"/>
    <w:rsid w:val="00C74203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121B"/>
    <w:rsid w:val="00D12A99"/>
    <w:rsid w:val="00D15E47"/>
    <w:rsid w:val="00D177A4"/>
    <w:rsid w:val="00D253DC"/>
    <w:rsid w:val="00D35462"/>
    <w:rsid w:val="00D35CC7"/>
    <w:rsid w:val="00D44ADA"/>
    <w:rsid w:val="00D46064"/>
    <w:rsid w:val="00D52C3D"/>
    <w:rsid w:val="00D6397A"/>
    <w:rsid w:val="00D8425D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46F"/>
    <w:rsid w:val="00E71A2F"/>
    <w:rsid w:val="00E735E1"/>
    <w:rsid w:val="00EA42AB"/>
    <w:rsid w:val="00EC362E"/>
    <w:rsid w:val="00EC5F39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0A41"/>
    <w:rsid w:val="00F71C94"/>
    <w:rsid w:val="00F72C3B"/>
    <w:rsid w:val="00F745A2"/>
    <w:rsid w:val="00F87A91"/>
    <w:rsid w:val="00F90452"/>
    <w:rsid w:val="00F90849"/>
    <w:rsid w:val="00F91AB8"/>
    <w:rsid w:val="00FA1E54"/>
    <w:rsid w:val="00FB5EE3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2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1B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2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1B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340</cp:revision>
  <dcterms:created xsi:type="dcterms:W3CDTF">2020-08-21T08:05:00Z</dcterms:created>
  <dcterms:modified xsi:type="dcterms:W3CDTF">2021-01-16T08:16:00Z</dcterms:modified>
</cp:coreProperties>
</file>