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CF4" w:rsidRPr="00645CF4" w:rsidRDefault="00645CF4" w:rsidP="00645CF4">
      <w:pPr>
        <w:tabs>
          <w:tab w:val="left" w:pos="1985"/>
        </w:tabs>
        <w:spacing w:line="276" w:lineRule="auto"/>
        <w:jc w:val="both"/>
        <w:rPr>
          <w:rFonts w:ascii="Times New Roman" w:hAnsi="Times New Roman" w:cs="Times New Roman"/>
          <w:sz w:val="26"/>
          <w:szCs w:val="26"/>
        </w:rPr>
      </w:pPr>
      <w:r w:rsidRPr="00645CF4">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29BF08CB" wp14:editId="20C10E6B">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645CF4" w:rsidRPr="00645CF4" w:rsidRDefault="00645CF4" w:rsidP="00645CF4">
      <w:pPr>
        <w:tabs>
          <w:tab w:val="left" w:pos="1985"/>
        </w:tabs>
        <w:spacing w:line="276" w:lineRule="auto"/>
        <w:ind w:right="2"/>
        <w:jc w:val="both"/>
        <w:rPr>
          <w:rFonts w:ascii="Times New Roman" w:eastAsia="Times New Roman" w:hAnsi="Times New Roman" w:cs="Times New Roman"/>
          <w:sz w:val="26"/>
          <w:szCs w:val="26"/>
          <w:lang w:eastAsia="ru-RU"/>
        </w:rPr>
      </w:pPr>
    </w:p>
    <w:p w:rsidR="00645CF4" w:rsidRPr="00645CF4" w:rsidRDefault="00645CF4" w:rsidP="00645CF4">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645CF4" w:rsidRPr="00645CF4" w:rsidRDefault="00645CF4" w:rsidP="00645CF4">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645CF4" w:rsidRPr="00645CF4" w:rsidRDefault="00645CF4" w:rsidP="00645CF4">
      <w:pPr>
        <w:tabs>
          <w:tab w:val="left" w:pos="1985"/>
          <w:tab w:val="center" w:pos="4819"/>
          <w:tab w:val="left" w:pos="8625"/>
        </w:tabs>
        <w:spacing w:line="276" w:lineRule="auto"/>
        <w:ind w:right="2"/>
        <w:jc w:val="center"/>
        <w:rPr>
          <w:rFonts w:ascii="Times New Roman" w:eastAsia="Times New Roman" w:hAnsi="Times New Roman" w:cs="Times New Roman"/>
          <w:bCs/>
          <w:sz w:val="36"/>
          <w:szCs w:val="26"/>
        </w:rPr>
      </w:pPr>
      <w:r w:rsidRPr="00645CF4">
        <w:rPr>
          <w:rFonts w:ascii="Times New Roman" w:eastAsia="Times New Roman" w:hAnsi="Times New Roman" w:cs="Times New Roman"/>
          <w:bCs/>
          <w:sz w:val="36"/>
          <w:szCs w:val="26"/>
        </w:rPr>
        <w:t>ВИЩА КВАЛІФІКАЦІЙНА КОМІСІЯ СУДДІВ УКРАЇНИ</w:t>
      </w:r>
    </w:p>
    <w:p w:rsidR="00645CF4" w:rsidRPr="00645CF4" w:rsidRDefault="00645CF4" w:rsidP="00645CF4">
      <w:pPr>
        <w:tabs>
          <w:tab w:val="left" w:pos="1985"/>
        </w:tabs>
        <w:spacing w:line="276" w:lineRule="auto"/>
        <w:ind w:right="2"/>
        <w:jc w:val="both"/>
        <w:rPr>
          <w:rFonts w:ascii="Times New Roman" w:hAnsi="Times New Roman" w:cs="Times New Roman"/>
          <w:sz w:val="26"/>
          <w:szCs w:val="26"/>
          <w:lang w:eastAsia="ru-RU"/>
        </w:rPr>
      </w:pPr>
    </w:p>
    <w:p w:rsidR="00645CF4" w:rsidRPr="00645CF4" w:rsidRDefault="00645CF4" w:rsidP="00645CF4">
      <w:pPr>
        <w:tabs>
          <w:tab w:val="left" w:pos="1985"/>
        </w:tabs>
        <w:spacing w:line="276" w:lineRule="auto"/>
        <w:ind w:right="2"/>
        <w:jc w:val="both"/>
        <w:rPr>
          <w:rFonts w:ascii="Times New Roman" w:hAnsi="Times New Roman" w:cs="Times New Roman"/>
          <w:sz w:val="26"/>
          <w:szCs w:val="26"/>
          <w:lang w:eastAsia="ru-RU"/>
        </w:rPr>
      </w:pPr>
      <w:r w:rsidRPr="00645CF4">
        <w:rPr>
          <w:rFonts w:ascii="Times New Roman" w:hAnsi="Times New Roman" w:cs="Times New Roman"/>
          <w:sz w:val="26"/>
          <w:szCs w:val="26"/>
          <w:lang w:val="ru-RU" w:eastAsia="ru-RU"/>
        </w:rPr>
        <w:t>26</w:t>
      </w:r>
      <w:r w:rsidRPr="00645CF4">
        <w:rPr>
          <w:rFonts w:ascii="Times New Roman" w:hAnsi="Times New Roman" w:cs="Times New Roman"/>
          <w:sz w:val="26"/>
          <w:szCs w:val="26"/>
          <w:lang w:eastAsia="ru-RU"/>
        </w:rPr>
        <w:t xml:space="preserve"> вересня  2018 року</w:t>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r>
      <w:r w:rsidRPr="00645CF4">
        <w:rPr>
          <w:rFonts w:ascii="Times New Roman" w:hAnsi="Times New Roman" w:cs="Times New Roman"/>
          <w:sz w:val="26"/>
          <w:szCs w:val="26"/>
          <w:lang w:eastAsia="ru-RU"/>
        </w:rPr>
        <w:tab/>
        <w:t xml:space="preserve">     м. Киї</w:t>
      </w:r>
      <w:proofErr w:type="gramStart"/>
      <w:r w:rsidRPr="00645CF4">
        <w:rPr>
          <w:rFonts w:ascii="Times New Roman" w:hAnsi="Times New Roman" w:cs="Times New Roman"/>
          <w:sz w:val="26"/>
          <w:szCs w:val="26"/>
          <w:lang w:eastAsia="ru-RU"/>
        </w:rPr>
        <w:t>в</w:t>
      </w:r>
      <w:proofErr w:type="gramEnd"/>
    </w:p>
    <w:p w:rsidR="00645CF4" w:rsidRPr="00645CF4" w:rsidRDefault="00645CF4" w:rsidP="00645CF4">
      <w:pPr>
        <w:tabs>
          <w:tab w:val="left" w:pos="1985"/>
        </w:tabs>
        <w:spacing w:line="276" w:lineRule="auto"/>
        <w:ind w:right="2"/>
        <w:jc w:val="center"/>
        <w:rPr>
          <w:rFonts w:ascii="Times New Roman" w:hAnsi="Times New Roman" w:cs="Times New Roman"/>
          <w:sz w:val="26"/>
          <w:szCs w:val="26"/>
          <w:lang w:eastAsia="ru-RU"/>
        </w:rPr>
      </w:pPr>
    </w:p>
    <w:p w:rsidR="00645CF4" w:rsidRPr="00645CF4" w:rsidRDefault="00645CF4" w:rsidP="00645CF4">
      <w:pPr>
        <w:tabs>
          <w:tab w:val="left" w:pos="1985"/>
        </w:tabs>
        <w:spacing w:line="276" w:lineRule="auto"/>
        <w:ind w:right="2"/>
        <w:jc w:val="center"/>
        <w:rPr>
          <w:rFonts w:ascii="Times New Roman" w:hAnsi="Times New Roman" w:cs="Times New Roman"/>
          <w:sz w:val="26"/>
          <w:szCs w:val="26"/>
          <w:u w:val="single"/>
          <w:lang w:eastAsia="ru-RU"/>
        </w:rPr>
      </w:pPr>
      <w:r w:rsidRPr="00645CF4">
        <w:rPr>
          <w:rFonts w:ascii="Times New Roman" w:hAnsi="Times New Roman" w:cs="Times New Roman"/>
          <w:sz w:val="26"/>
          <w:szCs w:val="26"/>
          <w:lang w:eastAsia="ru-RU"/>
        </w:rPr>
        <w:t xml:space="preserve">Р І Ш Е Н </w:t>
      </w:r>
      <w:proofErr w:type="spellStart"/>
      <w:r w:rsidRPr="00645CF4">
        <w:rPr>
          <w:rFonts w:ascii="Times New Roman" w:hAnsi="Times New Roman" w:cs="Times New Roman"/>
          <w:sz w:val="26"/>
          <w:szCs w:val="26"/>
          <w:lang w:eastAsia="ru-RU"/>
        </w:rPr>
        <w:t>Н</w:t>
      </w:r>
      <w:proofErr w:type="spellEnd"/>
      <w:r w:rsidRPr="00645CF4">
        <w:rPr>
          <w:rFonts w:ascii="Times New Roman" w:hAnsi="Times New Roman" w:cs="Times New Roman"/>
          <w:sz w:val="26"/>
          <w:szCs w:val="26"/>
          <w:lang w:eastAsia="ru-RU"/>
        </w:rPr>
        <w:t xml:space="preserve"> Я № </w:t>
      </w:r>
      <w:r w:rsidRPr="00645CF4">
        <w:rPr>
          <w:rFonts w:ascii="Times New Roman" w:hAnsi="Times New Roman" w:cs="Times New Roman"/>
          <w:sz w:val="26"/>
          <w:szCs w:val="26"/>
          <w:u w:val="single"/>
          <w:lang w:eastAsia="ru-RU"/>
        </w:rPr>
        <w:t>1716/ко-18</w:t>
      </w:r>
    </w:p>
    <w:p w:rsidR="006A6A37" w:rsidRPr="00645CF4" w:rsidRDefault="004854B7">
      <w:pPr>
        <w:pStyle w:val="11"/>
        <w:shd w:val="clear" w:color="auto" w:fill="auto"/>
        <w:spacing w:before="243" w:after="372" w:line="230" w:lineRule="exact"/>
        <w:ind w:left="20"/>
        <w:rPr>
          <w:sz w:val="26"/>
          <w:szCs w:val="26"/>
        </w:rPr>
      </w:pPr>
      <w:r w:rsidRPr="00645CF4">
        <w:rPr>
          <w:sz w:val="26"/>
          <w:szCs w:val="26"/>
        </w:rPr>
        <w:t>Вища кваліфікаційна комісія суддів України у складі колегії:</w:t>
      </w:r>
    </w:p>
    <w:p w:rsidR="006A6A37" w:rsidRPr="00645CF4" w:rsidRDefault="004854B7">
      <w:pPr>
        <w:pStyle w:val="11"/>
        <w:shd w:val="clear" w:color="auto" w:fill="auto"/>
        <w:spacing w:before="0" w:after="368" w:line="230" w:lineRule="exact"/>
        <w:ind w:left="20"/>
        <w:rPr>
          <w:sz w:val="26"/>
          <w:szCs w:val="26"/>
        </w:rPr>
      </w:pPr>
      <w:r w:rsidRPr="00645CF4">
        <w:rPr>
          <w:sz w:val="26"/>
          <w:szCs w:val="26"/>
        </w:rPr>
        <w:t xml:space="preserve">головуючого </w:t>
      </w:r>
      <w:r w:rsidR="00645CF4">
        <w:rPr>
          <w:sz w:val="26"/>
          <w:szCs w:val="26"/>
        </w:rPr>
        <w:t>–</w:t>
      </w:r>
      <w:r w:rsidRPr="00645CF4">
        <w:rPr>
          <w:sz w:val="26"/>
          <w:szCs w:val="26"/>
        </w:rPr>
        <w:t xml:space="preserve"> </w:t>
      </w:r>
      <w:proofErr w:type="spellStart"/>
      <w:r w:rsidRPr="00645CF4">
        <w:rPr>
          <w:sz w:val="26"/>
          <w:szCs w:val="26"/>
        </w:rPr>
        <w:t>Макарчука</w:t>
      </w:r>
      <w:proofErr w:type="spellEnd"/>
      <w:r w:rsidRPr="00645CF4">
        <w:rPr>
          <w:sz w:val="26"/>
          <w:szCs w:val="26"/>
        </w:rPr>
        <w:t xml:space="preserve"> М.А.,</w:t>
      </w:r>
    </w:p>
    <w:p w:rsidR="006A6A37" w:rsidRPr="00645CF4" w:rsidRDefault="004854B7">
      <w:pPr>
        <w:pStyle w:val="11"/>
        <w:shd w:val="clear" w:color="auto" w:fill="auto"/>
        <w:spacing w:before="0" w:after="310" w:line="230" w:lineRule="exact"/>
        <w:ind w:left="20"/>
        <w:rPr>
          <w:sz w:val="26"/>
          <w:szCs w:val="26"/>
        </w:rPr>
      </w:pPr>
      <w:r w:rsidRPr="00645CF4">
        <w:rPr>
          <w:sz w:val="26"/>
          <w:szCs w:val="26"/>
        </w:rPr>
        <w:t xml:space="preserve">членів Комісії: </w:t>
      </w:r>
      <w:proofErr w:type="spellStart"/>
      <w:r w:rsidRPr="00645CF4">
        <w:rPr>
          <w:sz w:val="26"/>
          <w:szCs w:val="26"/>
        </w:rPr>
        <w:t>Весельської</w:t>
      </w:r>
      <w:proofErr w:type="spellEnd"/>
      <w:r w:rsidRPr="00645CF4">
        <w:rPr>
          <w:sz w:val="26"/>
          <w:szCs w:val="26"/>
        </w:rPr>
        <w:t xml:space="preserve"> Т.Ф., Лукаша Т.В.,</w:t>
      </w:r>
    </w:p>
    <w:p w:rsidR="006A6A37" w:rsidRPr="00645CF4" w:rsidRDefault="004854B7">
      <w:pPr>
        <w:pStyle w:val="11"/>
        <w:shd w:val="clear" w:color="auto" w:fill="auto"/>
        <w:spacing w:before="0" w:after="302" w:line="307" w:lineRule="exact"/>
        <w:ind w:left="20" w:right="20"/>
        <w:rPr>
          <w:sz w:val="26"/>
          <w:szCs w:val="26"/>
        </w:rPr>
      </w:pPr>
      <w:r w:rsidRPr="00645CF4">
        <w:rPr>
          <w:sz w:val="26"/>
          <w:szCs w:val="26"/>
        </w:rPr>
        <w:t xml:space="preserve">розглянувши питання про результати кваліфікаційного оцінювання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Ігоря Юрійовича на відповідність займаній посаді,</w:t>
      </w:r>
    </w:p>
    <w:p w:rsidR="006A6A37" w:rsidRPr="00645CF4" w:rsidRDefault="004854B7">
      <w:pPr>
        <w:pStyle w:val="11"/>
        <w:shd w:val="clear" w:color="auto" w:fill="auto"/>
        <w:spacing w:before="0" w:after="251" w:line="230" w:lineRule="exact"/>
        <w:jc w:val="center"/>
        <w:rPr>
          <w:sz w:val="26"/>
          <w:szCs w:val="26"/>
        </w:rPr>
      </w:pPr>
      <w:r w:rsidRPr="00645CF4">
        <w:rPr>
          <w:sz w:val="26"/>
          <w:szCs w:val="26"/>
        </w:rPr>
        <w:t>встановила:</w:t>
      </w:r>
    </w:p>
    <w:p w:rsidR="006A6A37" w:rsidRPr="00645CF4" w:rsidRDefault="004854B7">
      <w:pPr>
        <w:pStyle w:val="11"/>
        <w:shd w:val="clear" w:color="auto" w:fill="auto"/>
        <w:spacing w:before="0" w:after="0" w:line="298" w:lineRule="exact"/>
        <w:ind w:left="20" w:right="20" w:firstLine="700"/>
        <w:rPr>
          <w:sz w:val="26"/>
          <w:szCs w:val="26"/>
        </w:rPr>
      </w:pPr>
      <w:r w:rsidRPr="00645CF4">
        <w:rPr>
          <w:sz w:val="26"/>
          <w:szCs w:val="26"/>
        </w:rPr>
        <w:t>Згідно з пунктом 16</w:t>
      </w:r>
      <w:r w:rsidR="00645CF4">
        <w:rPr>
          <w:sz w:val="26"/>
          <w:szCs w:val="26"/>
          <w:vertAlign w:val="superscript"/>
        </w:rPr>
        <w:t>1</w:t>
      </w:r>
      <w:r w:rsidRPr="00645CF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A6A37" w:rsidRPr="00645CF4" w:rsidRDefault="004854B7">
      <w:pPr>
        <w:pStyle w:val="11"/>
        <w:shd w:val="clear" w:color="auto" w:fill="auto"/>
        <w:spacing w:before="0" w:after="0" w:line="298" w:lineRule="exact"/>
        <w:ind w:left="20" w:right="20" w:firstLine="700"/>
        <w:rPr>
          <w:sz w:val="26"/>
          <w:szCs w:val="26"/>
        </w:rPr>
      </w:pPr>
      <w:r w:rsidRPr="00645CF4">
        <w:rPr>
          <w:sz w:val="26"/>
          <w:szCs w:val="26"/>
        </w:rPr>
        <w:t>Пунк</w:t>
      </w:r>
      <w:r w:rsidR="00AA21A2">
        <w:rPr>
          <w:sz w:val="26"/>
          <w:szCs w:val="26"/>
        </w:rPr>
        <w:t>том 20 розділу XII «Прикінцеві т</w:t>
      </w:r>
      <w:r w:rsidRPr="00645CF4">
        <w:rPr>
          <w:sz w:val="26"/>
          <w:szCs w:val="26"/>
        </w:rPr>
        <w:t>а перехідні положення» Закону України «Про судо</w:t>
      </w:r>
      <w:r w:rsidR="00645CF4">
        <w:rPr>
          <w:sz w:val="26"/>
          <w:szCs w:val="26"/>
        </w:rPr>
        <w:t xml:space="preserve">устрій і статус суддів» (далі – </w:t>
      </w:r>
      <w:r w:rsidRPr="00645CF4">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6A37" w:rsidRPr="00645CF4" w:rsidRDefault="004854B7">
      <w:pPr>
        <w:pStyle w:val="11"/>
        <w:shd w:val="clear" w:color="auto" w:fill="auto"/>
        <w:spacing w:before="0" w:after="0" w:line="298" w:lineRule="exact"/>
        <w:ind w:left="20" w:right="20" w:firstLine="700"/>
        <w:rPr>
          <w:sz w:val="26"/>
          <w:szCs w:val="26"/>
        </w:rPr>
      </w:pPr>
      <w:r w:rsidRPr="00645CF4">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w:t>
      </w:r>
      <w:r w:rsidR="009E6A81">
        <w:rPr>
          <w:sz w:val="26"/>
          <w:szCs w:val="26"/>
        </w:rPr>
        <w:t>І.Ю</w:t>
      </w:r>
      <w:r w:rsidRPr="00645CF4">
        <w:rPr>
          <w:sz w:val="26"/>
          <w:szCs w:val="26"/>
        </w:rPr>
        <w:t>.</w:t>
      </w:r>
    </w:p>
    <w:p w:rsidR="006A6A37" w:rsidRPr="00645CF4" w:rsidRDefault="004854B7">
      <w:pPr>
        <w:pStyle w:val="11"/>
        <w:shd w:val="clear" w:color="auto" w:fill="auto"/>
        <w:spacing w:before="0" w:after="0" w:line="298" w:lineRule="exact"/>
        <w:ind w:left="20" w:right="20" w:firstLine="700"/>
        <w:rPr>
          <w:sz w:val="26"/>
          <w:szCs w:val="26"/>
        </w:rPr>
      </w:pPr>
      <w:r w:rsidRPr="00645CF4">
        <w:rPr>
          <w:sz w:val="26"/>
          <w:szCs w:val="26"/>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І.Ю., якого допущено до другого етапу кваліфікаційного оцінювання суддів місцевих та</w:t>
      </w:r>
      <w:r w:rsidRPr="00645CF4">
        <w:rPr>
          <w:sz w:val="26"/>
          <w:szCs w:val="26"/>
        </w:rPr>
        <w:br w:type="page"/>
      </w:r>
      <w:r w:rsidRPr="00645CF4">
        <w:rPr>
          <w:sz w:val="26"/>
          <w:szCs w:val="26"/>
        </w:rPr>
        <w:lastRenderedPageBreak/>
        <w:t>апеляційних суддів на відповідність займаній посаді «Дослідження досьє та проведення співбесіди».</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 xml:space="preserve">Згідно з частинами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645CF4">
        <w:rPr>
          <w:sz w:val="26"/>
          <w:szCs w:val="26"/>
        </w:rPr>
        <w:t>непідтвердження</w:t>
      </w:r>
      <w:proofErr w:type="spellEnd"/>
      <w:r w:rsidRPr="00645CF4">
        <w:rPr>
          <w:sz w:val="26"/>
          <w:szCs w:val="26"/>
        </w:rPr>
        <w:t>.</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Відповідно до частини шостої статті 62 Закону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Пунктом 6.2 розділу VI Регламенту Вищої кваліфікаційної комісії суддів України, затвердженого рішення Комісії від 13 жовтня 2016 року № 81/зп-16 (зі змінами), передбачено, що перевірка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Перевірка повідомлення щодо такої інформації, яке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 xml:space="preserve">До Комісії 22 березня 2018 року надійшла заява </w:t>
      </w:r>
      <w:proofErr w:type="spellStart"/>
      <w:r w:rsidRPr="00645CF4">
        <w:rPr>
          <w:sz w:val="26"/>
          <w:szCs w:val="26"/>
        </w:rPr>
        <w:t>Маселка</w:t>
      </w:r>
      <w:proofErr w:type="spellEnd"/>
      <w:r w:rsidRPr="00645CF4">
        <w:rPr>
          <w:sz w:val="26"/>
          <w:szCs w:val="26"/>
        </w:rPr>
        <w:t xml:space="preserve"> Р.А. щодо проведення перевірки достовірності тверджень, зазначених суддею Литвиненком І.Ю. у пункті 17 декларації доброчесності судді за 2015 рік.</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Під час дослідження досьє та співбесіди із суддею Литвиненком І.Ю. проведено перевірку викладеної у цій заяві інформації, за результатами якої встановлено таке.</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Суддею Литвиненком І.Ю. 24 січня 2017 року вперше заповнено декларацію доброчесності судді за 2015 рік.</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У пункті 17 декларації доброчесності судді за 2015 рік суддя Литвиненко І.Ю. підтвердив, що він не приймав</w:t>
      </w:r>
      <w:r w:rsidRPr="00645CF4">
        <w:rPr>
          <w:sz w:val="18"/>
          <w:szCs w:val="26"/>
        </w:rPr>
        <w:t xml:space="preserve"> </w:t>
      </w:r>
      <w:r w:rsidRPr="00645CF4">
        <w:rPr>
          <w:sz w:val="26"/>
          <w:szCs w:val="26"/>
        </w:rPr>
        <w:t>одноособово або у колегії суддів</w:t>
      </w:r>
      <w:r w:rsidRPr="00645CF4">
        <w:rPr>
          <w:sz w:val="18"/>
          <w:szCs w:val="26"/>
        </w:rPr>
        <w:t xml:space="preserve"> </w:t>
      </w:r>
      <w:r w:rsidRPr="00645CF4">
        <w:rPr>
          <w:sz w:val="26"/>
          <w:szCs w:val="26"/>
        </w:rPr>
        <w:t>рішень, передбачених статтею 3 Закону України «Про відновлення довіри до судової влади в Україні».</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Згідно з пунктом 9 частини першої статті 3 Закону України «Про відновлення довіри до судової влади в Україні» суддя суду загальної юрисдикції підлягає перевірці у разі прийняття ним одноособово або у колегії суддів рішення про надання дозволу на проведення слідчих (розшукових) дій та негласних слідчих (розшукових) дій стосовно осіб, які були учасниками масових акцій протесту в період з 21</w:t>
      </w:r>
      <w:r w:rsidR="00AA21A2">
        <w:rPr>
          <w:sz w:val="26"/>
          <w:szCs w:val="26"/>
        </w:rPr>
        <w:t> </w:t>
      </w:r>
      <w:r w:rsidRPr="00645CF4">
        <w:rPr>
          <w:sz w:val="26"/>
          <w:szCs w:val="26"/>
        </w:rPr>
        <w:t>листопада 2013 року до 21 лютого 2014 року, у зв’язку з їх участю у таких акціях.</w:t>
      </w:r>
    </w:p>
    <w:p w:rsidR="00645CF4" w:rsidRPr="00645CF4" w:rsidRDefault="004854B7" w:rsidP="00645CF4">
      <w:pPr>
        <w:pStyle w:val="11"/>
        <w:shd w:val="clear" w:color="auto" w:fill="auto"/>
        <w:spacing w:before="0" w:after="0" w:line="302" w:lineRule="exact"/>
        <w:ind w:left="20" w:right="20" w:firstLine="700"/>
        <w:rPr>
          <w:sz w:val="26"/>
          <w:szCs w:val="26"/>
        </w:rPr>
      </w:pPr>
      <w:r w:rsidRPr="00645CF4">
        <w:rPr>
          <w:sz w:val="26"/>
          <w:szCs w:val="26"/>
        </w:rPr>
        <w:t xml:space="preserve">У заяві </w:t>
      </w:r>
      <w:proofErr w:type="spellStart"/>
      <w:r w:rsidRPr="00645CF4">
        <w:rPr>
          <w:sz w:val="26"/>
          <w:szCs w:val="26"/>
        </w:rPr>
        <w:t>Маселка</w:t>
      </w:r>
      <w:proofErr w:type="spellEnd"/>
      <w:r w:rsidRPr="00645CF4">
        <w:rPr>
          <w:sz w:val="26"/>
          <w:szCs w:val="26"/>
        </w:rPr>
        <w:t xml:space="preserve"> Р.А. викладено інформацію щодо постановлення суддею </w:t>
      </w:r>
      <w:proofErr w:type="spellStart"/>
      <w:r w:rsidRPr="00645CF4">
        <w:rPr>
          <w:sz w:val="26"/>
          <w:szCs w:val="26"/>
        </w:rPr>
        <w:t>Бабушкінського</w:t>
      </w:r>
      <w:proofErr w:type="spellEnd"/>
      <w:r w:rsidRPr="00645CF4">
        <w:rPr>
          <w:sz w:val="26"/>
          <w:szCs w:val="26"/>
        </w:rPr>
        <w:t xml:space="preserve"> районного суду міста</w:t>
      </w:r>
      <w:r w:rsidRPr="00645CF4">
        <w:rPr>
          <w:sz w:val="18"/>
          <w:szCs w:val="26"/>
        </w:rPr>
        <w:t xml:space="preserve"> </w:t>
      </w:r>
      <w:r w:rsidRPr="00645CF4">
        <w:rPr>
          <w:sz w:val="26"/>
          <w:szCs w:val="26"/>
        </w:rPr>
        <w:t>Дніпропетровська Литвиненком І.Ю.</w:t>
      </w:r>
      <w:r w:rsidRPr="00645CF4">
        <w:rPr>
          <w:sz w:val="18"/>
          <w:szCs w:val="26"/>
        </w:rPr>
        <w:t xml:space="preserve"> </w:t>
      </w:r>
      <w:r w:rsidRPr="00645CF4">
        <w:rPr>
          <w:sz w:val="26"/>
          <w:szCs w:val="26"/>
        </w:rPr>
        <w:t>12 лютого 2014 року ухвали</w:t>
      </w:r>
      <w:r w:rsidRPr="00645CF4">
        <w:rPr>
          <w:sz w:val="22"/>
          <w:szCs w:val="26"/>
        </w:rPr>
        <w:t xml:space="preserve"> </w:t>
      </w:r>
      <w:r w:rsidRPr="00645CF4">
        <w:rPr>
          <w:sz w:val="26"/>
          <w:szCs w:val="26"/>
        </w:rPr>
        <w:t>у справі № 200/2433/14-к про надання дозволу</w:t>
      </w:r>
      <w:r w:rsidRPr="00645CF4">
        <w:rPr>
          <w:sz w:val="22"/>
          <w:szCs w:val="26"/>
        </w:rPr>
        <w:t xml:space="preserve"> </w:t>
      </w:r>
      <w:r w:rsidRPr="00645CF4">
        <w:rPr>
          <w:sz w:val="26"/>
          <w:szCs w:val="26"/>
        </w:rPr>
        <w:t>на проведення</w:t>
      </w:r>
    </w:p>
    <w:p w:rsidR="006A6A37" w:rsidRPr="00645CF4" w:rsidRDefault="004854B7">
      <w:pPr>
        <w:pStyle w:val="11"/>
        <w:shd w:val="clear" w:color="auto" w:fill="auto"/>
        <w:spacing w:before="0" w:after="0" w:line="302" w:lineRule="exact"/>
        <w:ind w:left="20" w:right="20"/>
        <w:rPr>
          <w:sz w:val="26"/>
          <w:szCs w:val="26"/>
        </w:rPr>
      </w:pPr>
      <w:r w:rsidRPr="00645CF4">
        <w:rPr>
          <w:sz w:val="26"/>
          <w:szCs w:val="26"/>
        </w:rPr>
        <w:lastRenderedPageBreak/>
        <w:t>обшуку за місцем проживання особи у зв’язку з участю цієї особи у масових акціях протесту.</w:t>
      </w:r>
    </w:p>
    <w:p w:rsidR="006A6A37" w:rsidRPr="00645CF4" w:rsidRDefault="00645CF4">
      <w:pPr>
        <w:pStyle w:val="11"/>
        <w:shd w:val="clear" w:color="auto" w:fill="auto"/>
        <w:spacing w:before="0" w:after="0" w:line="302" w:lineRule="exact"/>
        <w:ind w:left="20" w:right="20" w:firstLine="700"/>
        <w:rPr>
          <w:sz w:val="26"/>
          <w:szCs w:val="26"/>
        </w:rPr>
      </w:pPr>
      <w:r>
        <w:rPr>
          <w:sz w:val="26"/>
          <w:szCs w:val="26"/>
        </w:rPr>
        <w:t>П</w:t>
      </w:r>
      <w:r w:rsidR="004854B7" w:rsidRPr="00645CF4">
        <w:rPr>
          <w:sz w:val="26"/>
          <w:szCs w:val="26"/>
        </w:rPr>
        <w:t xml:space="preserve">остановлення цієї ухвали суду стало підставою звернення 12 грудня </w:t>
      </w:r>
      <w:r>
        <w:rPr>
          <w:sz w:val="26"/>
          <w:szCs w:val="26"/>
        </w:rPr>
        <w:t xml:space="preserve">                   </w:t>
      </w:r>
      <w:r w:rsidR="004854B7" w:rsidRPr="00645CF4">
        <w:rPr>
          <w:sz w:val="26"/>
          <w:szCs w:val="26"/>
        </w:rPr>
        <w:t xml:space="preserve">2014 року прокуратури Дніпропетровської області до Тимчасової спеціальної комісії з перевірки суддів загальної юрисдикції із заявою про проведення спеціальної перевірки стосовно судді </w:t>
      </w:r>
      <w:proofErr w:type="spellStart"/>
      <w:r w:rsidR="004854B7" w:rsidRPr="00645CF4">
        <w:rPr>
          <w:sz w:val="26"/>
          <w:szCs w:val="26"/>
        </w:rPr>
        <w:t>Бабушкінського</w:t>
      </w:r>
      <w:proofErr w:type="spellEnd"/>
      <w:r w:rsidR="004854B7" w:rsidRPr="00645CF4">
        <w:rPr>
          <w:sz w:val="26"/>
          <w:szCs w:val="26"/>
        </w:rPr>
        <w:t xml:space="preserve"> районного суду міста Дніпропетровська Литвиненка І.Ю. відповідно до Закону України «Про відновлення довіри до судової влади в Україні».</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Оскільки Тимчасова спеціальна комісія з перевірки суддів загальної юрисдикції не встигла прийняти рішення щодо заяви прокуратури Дніпропетровської області, відповідно до вимог</w:t>
      </w:r>
      <w:r w:rsidRPr="00645CF4">
        <w:rPr>
          <w:sz w:val="18"/>
          <w:szCs w:val="26"/>
        </w:rPr>
        <w:t xml:space="preserve"> </w:t>
      </w:r>
      <w:r w:rsidRPr="00645CF4">
        <w:rPr>
          <w:sz w:val="26"/>
          <w:szCs w:val="26"/>
        </w:rPr>
        <w:t>частини</w:t>
      </w:r>
      <w:r w:rsidRPr="00645CF4">
        <w:rPr>
          <w:sz w:val="20"/>
          <w:szCs w:val="26"/>
        </w:rPr>
        <w:t xml:space="preserve"> </w:t>
      </w:r>
      <w:r w:rsidRPr="00645CF4">
        <w:rPr>
          <w:sz w:val="26"/>
          <w:szCs w:val="26"/>
        </w:rPr>
        <w:t>п’ятої статті 2</w:t>
      </w:r>
      <w:r w:rsidRPr="00645CF4">
        <w:rPr>
          <w:sz w:val="20"/>
          <w:szCs w:val="26"/>
        </w:rPr>
        <w:t xml:space="preserve"> </w:t>
      </w:r>
      <w:r w:rsidRPr="00645CF4">
        <w:rPr>
          <w:sz w:val="26"/>
          <w:szCs w:val="26"/>
        </w:rPr>
        <w:t>Закону України</w:t>
      </w:r>
      <w:r w:rsidRPr="00645CF4">
        <w:rPr>
          <w:sz w:val="18"/>
          <w:szCs w:val="26"/>
        </w:rPr>
        <w:t xml:space="preserve"> </w:t>
      </w:r>
      <w:r w:rsidRPr="00645CF4">
        <w:rPr>
          <w:sz w:val="26"/>
          <w:szCs w:val="26"/>
        </w:rPr>
        <w:t>«Про відновлення довіри до судової влади в Україні» листом секретаря Тимчасової спеціальної комісії з перевірки суддів загальної юрисдикції від 31 березня 2016 року вказану заяву з доданими документами було направлено до Вищої ради юстиції для розгляду за загальною процедурою.</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 xml:space="preserve">Під час проведення членом Вищої ради юстиції перевірки заяви прокуратури Дніпропетровської області суддею Литвиненком І.Ю. надавалися пояснення, з урахуванням яких Вищою радою юстиції 16 вересня 2016 року було прийнято рішення № 2352/0/15-16 про відмову у відкритті дисциплінарної справи стосовно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І.Ю. При цьому Вища рада юстиції дійшла висновку про допущення суддею Литвиненком І.Ю. порушень норм процесуального права при задоволенні клопотання слідчого щодо надання дозволу на проведення обшуку, що може свідчити про наявність у його діях ознак дисциплінарного проступку, проте строк притягнення судді до дисциплінарної відповідальності сплинув.</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Отже, станом на момент заповнення декларації доброчесності судді за 2015 рік (24 січня 2017 року) суддя Литвиненко І.Ю. був обізнаний про факт подання прокуратурою Дніпропетровської області до Тимчасової спеціальної комісії з перевірки суддів загальної юрисдикції заяви щодо проведення стосовно нього спеціальної перевірки відповідно до Закону України «Про відновлення довіри до судової влади в Україні».</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 xml:space="preserve">Стосовно інформації, викладеної у заяві </w:t>
      </w:r>
      <w:proofErr w:type="spellStart"/>
      <w:r w:rsidRPr="00645CF4">
        <w:rPr>
          <w:sz w:val="26"/>
          <w:szCs w:val="26"/>
        </w:rPr>
        <w:t>Маселка</w:t>
      </w:r>
      <w:proofErr w:type="spellEnd"/>
      <w:r w:rsidRPr="00645CF4">
        <w:rPr>
          <w:sz w:val="26"/>
          <w:szCs w:val="26"/>
        </w:rPr>
        <w:t xml:space="preserve"> Р.А., суддя </w:t>
      </w:r>
      <w:r w:rsidR="00645CF4">
        <w:rPr>
          <w:sz w:val="26"/>
          <w:szCs w:val="26"/>
        </w:rPr>
        <w:t xml:space="preserve">                       </w:t>
      </w:r>
      <w:r w:rsidRPr="00645CF4">
        <w:rPr>
          <w:sz w:val="26"/>
          <w:szCs w:val="26"/>
        </w:rPr>
        <w:t>Литвиненко І.Ю. надав письмові пояснення, в яких зазначив, що рішенням Вищої ради юстиції від 16 вересня 2016 року у відкрити стосовно нього дисциплінарної справи було відмовлено, він пройшов перевірку відповідно до Закону України «Про очищення влади», з 01 січня 2014 року до 16 квітня 2018 року ним було розглянуто 3269 клопотань слідчих і прокурорів про надання дозволу на здійснення обшуку та через зазначені обставини забув і не вказав у пункті 17 декларації</w:t>
      </w:r>
      <w:r w:rsidRPr="00645CF4">
        <w:rPr>
          <w:sz w:val="16"/>
          <w:szCs w:val="26"/>
        </w:rPr>
        <w:t xml:space="preserve"> </w:t>
      </w:r>
      <w:r w:rsidRPr="00645CF4">
        <w:rPr>
          <w:sz w:val="26"/>
          <w:szCs w:val="26"/>
        </w:rPr>
        <w:t>доброчесності судді про факт прийняття ним судового рішення у справі № 200/2433/14-к.</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Крім того, встановлено, що суддею Литвиненком І.Ю. подано до Комісії декларацію родинних зв’язків судді за 2016-2017 роки, заповнену 26 січня 2018 року.</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Частиною першою статті 61 Закону передбачено, що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зв’язків за формою, що визначається Комісією.</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Згідно з вимогами пункту 2 частини другої статті 61 Закону та Правил заповнення та подання декларації родинних зв’язків судді дана декларація подається із зазначенням відомостей за останні п’ять календарних років.</w:t>
      </w:r>
      <w:r w:rsidRPr="00645CF4">
        <w:rPr>
          <w:sz w:val="26"/>
          <w:szCs w:val="26"/>
        </w:rPr>
        <w:br w:type="page"/>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lastRenderedPageBreak/>
        <w:t>Отже, відповідно до цих вимог суддя Литвиненко І.Ю., заповнюючи 26 січня 2018 року декларацію родинних зв’язків судді, був зобов’язаний зазначити у ній відомості за 2013-2017 роки.</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Під час проведення співбесіди суддя Литвиненко І.Ю. пояснив, що відомості за 2013-2015 роки були відображені ним у раніше поданих деклараціях. Проте дана обставина не звільняє суддю від обов’язку зазначення у декларації родинних зв’язків відомостей за останні п’ять календарних років.</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Таким чином, оцінивши у сукупності наявну у</w:t>
      </w:r>
      <w:r w:rsidR="00AA21A2">
        <w:rPr>
          <w:sz w:val="26"/>
          <w:szCs w:val="26"/>
        </w:rPr>
        <w:t xml:space="preserve"> суддівському досьє інформацію т</w:t>
      </w:r>
      <w:r w:rsidRPr="00645CF4">
        <w:rPr>
          <w:sz w:val="26"/>
          <w:szCs w:val="26"/>
        </w:rPr>
        <w:t>а пояснення судді. Комісія вважає, що викладені факти та обставини можуть свідчити про вчинення суддею Литвиненком І.Ю. дій, передбачених:</w:t>
      </w:r>
    </w:p>
    <w:p w:rsidR="006A6A37" w:rsidRPr="00645CF4" w:rsidRDefault="004854B7">
      <w:pPr>
        <w:pStyle w:val="11"/>
        <w:numPr>
          <w:ilvl w:val="0"/>
          <w:numId w:val="1"/>
        </w:numPr>
        <w:shd w:val="clear" w:color="auto" w:fill="auto"/>
        <w:tabs>
          <w:tab w:val="left" w:pos="956"/>
        </w:tabs>
        <w:spacing w:before="0" w:after="0" w:line="302" w:lineRule="exact"/>
        <w:ind w:left="20" w:right="20" w:firstLine="700"/>
        <w:rPr>
          <w:sz w:val="26"/>
          <w:szCs w:val="26"/>
        </w:rPr>
      </w:pPr>
      <w:r w:rsidRPr="00645CF4">
        <w:rPr>
          <w:sz w:val="26"/>
          <w:szCs w:val="26"/>
        </w:rPr>
        <w:t>пунктом 19 частини першої статті 106 Закону - декларування завідомо недостовірних (у тому числі неповних) тверджень у декларації доброчесності судді;</w:t>
      </w:r>
    </w:p>
    <w:p w:rsidR="006A6A37" w:rsidRPr="00645CF4" w:rsidRDefault="004854B7">
      <w:pPr>
        <w:pStyle w:val="11"/>
        <w:numPr>
          <w:ilvl w:val="0"/>
          <w:numId w:val="1"/>
        </w:numPr>
        <w:shd w:val="clear" w:color="auto" w:fill="auto"/>
        <w:tabs>
          <w:tab w:val="left" w:pos="903"/>
        </w:tabs>
        <w:spacing w:before="0" w:after="0" w:line="302" w:lineRule="exact"/>
        <w:ind w:left="20" w:right="20" w:firstLine="700"/>
        <w:rPr>
          <w:sz w:val="26"/>
          <w:szCs w:val="26"/>
        </w:rPr>
      </w:pPr>
      <w:r w:rsidRPr="00645CF4">
        <w:rPr>
          <w:sz w:val="26"/>
          <w:szCs w:val="26"/>
        </w:rPr>
        <w:t>пунктом 16 частини першої статті 106 Закону - неподання або несвоєчасне подання декларації родинних зв’язків суддею в порядку, визначеному Законом.</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w:t>
      </w:r>
      <w:r w:rsidRPr="00870A3F">
        <w:rPr>
          <w:sz w:val="20"/>
          <w:szCs w:val="26"/>
        </w:rPr>
        <w:t xml:space="preserve"> </w:t>
      </w:r>
      <w:r w:rsidRPr="00645CF4">
        <w:rPr>
          <w:sz w:val="26"/>
          <w:szCs w:val="26"/>
        </w:rPr>
        <w:t>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у разі такого звернення має право зупинити проведення кваліфікаційного оцінювання цього судді.</w:t>
      </w:r>
    </w:p>
    <w:p w:rsidR="006A6A37" w:rsidRPr="00645CF4" w:rsidRDefault="004854B7">
      <w:pPr>
        <w:pStyle w:val="11"/>
        <w:shd w:val="clear" w:color="auto" w:fill="auto"/>
        <w:spacing w:before="0" w:after="0" w:line="302" w:lineRule="exact"/>
        <w:ind w:left="20" w:right="20" w:firstLine="700"/>
        <w:rPr>
          <w:sz w:val="26"/>
          <w:szCs w:val="26"/>
        </w:rPr>
      </w:pPr>
      <w:r w:rsidRPr="00645CF4">
        <w:rPr>
          <w:sz w:val="26"/>
          <w:szCs w:val="26"/>
        </w:rPr>
        <w:t>Ураховуючи викладене, Комісія дійшла висновку про необхідність зупинення проведення кваліфікаційного оцінювання судді та звернення до Вищої ради правосуддя для вирішення питання про відкриття дисциплінарної справи чи відмову в її відкрит</w:t>
      </w:r>
      <w:r w:rsidR="00A451D6">
        <w:rPr>
          <w:sz w:val="26"/>
          <w:szCs w:val="26"/>
        </w:rPr>
        <w:t>т</w:t>
      </w:r>
      <w:r w:rsidRPr="00645CF4">
        <w:rPr>
          <w:sz w:val="26"/>
          <w:szCs w:val="26"/>
        </w:rPr>
        <w:t xml:space="preserve">і стосовно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І.Ю.</w:t>
      </w:r>
    </w:p>
    <w:p w:rsidR="006A6A37" w:rsidRPr="00645CF4" w:rsidRDefault="004854B7">
      <w:pPr>
        <w:pStyle w:val="11"/>
        <w:shd w:val="clear" w:color="auto" w:fill="auto"/>
        <w:spacing w:before="0" w:after="298" w:line="302" w:lineRule="exact"/>
        <w:ind w:left="20" w:right="20" w:firstLine="700"/>
        <w:rPr>
          <w:sz w:val="26"/>
          <w:szCs w:val="26"/>
        </w:rPr>
      </w:pPr>
      <w:r w:rsidRPr="00645CF4">
        <w:rPr>
          <w:sz w:val="26"/>
          <w:szCs w:val="26"/>
        </w:rPr>
        <w:t>Керуючись статтями 84, 93, 101 Закону, розділом VI Регламенту Вищої кваліфіка</w:t>
      </w:r>
      <w:bookmarkStart w:id="0" w:name="_GoBack"/>
      <w:r w:rsidRPr="00645CF4">
        <w:rPr>
          <w:sz w:val="26"/>
          <w:szCs w:val="26"/>
        </w:rPr>
        <w:t>ц</w:t>
      </w:r>
      <w:bookmarkEnd w:id="0"/>
      <w:r w:rsidRPr="00645CF4">
        <w:rPr>
          <w:sz w:val="26"/>
          <w:szCs w:val="26"/>
        </w:rPr>
        <w:t>ійної комісії суддів України, Комісія</w:t>
      </w:r>
    </w:p>
    <w:p w:rsidR="006A6A37" w:rsidRPr="00645CF4" w:rsidRDefault="004854B7">
      <w:pPr>
        <w:pStyle w:val="11"/>
        <w:shd w:val="clear" w:color="auto" w:fill="auto"/>
        <w:spacing w:before="0" w:after="250" w:line="230" w:lineRule="exact"/>
        <w:ind w:left="20"/>
        <w:jc w:val="center"/>
        <w:rPr>
          <w:sz w:val="26"/>
          <w:szCs w:val="26"/>
        </w:rPr>
      </w:pPr>
      <w:r w:rsidRPr="00645CF4">
        <w:rPr>
          <w:sz w:val="26"/>
          <w:szCs w:val="26"/>
        </w:rPr>
        <w:t>вирішила:</w:t>
      </w:r>
    </w:p>
    <w:p w:rsidR="006A6A37" w:rsidRPr="00645CF4" w:rsidRDefault="004854B7">
      <w:pPr>
        <w:pStyle w:val="11"/>
        <w:shd w:val="clear" w:color="auto" w:fill="auto"/>
        <w:spacing w:before="0" w:after="0" w:line="307" w:lineRule="exact"/>
        <w:ind w:left="20" w:right="20"/>
        <w:rPr>
          <w:sz w:val="26"/>
          <w:szCs w:val="26"/>
        </w:rPr>
      </w:pPr>
      <w:r w:rsidRPr="00645CF4">
        <w:rPr>
          <w:sz w:val="26"/>
          <w:szCs w:val="26"/>
        </w:rPr>
        <w:t xml:space="preserve">зупинити кваліфікаційне оцінювання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Ігоря Юрійовича.</w:t>
      </w:r>
    </w:p>
    <w:p w:rsidR="006A6A37" w:rsidRDefault="004854B7">
      <w:pPr>
        <w:pStyle w:val="11"/>
        <w:shd w:val="clear" w:color="auto" w:fill="auto"/>
        <w:spacing w:before="0" w:after="294" w:line="307" w:lineRule="exact"/>
        <w:ind w:left="20" w:right="20" w:firstLine="700"/>
        <w:rPr>
          <w:sz w:val="26"/>
          <w:szCs w:val="26"/>
        </w:rPr>
      </w:pPr>
      <w:r w:rsidRPr="00645CF4">
        <w:rPr>
          <w:sz w:val="26"/>
          <w:szCs w:val="26"/>
        </w:rPr>
        <w:t xml:space="preserve">Звернутися до Вищої ради правосуддя для вирішення питання про відкриття дисциплінарної справи чи відмову в її відкритті стосовно судді </w:t>
      </w:r>
      <w:proofErr w:type="spellStart"/>
      <w:r w:rsidRPr="00645CF4">
        <w:rPr>
          <w:sz w:val="26"/>
          <w:szCs w:val="26"/>
        </w:rPr>
        <w:t>Бабушкінського</w:t>
      </w:r>
      <w:proofErr w:type="spellEnd"/>
      <w:r w:rsidRPr="00645CF4">
        <w:rPr>
          <w:sz w:val="26"/>
          <w:szCs w:val="26"/>
        </w:rPr>
        <w:t xml:space="preserve"> районного суду міста Дніпропетровська Литвиненка Ігоря Юрійовича.</w:t>
      </w:r>
    </w:p>
    <w:p w:rsidR="00870A3F" w:rsidRPr="00645CF4" w:rsidRDefault="00870A3F">
      <w:pPr>
        <w:pStyle w:val="11"/>
        <w:shd w:val="clear" w:color="auto" w:fill="auto"/>
        <w:spacing w:before="0" w:after="294" w:line="307" w:lineRule="exact"/>
        <w:ind w:left="20" w:right="20" w:firstLine="700"/>
        <w:rPr>
          <w:sz w:val="26"/>
          <w:szCs w:val="26"/>
        </w:rPr>
      </w:pPr>
    </w:p>
    <w:p w:rsidR="00645CF4" w:rsidRPr="00645CF4" w:rsidRDefault="00645CF4" w:rsidP="00645CF4">
      <w:pPr>
        <w:spacing w:line="600" w:lineRule="auto"/>
        <w:jc w:val="both"/>
        <w:rPr>
          <w:rFonts w:ascii="Times New Roman" w:hAnsi="Times New Roman" w:cs="Times New Roman"/>
          <w:sz w:val="26"/>
          <w:szCs w:val="26"/>
        </w:rPr>
      </w:pPr>
      <w:r w:rsidRPr="00645CF4">
        <w:rPr>
          <w:rFonts w:ascii="Times New Roman" w:hAnsi="Times New Roman" w:cs="Times New Roman"/>
          <w:sz w:val="26"/>
          <w:szCs w:val="26"/>
        </w:rPr>
        <w:t>Головуючий</w:t>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t xml:space="preserve">М.А. </w:t>
      </w:r>
      <w:proofErr w:type="spellStart"/>
      <w:r w:rsidRPr="00645CF4">
        <w:rPr>
          <w:rFonts w:ascii="Times New Roman" w:hAnsi="Times New Roman" w:cs="Times New Roman"/>
          <w:sz w:val="26"/>
          <w:szCs w:val="26"/>
        </w:rPr>
        <w:t>Макарчук</w:t>
      </w:r>
      <w:proofErr w:type="spellEnd"/>
    </w:p>
    <w:p w:rsidR="00645CF4" w:rsidRPr="00645CF4" w:rsidRDefault="00645CF4" w:rsidP="00645CF4">
      <w:pPr>
        <w:spacing w:line="600" w:lineRule="auto"/>
        <w:ind w:right="2"/>
        <w:jc w:val="both"/>
        <w:rPr>
          <w:rFonts w:ascii="Times New Roman" w:hAnsi="Times New Roman" w:cs="Times New Roman"/>
          <w:sz w:val="26"/>
          <w:szCs w:val="26"/>
        </w:rPr>
      </w:pPr>
      <w:r w:rsidRPr="00645CF4">
        <w:rPr>
          <w:rFonts w:ascii="Times New Roman" w:hAnsi="Times New Roman" w:cs="Times New Roman"/>
          <w:sz w:val="26"/>
          <w:szCs w:val="26"/>
        </w:rPr>
        <w:t xml:space="preserve">Члени Комісії: </w:t>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r>
      <w:r w:rsidRPr="00645CF4">
        <w:rPr>
          <w:rFonts w:ascii="Times New Roman" w:hAnsi="Times New Roman" w:cs="Times New Roman"/>
          <w:sz w:val="26"/>
          <w:szCs w:val="26"/>
        </w:rPr>
        <w:tab/>
        <w:t xml:space="preserve">Т.Ф. </w:t>
      </w:r>
      <w:proofErr w:type="spellStart"/>
      <w:r w:rsidRPr="00645CF4">
        <w:rPr>
          <w:rFonts w:ascii="Times New Roman" w:hAnsi="Times New Roman" w:cs="Times New Roman"/>
          <w:sz w:val="26"/>
          <w:szCs w:val="26"/>
        </w:rPr>
        <w:t>Весельська</w:t>
      </w:r>
      <w:proofErr w:type="spellEnd"/>
    </w:p>
    <w:p w:rsidR="00645CF4" w:rsidRPr="00645CF4" w:rsidRDefault="00645CF4" w:rsidP="00645CF4">
      <w:pPr>
        <w:spacing w:line="600" w:lineRule="auto"/>
        <w:ind w:left="6372" w:right="2" w:firstLine="708"/>
        <w:jc w:val="both"/>
        <w:rPr>
          <w:rFonts w:ascii="Times New Roman" w:hAnsi="Times New Roman" w:cs="Times New Roman"/>
          <w:sz w:val="26"/>
          <w:szCs w:val="26"/>
        </w:rPr>
      </w:pPr>
      <w:r w:rsidRPr="00645CF4">
        <w:rPr>
          <w:rFonts w:ascii="Times New Roman" w:hAnsi="Times New Roman" w:cs="Times New Roman"/>
          <w:sz w:val="26"/>
          <w:szCs w:val="26"/>
        </w:rPr>
        <w:t>Т.В. Лукаш</w:t>
      </w:r>
    </w:p>
    <w:sectPr w:rsidR="00645CF4" w:rsidRPr="00645CF4" w:rsidSect="00870A3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4B7" w:rsidRDefault="004854B7">
      <w:r>
        <w:separator/>
      </w:r>
    </w:p>
  </w:endnote>
  <w:endnote w:type="continuationSeparator" w:id="0">
    <w:p w:rsidR="004854B7" w:rsidRDefault="00485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4B7" w:rsidRDefault="004854B7"/>
  </w:footnote>
  <w:footnote w:type="continuationSeparator" w:id="0">
    <w:p w:rsidR="004854B7" w:rsidRDefault="004854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706672"/>
      <w:docPartObj>
        <w:docPartGallery w:val="Page Numbers (Top of Page)"/>
        <w:docPartUnique/>
      </w:docPartObj>
    </w:sdtPr>
    <w:sdtEndPr/>
    <w:sdtContent>
      <w:p w:rsidR="00870A3F" w:rsidRDefault="00870A3F">
        <w:pPr>
          <w:pStyle w:val="aa"/>
          <w:jc w:val="center"/>
        </w:pPr>
      </w:p>
      <w:p w:rsidR="00870A3F" w:rsidRDefault="00870A3F">
        <w:pPr>
          <w:pStyle w:val="aa"/>
          <w:jc w:val="center"/>
        </w:pPr>
      </w:p>
      <w:p w:rsidR="00870A3F" w:rsidRDefault="00870A3F">
        <w:pPr>
          <w:pStyle w:val="aa"/>
          <w:jc w:val="center"/>
        </w:pPr>
        <w:r w:rsidRPr="00870A3F">
          <w:rPr>
            <w:rFonts w:ascii="Times New Roman" w:hAnsi="Times New Roman" w:cs="Times New Roman"/>
          </w:rPr>
          <w:fldChar w:fldCharType="begin"/>
        </w:r>
        <w:r w:rsidRPr="00870A3F">
          <w:rPr>
            <w:rFonts w:ascii="Times New Roman" w:hAnsi="Times New Roman" w:cs="Times New Roman"/>
          </w:rPr>
          <w:instrText>PAGE   \* MERGEFORMAT</w:instrText>
        </w:r>
        <w:r w:rsidRPr="00870A3F">
          <w:rPr>
            <w:rFonts w:ascii="Times New Roman" w:hAnsi="Times New Roman" w:cs="Times New Roman"/>
          </w:rPr>
          <w:fldChar w:fldCharType="separate"/>
        </w:r>
        <w:r w:rsidR="00A451D6" w:rsidRPr="00A451D6">
          <w:rPr>
            <w:rFonts w:ascii="Times New Roman" w:hAnsi="Times New Roman" w:cs="Times New Roman"/>
            <w:noProof/>
            <w:lang w:val="ru-RU"/>
          </w:rPr>
          <w:t>4</w:t>
        </w:r>
        <w:r w:rsidRPr="00870A3F">
          <w:rPr>
            <w:rFonts w:ascii="Times New Roman" w:hAnsi="Times New Roman" w:cs="Times New Roman"/>
          </w:rPr>
          <w:fldChar w:fldCharType="end"/>
        </w:r>
      </w:p>
    </w:sdtContent>
  </w:sdt>
  <w:p w:rsidR="006A6A37" w:rsidRDefault="006A6A3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A3F" w:rsidRDefault="00870A3F" w:rsidP="00870A3F">
    <w:pPr>
      <w:pStyle w:val="aa"/>
      <w:jc w:val="center"/>
      <w:rPr>
        <w:rFonts w:ascii="Times New Roman" w:hAnsi="Times New Roman" w:cs="Times New Roman"/>
      </w:rPr>
    </w:pPr>
  </w:p>
  <w:p w:rsidR="00870A3F" w:rsidRDefault="00870A3F" w:rsidP="00870A3F">
    <w:pPr>
      <w:pStyle w:val="aa"/>
      <w:jc w:val="center"/>
      <w:rPr>
        <w:rFonts w:ascii="Times New Roman" w:hAnsi="Times New Roman" w:cs="Times New Roman"/>
      </w:rPr>
    </w:pPr>
  </w:p>
  <w:p w:rsidR="00870A3F" w:rsidRPr="00870A3F" w:rsidRDefault="00870A3F" w:rsidP="00870A3F">
    <w:pPr>
      <w:pStyle w:val="aa"/>
      <w:jc w:val="center"/>
      <w:rPr>
        <w:rFonts w:ascii="Times New Roman" w:hAnsi="Times New Roman" w:cs="Times New Roman"/>
      </w:rPr>
    </w:pPr>
    <w:r w:rsidRPr="00870A3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616"/>
    <w:multiLevelType w:val="multilevel"/>
    <w:tmpl w:val="F35A65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A6A37"/>
    <w:rsid w:val="004854B7"/>
    <w:rsid w:val="00645CF4"/>
    <w:rsid w:val="006A6A37"/>
    <w:rsid w:val="00870A3F"/>
    <w:rsid w:val="009E6A81"/>
    <w:rsid w:val="00A451D6"/>
    <w:rsid w:val="00AA21A2"/>
    <w:rsid w:val="00F713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3"/>
      <w:szCs w:val="13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4pt">
    <w:name w:val="Подпись к картинке + Интервал 4 pt"/>
    <w:basedOn w:val="a5"/>
    <w:rPr>
      <w:rFonts w:ascii="Times New Roman" w:eastAsia="Times New Roman" w:hAnsi="Times New Roman" w:cs="Times New Roman"/>
      <w:b w:val="0"/>
      <w:bCs w:val="0"/>
      <w:i w:val="0"/>
      <w:iCs w:val="0"/>
      <w:smallCaps w:val="0"/>
      <w:strike w:val="0"/>
      <w:color w:val="000000"/>
      <w:spacing w:val="80"/>
      <w:w w:val="100"/>
      <w:position w:val="0"/>
      <w:sz w:val="23"/>
      <w:szCs w:val="23"/>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4">
    <w:name w:val="Основной текст (4)_"/>
    <w:basedOn w:val="a0"/>
    <w:link w:val="40"/>
    <w:rPr>
      <w:rFonts w:ascii="MS Mincho" w:eastAsia="MS Mincho" w:hAnsi="MS Mincho" w:cs="MS Mincho"/>
      <w:b w:val="0"/>
      <w:bCs w:val="0"/>
      <w:i w:val="0"/>
      <w:iCs w:val="0"/>
      <w:smallCaps w:val="0"/>
      <w:strike w:val="0"/>
      <w:sz w:val="8"/>
      <w:szCs w:val="8"/>
      <w:u w:val="none"/>
    </w:rPr>
  </w:style>
  <w:style w:type="character" w:customStyle="1" w:styleId="41">
    <w:name w:val="Основной текст (4)"/>
    <w:basedOn w:val="4"/>
    <w:rPr>
      <w:rFonts w:ascii="MS Mincho" w:eastAsia="MS Mincho" w:hAnsi="MS Mincho" w:cs="MS Mincho"/>
      <w:b w:val="0"/>
      <w:bCs w:val="0"/>
      <w:i w:val="0"/>
      <w:iCs w:val="0"/>
      <w:smallCaps w:val="0"/>
      <w:strike w:val="0"/>
      <w:color w:val="000000"/>
      <w:spacing w:val="0"/>
      <w:w w:val="100"/>
      <w:position w:val="0"/>
      <w:sz w:val="8"/>
      <w:szCs w:val="8"/>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60" w:line="0" w:lineRule="atLeast"/>
      <w:jc w:val="center"/>
    </w:pPr>
    <w:rPr>
      <w:rFonts w:ascii="Gungsuh" w:eastAsia="Gungsuh" w:hAnsi="Gungsuh" w:cs="Gungsuh"/>
      <w:sz w:val="133"/>
      <w:szCs w:val="133"/>
    </w:rPr>
  </w:style>
  <w:style w:type="paragraph" w:customStyle="1" w:styleId="10">
    <w:name w:val="Заголовок №1"/>
    <w:basedOn w:val="a"/>
    <w:link w:val="1"/>
    <w:pPr>
      <w:shd w:val="clear" w:color="auto" w:fill="FFFFFF"/>
      <w:spacing w:before="660" w:after="420" w:line="0" w:lineRule="atLeast"/>
      <w:jc w:val="both"/>
      <w:outlineLvl w:val="0"/>
    </w:pPr>
    <w:rPr>
      <w:rFonts w:ascii="Times New Roman" w:eastAsia="Times New Roman" w:hAnsi="Times New Roman" w:cs="Times New Roman"/>
      <w:spacing w:val="10"/>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customStyle="1" w:styleId="40">
    <w:name w:val="Основной текст (4)"/>
    <w:basedOn w:val="a"/>
    <w:link w:val="4"/>
    <w:pPr>
      <w:shd w:val="clear" w:color="auto" w:fill="FFFFFF"/>
      <w:spacing w:before="1020" w:line="0" w:lineRule="atLeast"/>
    </w:pPr>
    <w:rPr>
      <w:rFonts w:ascii="MS Mincho" w:eastAsia="MS Mincho" w:hAnsi="MS Mincho" w:cs="MS Mincho"/>
      <w:sz w:val="8"/>
      <w:szCs w:val="8"/>
    </w:rPr>
  </w:style>
  <w:style w:type="paragraph" w:styleId="aa">
    <w:name w:val="header"/>
    <w:basedOn w:val="a"/>
    <w:link w:val="ab"/>
    <w:uiPriority w:val="99"/>
    <w:unhideWhenUsed/>
    <w:rsid w:val="00870A3F"/>
    <w:pPr>
      <w:tabs>
        <w:tab w:val="center" w:pos="4819"/>
        <w:tab w:val="right" w:pos="9639"/>
      </w:tabs>
    </w:pPr>
  </w:style>
  <w:style w:type="character" w:customStyle="1" w:styleId="ab">
    <w:name w:val="Верхний колонтитул Знак"/>
    <w:basedOn w:val="a0"/>
    <w:link w:val="aa"/>
    <w:uiPriority w:val="99"/>
    <w:rsid w:val="00870A3F"/>
    <w:rPr>
      <w:color w:val="000000"/>
    </w:rPr>
  </w:style>
  <w:style w:type="paragraph" w:styleId="ac">
    <w:name w:val="footer"/>
    <w:basedOn w:val="a"/>
    <w:link w:val="ad"/>
    <w:uiPriority w:val="99"/>
    <w:unhideWhenUsed/>
    <w:rsid w:val="00870A3F"/>
    <w:pPr>
      <w:tabs>
        <w:tab w:val="center" w:pos="4819"/>
        <w:tab w:val="right" w:pos="9639"/>
      </w:tabs>
    </w:pPr>
  </w:style>
  <w:style w:type="character" w:customStyle="1" w:styleId="ad">
    <w:name w:val="Нижний колонтитул Знак"/>
    <w:basedOn w:val="a0"/>
    <w:link w:val="ac"/>
    <w:uiPriority w:val="99"/>
    <w:rsid w:val="00870A3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1646</Words>
  <Characters>9383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2020-11-24T09:09:00Z</dcterms:created>
  <dcterms:modified xsi:type="dcterms:W3CDTF">2021-01-13T12:39:00Z</dcterms:modified>
</cp:coreProperties>
</file>