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520BD">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9520B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160</w:t>
      </w:r>
      <w:r w:rsidR="00937B8F">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E7AA3" w:rsidRPr="008C26A2" w:rsidRDefault="00EE7AA3" w:rsidP="009520BD">
      <w:pPr>
        <w:widowControl w:val="0"/>
        <w:spacing w:after="0" w:line="595" w:lineRule="exact"/>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Вища кваліфікаційна комісія суддів України у складі колегії:</w:t>
      </w:r>
    </w:p>
    <w:p w:rsidR="00EE7AA3" w:rsidRPr="008C26A2" w:rsidRDefault="00CD6C01" w:rsidP="009520BD">
      <w:pPr>
        <w:widowControl w:val="0"/>
        <w:spacing w:after="0" w:line="595" w:lineRule="exact"/>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головуючого – </w:t>
      </w:r>
      <w:proofErr w:type="spellStart"/>
      <w:r w:rsidR="00EE7AA3" w:rsidRPr="008C26A2">
        <w:rPr>
          <w:rFonts w:ascii="Times New Roman" w:eastAsia="Times New Roman" w:hAnsi="Times New Roman"/>
          <w:color w:val="000000"/>
          <w:sz w:val="25"/>
          <w:szCs w:val="25"/>
          <w:shd w:val="clear" w:color="auto" w:fill="FFFFFF"/>
        </w:rPr>
        <w:t>Щотки</w:t>
      </w:r>
      <w:proofErr w:type="spellEnd"/>
      <w:r w:rsidR="00EE7AA3" w:rsidRPr="008C26A2">
        <w:rPr>
          <w:rFonts w:ascii="Times New Roman" w:eastAsia="Times New Roman" w:hAnsi="Times New Roman"/>
          <w:color w:val="000000"/>
          <w:sz w:val="25"/>
          <w:szCs w:val="25"/>
          <w:shd w:val="clear" w:color="auto" w:fill="FFFFFF"/>
        </w:rPr>
        <w:t xml:space="preserve"> С.О.,</w:t>
      </w:r>
    </w:p>
    <w:p w:rsidR="00EE7AA3" w:rsidRPr="008C26A2" w:rsidRDefault="00EE7AA3" w:rsidP="009520BD">
      <w:pPr>
        <w:widowControl w:val="0"/>
        <w:spacing w:after="0" w:line="595" w:lineRule="exact"/>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членів Комісії: </w:t>
      </w:r>
      <w:proofErr w:type="spellStart"/>
      <w:r w:rsidRPr="008C26A2">
        <w:rPr>
          <w:rFonts w:ascii="Times New Roman" w:eastAsia="Times New Roman" w:hAnsi="Times New Roman"/>
          <w:color w:val="000000"/>
          <w:sz w:val="25"/>
          <w:szCs w:val="25"/>
          <w:shd w:val="clear" w:color="auto" w:fill="FFFFFF"/>
        </w:rPr>
        <w:t>Заріцької</w:t>
      </w:r>
      <w:proofErr w:type="spellEnd"/>
      <w:r w:rsidRPr="008C26A2">
        <w:rPr>
          <w:rFonts w:ascii="Times New Roman" w:eastAsia="Times New Roman" w:hAnsi="Times New Roman"/>
          <w:color w:val="000000"/>
          <w:sz w:val="25"/>
          <w:szCs w:val="25"/>
          <w:shd w:val="clear" w:color="auto" w:fill="FFFFFF"/>
        </w:rPr>
        <w:t xml:space="preserve"> А.О., </w:t>
      </w:r>
      <w:proofErr w:type="spellStart"/>
      <w:r w:rsidRPr="008C26A2">
        <w:rPr>
          <w:rFonts w:ascii="Times New Roman" w:eastAsia="Times New Roman" w:hAnsi="Times New Roman"/>
          <w:color w:val="000000"/>
          <w:sz w:val="25"/>
          <w:szCs w:val="25"/>
          <w:shd w:val="clear" w:color="auto" w:fill="FFFFFF"/>
        </w:rPr>
        <w:t>Тітова</w:t>
      </w:r>
      <w:proofErr w:type="spellEnd"/>
      <w:r w:rsidRPr="008C26A2">
        <w:rPr>
          <w:rFonts w:ascii="Times New Roman" w:eastAsia="Times New Roman" w:hAnsi="Times New Roman"/>
          <w:color w:val="000000"/>
          <w:sz w:val="25"/>
          <w:szCs w:val="25"/>
          <w:shd w:val="clear" w:color="auto" w:fill="FFFFFF"/>
        </w:rPr>
        <w:t xml:space="preserve"> Ю.Г.,</w:t>
      </w:r>
    </w:p>
    <w:p w:rsidR="009520BD" w:rsidRPr="008C26A2" w:rsidRDefault="009520BD" w:rsidP="009520BD">
      <w:pPr>
        <w:widowControl w:val="0"/>
        <w:spacing w:after="0" w:line="302" w:lineRule="exact"/>
        <w:jc w:val="both"/>
        <w:rPr>
          <w:rFonts w:ascii="Times New Roman" w:eastAsia="Times New Roman" w:hAnsi="Times New Roman"/>
          <w:color w:val="000000"/>
          <w:sz w:val="25"/>
          <w:szCs w:val="25"/>
          <w:shd w:val="clear" w:color="auto" w:fill="FFFFFF"/>
        </w:rPr>
      </w:pPr>
    </w:p>
    <w:p w:rsidR="00EE7AA3" w:rsidRPr="008C26A2" w:rsidRDefault="00EE7AA3" w:rsidP="009520BD">
      <w:pPr>
        <w:widowControl w:val="0"/>
        <w:spacing w:after="0" w:line="302" w:lineRule="exact"/>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розглянувши питання про внесення подання до Вищої ради правосуддя про</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звільнення з посади судді господарського суду міста Києва Якименка Миколи Миколайовича,</w:t>
      </w:r>
    </w:p>
    <w:p w:rsidR="009520BD" w:rsidRPr="008C26A2" w:rsidRDefault="009520BD" w:rsidP="009520BD">
      <w:pPr>
        <w:widowControl w:val="0"/>
        <w:spacing w:after="0" w:line="240" w:lineRule="exact"/>
        <w:jc w:val="center"/>
        <w:rPr>
          <w:rFonts w:ascii="Times New Roman" w:eastAsia="Times New Roman" w:hAnsi="Times New Roman"/>
          <w:color w:val="000000"/>
          <w:sz w:val="25"/>
          <w:szCs w:val="25"/>
          <w:shd w:val="clear" w:color="auto" w:fill="FFFFFF"/>
        </w:rPr>
      </w:pPr>
    </w:p>
    <w:p w:rsidR="00EE7AA3" w:rsidRPr="008C26A2" w:rsidRDefault="00EE7AA3" w:rsidP="009520BD">
      <w:pPr>
        <w:widowControl w:val="0"/>
        <w:spacing w:after="0" w:line="240" w:lineRule="exact"/>
        <w:jc w:val="center"/>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встановила:</w:t>
      </w:r>
    </w:p>
    <w:p w:rsidR="009520BD" w:rsidRPr="008C26A2" w:rsidRDefault="009520BD" w:rsidP="009520BD">
      <w:pPr>
        <w:widowControl w:val="0"/>
        <w:spacing w:after="0" w:line="302" w:lineRule="exact"/>
        <w:ind w:firstLine="700"/>
        <w:jc w:val="both"/>
        <w:rPr>
          <w:rFonts w:ascii="Times New Roman" w:eastAsia="Times New Roman" w:hAnsi="Times New Roman"/>
          <w:color w:val="000000"/>
          <w:sz w:val="25"/>
          <w:szCs w:val="25"/>
          <w:shd w:val="clear" w:color="auto" w:fill="FFFFFF"/>
        </w:rPr>
      </w:pPr>
    </w:p>
    <w:p w:rsidR="00EE7AA3" w:rsidRPr="008C26A2" w:rsidRDefault="00EE7AA3" w:rsidP="009520BD">
      <w:pPr>
        <w:widowControl w:val="0"/>
        <w:spacing w:after="0" w:line="302" w:lineRule="exact"/>
        <w:ind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Згідно з пунктом </w:t>
      </w:r>
      <w:r w:rsidR="009520BD" w:rsidRPr="008C26A2">
        <w:rPr>
          <w:rFonts w:ascii="Times New Roman" w:eastAsia="Times New Roman" w:hAnsi="Times New Roman"/>
          <w:color w:val="000000"/>
          <w:sz w:val="25"/>
          <w:szCs w:val="25"/>
          <w:shd w:val="clear" w:color="auto" w:fill="FFFFFF"/>
        </w:rPr>
        <w:t>16</w:t>
      </w:r>
      <w:r w:rsidR="0043297D" w:rsidRPr="0043297D">
        <w:rPr>
          <w:rFonts w:ascii="Times New Roman" w:eastAsia="Times New Roman" w:hAnsi="Times New Roman"/>
          <w:color w:val="000000"/>
          <w:sz w:val="25"/>
          <w:szCs w:val="25"/>
          <w:shd w:val="clear" w:color="auto" w:fill="FFFFFF"/>
          <w:vertAlign w:val="superscript"/>
        </w:rPr>
        <w:t>1</w:t>
      </w:r>
      <w:r w:rsidRPr="008C26A2">
        <w:rPr>
          <w:rFonts w:ascii="Times New Roman" w:eastAsia="Times New Roman" w:hAnsi="Times New Roman"/>
          <w:color w:val="000000"/>
          <w:sz w:val="25"/>
          <w:szCs w:val="25"/>
          <w:shd w:val="clear" w:color="auto" w:fill="FFFFFF"/>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років або обрано суддею безстроково до набрання чинності Законом України «Про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внесення змін до Конституції України (щодо правосуддя)», має бути оцінена в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етики або доброчесності чи відмова судді від такого оцінювання є підставою для</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звільнення судді з посади.</w:t>
      </w:r>
    </w:p>
    <w:p w:rsidR="00EE7AA3" w:rsidRPr="008C26A2" w:rsidRDefault="00EE7AA3" w:rsidP="00EE7AA3">
      <w:pPr>
        <w:widowControl w:val="0"/>
        <w:spacing w:after="0" w:line="30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Пунктом 20 розділу XII «Прикінцеві та перехідні положення» Закону України</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«Про судо</w:t>
      </w:r>
      <w:r w:rsidR="008C26A2">
        <w:rPr>
          <w:rFonts w:ascii="Times New Roman" w:eastAsia="Times New Roman" w:hAnsi="Times New Roman"/>
          <w:color w:val="000000"/>
          <w:sz w:val="25"/>
          <w:szCs w:val="25"/>
          <w:shd w:val="clear" w:color="auto" w:fill="FFFFFF"/>
        </w:rPr>
        <w:t xml:space="preserve">устрій і статус суддів» (далі – </w:t>
      </w:r>
      <w:r w:rsidRPr="008C26A2">
        <w:rPr>
          <w:rFonts w:ascii="Times New Roman" w:eastAsia="Times New Roman" w:hAnsi="Times New Roman"/>
          <w:color w:val="000000"/>
          <w:sz w:val="25"/>
          <w:szCs w:val="25"/>
          <w:shd w:val="clear" w:color="auto" w:fill="FFFFFF"/>
        </w:rPr>
        <w:t>Закон) передбачено, що відповідність</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кваліфікаційної комісії суддів України в порядку, визначеному цим Законом.</w:t>
      </w:r>
    </w:p>
    <w:p w:rsidR="00EE7AA3" w:rsidRPr="008C26A2" w:rsidRDefault="00EE7AA3" w:rsidP="00EE7AA3">
      <w:pPr>
        <w:widowControl w:val="0"/>
        <w:spacing w:after="0" w:line="30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Виявлення за результатами такого оцінювання невідповідності судді займаній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посаді за критеріями компетентності, професійної етики або доброчесності чи відмова</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судді від такого оцінювання є підставою для звільнення судді з посади за рішенням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Вищої ради правосуддя на підставі подання відповідної колегії Вищої кваліфікаційної комісії суддів України.</w:t>
      </w:r>
    </w:p>
    <w:p w:rsidR="00EE7AA3" w:rsidRPr="008C26A2" w:rsidRDefault="00EE7AA3" w:rsidP="00EE7AA3">
      <w:pPr>
        <w:widowControl w:val="0"/>
        <w:spacing w:after="0" w:line="30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Рішенням Комісії від 01 лютого 2018 року № 8/зп-18 призначено</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кваліфікаційне оцінювання суддів місцевих та апеляційних судів на відповідність</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займаній посаді, зокрема судді господарського суду міста Києва Якименка М.М.</w:t>
      </w:r>
    </w:p>
    <w:p w:rsidR="00EE7AA3" w:rsidRPr="008C26A2" w:rsidRDefault="00EE7AA3" w:rsidP="00EE7AA3">
      <w:pPr>
        <w:widowControl w:val="0"/>
        <w:spacing w:after="0" w:line="30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C26A2" w:rsidRDefault="008C26A2" w:rsidP="00EE7AA3">
      <w:pPr>
        <w:widowControl w:val="0"/>
        <w:spacing w:after="0" w:line="312" w:lineRule="exact"/>
        <w:ind w:left="20" w:right="20" w:firstLine="700"/>
        <w:jc w:val="both"/>
        <w:rPr>
          <w:rFonts w:ascii="Times New Roman" w:eastAsia="Times New Roman" w:hAnsi="Times New Roman"/>
          <w:color w:val="000000"/>
          <w:sz w:val="25"/>
          <w:szCs w:val="25"/>
          <w:shd w:val="clear" w:color="auto" w:fill="FFFFFF"/>
        </w:rPr>
      </w:pPr>
    </w:p>
    <w:p w:rsidR="008C26A2" w:rsidRDefault="008C26A2" w:rsidP="00EE7AA3">
      <w:pPr>
        <w:widowControl w:val="0"/>
        <w:spacing w:after="0" w:line="312" w:lineRule="exact"/>
        <w:ind w:left="20" w:right="20" w:firstLine="700"/>
        <w:jc w:val="both"/>
        <w:rPr>
          <w:rFonts w:ascii="Times New Roman" w:eastAsia="Times New Roman" w:hAnsi="Times New Roman"/>
          <w:color w:val="000000"/>
          <w:sz w:val="25"/>
          <w:szCs w:val="25"/>
          <w:shd w:val="clear" w:color="auto" w:fill="FFFFFF"/>
        </w:rPr>
      </w:pPr>
    </w:p>
    <w:p w:rsidR="00EE7AA3" w:rsidRPr="008C26A2" w:rsidRDefault="00EE7AA3" w:rsidP="00EE7AA3">
      <w:pPr>
        <w:widowControl w:val="0"/>
        <w:spacing w:after="0" w:line="31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lastRenderedPageBreak/>
        <w:t>Положення про порядок та методологію кваліфікаційного оцінювання,</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показники відповідності критеріям кваліфік</w:t>
      </w:r>
      <w:r w:rsidR="008C26A2">
        <w:rPr>
          <w:rFonts w:ascii="Times New Roman" w:eastAsia="Times New Roman" w:hAnsi="Times New Roman"/>
          <w:color w:val="000000"/>
          <w:sz w:val="25"/>
          <w:szCs w:val="25"/>
          <w:shd w:val="clear" w:color="auto" w:fill="FFFFFF"/>
        </w:rPr>
        <w:t xml:space="preserve">аційного оцінювання та засоби їх                      встановлення затверджено </w:t>
      </w:r>
      <w:r w:rsidRPr="008C26A2">
        <w:rPr>
          <w:rFonts w:ascii="Times New Roman" w:eastAsia="Times New Roman" w:hAnsi="Times New Roman"/>
          <w:color w:val="000000"/>
          <w:sz w:val="25"/>
          <w:szCs w:val="25"/>
          <w:shd w:val="clear" w:color="auto" w:fill="FFFFFF"/>
        </w:rPr>
        <w:t>рішенням Комісії від</w:t>
      </w:r>
      <w:r w:rsidR="008C26A2">
        <w:rPr>
          <w:rFonts w:ascii="Times New Roman" w:eastAsia="Times New Roman" w:hAnsi="Times New Roman"/>
          <w:color w:val="000000"/>
          <w:sz w:val="25"/>
          <w:szCs w:val="25"/>
          <w:shd w:val="clear" w:color="auto" w:fill="FFFFFF"/>
        </w:rPr>
        <w:t xml:space="preserve"> 03 листопада 2016 </w:t>
      </w:r>
      <w:r w:rsidRPr="008C26A2">
        <w:rPr>
          <w:rFonts w:ascii="Times New Roman" w:eastAsia="Times New Roman" w:hAnsi="Times New Roman"/>
          <w:color w:val="000000"/>
          <w:sz w:val="25"/>
          <w:szCs w:val="25"/>
          <w:shd w:val="clear" w:color="auto" w:fill="FFFFFF"/>
        </w:rPr>
        <w:t>року №</w:t>
      </w:r>
      <w:r w:rsidR="008C26A2">
        <w:rPr>
          <w:rFonts w:ascii="Times New Roman" w:eastAsia="Times New Roman" w:hAnsi="Times New Roman"/>
          <w:color w:val="000000"/>
          <w:sz w:val="25"/>
          <w:szCs w:val="25"/>
          <w:shd w:val="clear" w:color="auto" w:fill="FFFFFF"/>
        </w:rPr>
        <w:t xml:space="preserve"> 143/зп-16                    </w:t>
      </w:r>
      <w:r w:rsidRPr="008C26A2">
        <w:rPr>
          <w:rFonts w:ascii="Times New Roman" w:eastAsia="Times New Roman" w:hAnsi="Times New Roman"/>
          <w:color w:val="000000"/>
          <w:sz w:val="25"/>
          <w:szCs w:val="25"/>
          <w:shd w:val="clear" w:color="auto" w:fill="FFFFFF"/>
        </w:rPr>
        <w:t xml:space="preserve">(у редакції рішення Комісії від 13 лютого 2018 року </w:t>
      </w:r>
      <w:r w:rsidR="008C26A2">
        <w:rPr>
          <w:rFonts w:ascii="Times New Roman" w:eastAsia="Times New Roman" w:hAnsi="Times New Roman"/>
          <w:color w:val="000000"/>
          <w:sz w:val="25"/>
          <w:szCs w:val="25"/>
          <w:shd w:val="clear" w:color="auto" w:fill="FFFFFF"/>
        </w:rPr>
        <w:t xml:space="preserve">№ 20/зп-18) (далі – </w:t>
      </w:r>
      <w:r w:rsidRPr="008C26A2">
        <w:rPr>
          <w:rFonts w:ascii="Times New Roman" w:eastAsia="Times New Roman" w:hAnsi="Times New Roman"/>
          <w:color w:val="000000"/>
          <w:sz w:val="25"/>
          <w:szCs w:val="25"/>
          <w:shd w:val="clear" w:color="auto" w:fill="FFFFFF"/>
        </w:rPr>
        <w:t>Положення).</w:t>
      </w:r>
    </w:p>
    <w:p w:rsidR="00EE7AA3" w:rsidRPr="008C26A2" w:rsidRDefault="00EE7AA3" w:rsidP="00EE7AA3">
      <w:pPr>
        <w:widowControl w:val="0"/>
        <w:spacing w:after="0" w:line="312"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Рішенням колегії Комісії від 10 липня 2018 року № 1099/ко-18 суддю</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господарського суду міста Києва Якименка М.М. визнано таким, що не відповідає</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займаній посаді.</w:t>
      </w:r>
    </w:p>
    <w:p w:rsidR="00EE7AA3" w:rsidRPr="008C26A2" w:rsidRDefault="00EE7AA3" w:rsidP="00EE7AA3">
      <w:pPr>
        <w:widowControl w:val="0"/>
        <w:spacing w:after="0" w:line="298"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Відповідно до пункту 37 розділу III Положення рішення Комісії про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невідповідність судді займаній посаді є підставою для внесення подання до Вищої</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ради правосуддя з рекомендацією про звільнення судді з посади.</w:t>
      </w:r>
    </w:p>
    <w:p w:rsidR="00EE7AA3" w:rsidRPr="008C26A2" w:rsidRDefault="00EE7AA3" w:rsidP="00EE7AA3">
      <w:pPr>
        <w:widowControl w:val="0"/>
        <w:spacing w:after="0" w:line="298"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Суддя господарського суду міста Києва Якименко М.М. 17 вересня 2018 року направив до Комісії заяву, в якій, зокрема, повідомив, що рішення колегії Комісії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від 10 липня 2018 року він не отримав, тому просив відкласти вирішення питання</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стосовно нього, оскільки має намір оскаржити вказане рішення до суду, а також</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бажає бути особисто присутнім на засіданні Комісії.</w:t>
      </w:r>
    </w:p>
    <w:p w:rsidR="00EE7AA3" w:rsidRPr="008C26A2" w:rsidRDefault="00EE7AA3" w:rsidP="00EE7AA3">
      <w:pPr>
        <w:widowControl w:val="0"/>
        <w:spacing w:after="0" w:line="298"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 xml:space="preserve">Заяву судді господарського суду міста Києва Якименка М.М. було розглянуто колегією Комісії та відхилено. Колегія Комісії не знайшла підстав для задоволення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заяви про відкладення вирішення питання про внесення подання до Вищої ради</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правосуддя про звільнення його з посади судді, оскільки рішення було направлено на зазначену суддею адресу рекомендованим листом та повернулося до Комісії у зв’язку</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із закінченням терміну зберігання. Також колегія Комісії не вбачає перешкод для </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особистої присутності судді Якименка М.М. на засіданні Комісії.</w:t>
      </w:r>
    </w:p>
    <w:p w:rsidR="00EE7AA3" w:rsidRPr="008C26A2" w:rsidRDefault="00EE7AA3" w:rsidP="00EE7AA3">
      <w:pPr>
        <w:widowControl w:val="0"/>
        <w:spacing w:after="0" w:line="298"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За наведених обставин Комісія вирішила внести подання до Вищої ради</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правосуддя з рекомендацією про звільнення з посади судді господарського суду міста Києва Якименка М.М.</w:t>
      </w:r>
    </w:p>
    <w:p w:rsidR="00EE7AA3" w:rsidRPr="008C26A2" w:rsidRDefault="00EE7AA3" w:rsidP="00EE7AA3">
      <w:pPr>
        <w:widowControl w:val="0"/>
        <w:spacing w:after="346" w:line="298" w:lineRule="exact"/>
        <w:ind w:left="20" w:right="20" w:firstLine="700"/>
        <w:jc w:val="both"/>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Ураховуючи викладене, керуючись статтями 83</w:t>
      </w:r>
      <w:r w:rsidR="00D97F81">
        <w:rPr>
          <w:rFonts w:ascii="Times New Roman" w:eastAsia="Times New Roman" w:hAnsi="Times New Roman"/>
          <w:color w:val="000000"/>
          <w:sz w:val="27"/>
          <w:szCs w:val="27"/>
          <w:shd w:val="clear" w:color="auto" w:fill="FFFFFF"/>
        </w:rPr>
        <w:t>–</w:t>
      </w:r>
      <w:r w:rsidRPr="008C26A2">
        <w:rPr>
          <w:rFonts w:ascii="Times New Roman" w:eastAsia="Times New Roman" w:hAnsi="Times New Roman"/>
          <w:color w:val="000000"/>
          <w:sz w:val="25"/>
          <w:szCs w:val="25"/>
          <w:shd w:val="clear" w:color="auto" w:fill="FFFFFF"/>
        </w:rPr>
        <w:t>86, 93, 101, пунктом 20 розділу</w:t>
      </w:r>
      <w:r w:rsidR="008C26A2">
        <w:rPr>
          <w:rFonts w:ascii="Times New Roman" w:eastAsia="Times New Roman" w:hAnsi="Times New Roman"/>
          <w:color w:val="000000"/>
          <w:sz w:val="25"/>
          <w:szCs w:val="25"/>
          <w:shd w:val="clear" w:color="auto" w:fill="FFFFFF"/>
        </w:rPr>
        <w:t xml:space="preserve">                 </w:t>
      </w:r>
      <w:r w:rsidRPr="008C26A2">
        <w:rPr>
          <w:rFonts w:ascii="Times New Roman" w:eastAsia="Times New Roman" w:hAnsi="Times New Roman"/>
          <w:color w:val="000000"/>
          <w:sz w:val="25"/>
          <w:szCs w:val="25"/>
          <w:shd w:val="clear" w:color="auto" w:fill="FFFFFF"/>
        </w:rPr>
        <w:t xml:space="preserve"> XII «Прикінцеві та перехідні положення» Закону, Положенням, Комісія</w:t>
      </w:r>
    </w:p>
    <w:p w:rsidR="00EE7AA3" w:rsidRPr="008C26A2" w:rsidRDefault="00EE7AA3" w:rsidP="00EE7AA3">
      <w:pPr>
        <w:widowControl w:val="0"/>
        <w:spacing w:after="317" w:line="240" w:lineRule="exact"/>
        <w:jc w:val="center"/>
        <w:rPr>
          <w:rFonts w:ascii="Times New Roman" w:eastAsia="Times New Roman" w:hAnsi="Times New Roman"/>
          <w:sz w:val="25"/>
          <w:szCs w:val="25"/>
        </w:rPr>
      </w:pPr>
      <w:r w:rsidRPr="008C26A2">
        <w:rPr>
          <w:rFonts w:ascii="Times New Roman" w:eastAsia="Times New Roman" w:hAnsi="Times New Roman"/>
          <w:color w:val="000000"/>
          <w:sz w:val="25"/>
          <w:szCs w:val="25"/>
          <w:shd w:val="clear" w:color="auto" w:fill="FFFFFF"/>
        </w:rPr>
        <w:t>вирішила:</w:t>
      </w:r>
    </w:p>
    <w:p w:rsidR="00312B07" w:rsidRPr="008C26A2" w:rsidRDefault="00EE7AA3" w:rsidP="008C26A2">
      <w:pPr>
        <w:widowControl w:val="0"/>
        <w:spacing w:after="0" w:line="240" w:lineRule="auto"/>
        <w:jc w:val="both"/>
        <w:rPr>
          <w:rFonts w:ascii="Times New Roman" w:eastAsia="Times New Roman" w:hAnsi="Times New Roman"/>
          <w:sz w:val="25"/>
          <w:szCs w:val="25"/>
          <w:lang w:eastAsia="uk-UA"/>
        </w:rPr>
      </w:pPr>
      <w:r w:rsidRPr="008C26A2">
        <w:rPr>
          <w:rFonts w:ascii="Times New Roman" w:eastAsia="Courier New" w:hAnsi="Times New Roman"/>
          <w:color w:val="000000"/>
          <w:sz w:val="25"/>
          <w:szCs w:val="25"/>
          <w:shd w:val="clear" w:color="auto" w:fill="FFFFFF"/>
          <w:lang w:eastAsia="uk-UA"/>
        </w:rPr>
        <w:t xml:space="preserve">внести до Вищої ради правосуддя подання з рекомендацією про звільнення з посади </w:t>
      </w:r>
      <w:r w:rsidR="008C26A2">
        <w:rPr>
          <w:rFonts w:ascii="Times New Roman" w:eastAsia="Courier New" w:hAnsi="Times New Roman"/>
          <w:color w:val="000000"/>
          <w:sz w:val="25"/>
          <w:szCs w:val="25"/>
          <w:shd w:val="clear" w:color="auto" w:fill="FFFFFF"/>
          <w:lang w:eastAsia="uk-UA"/>
        </w:rPr>
        <w:t xml:space="preserve">                  </w:t>
      </w:r>
      <w:r w:rsidRPr="008C26A2">
        <w:rPr>
          <w:rFonts w:ascii="Times New Roman" w:eastAsia="Courier New" w:hAnsi="Times New Roman"/>
          <w:color w:val="000000"/>
          <w:sz w:val="25"/>
          <w:szCs w:val="25"/>
          <w:shd w:val="clear" w:color="auto" w:fill="FFFFFF"/>
          <w:lang w:eastAsia="uk-UA"/>
        </w:rPr>
        <w:t>судді господарського суду міста Києва Якименка Миколи Миколайовича.</w:t>
      </w:r>
    </w:p>
    <w:p w:rsidR="002D5CC7" w:rsidRPr="008C26A2" w:rsidRDefault="002D5CC7" w:rsidP="008C26A2">
      <w:pPr>
        <w:widowControl w:val="0"/>
        <w:spacing w:after="0" w:line="240" w:lineRule="auto"/>
        <w:jc w:val="both"/>
        <w:rPr>
          <w:rFonts w:ascii="Times New Roman" w:eastAsia="Times New Roman" w:hAnsi="Times New Roman"/>
          <w:sz w:val="25"/>
          <w:szCs w:val="25"/>
          <w:lang w:eastAsia="uk-UA"/>
        </w:rPr>
      </w:pPr>
    </w:p>
    <w:p w:rsidR="002D5CC7" w:rsidRDefault="002D5CC7" w:rsidP="00EE7AA3">
      <w:pPr>
        <w:widowControl w:val="0"/>
        <w:spacing w:after="0" w:line="240" w:lineRule="auto"/>
        <w:jc w:val="both"/>
        <w:rPr>
          <w:rFonts w:ascii="Times New Roman" w:eastAsia="Times New Roman" w:hAnsi="Times New Roman"/>
          <w:sz w:val="25"/>
          <w:szCs w:val="25"/>
          <w:lang w:eastAsia="uk-UA"/>
        </w:rPr>
      </w:pPr>
    </w:p>
    <w:p w:rsidR="00D97F81" w:rsidRPr="008C26A2" w:rsidRDefault="00D97F81" w:rsidP="00EE7AA3">
      <w:pPr>
        <w:widowControl w:val="0"/>
        <w:spacing w:after="0" w:line="240" w:lineRule="auto"/>
        <w:jc w:val="both"/>
        <w:rPr>
          <w:rFonts w:ascii="Times New Roman" w:eastAsia="Times New Roman" w:hAnsi="Times New Roman"/>
          <w:sz w:val="25"/>
          <w:szCs w:val="25"/>
          <w:lang w:eastAsia="uk-UA"/>
        </w:rPr>
      </w:pPr>
      <w:bookmarkStart w:id="0" w:name="_GoBack"/>
      <w:bookmarkEnd w:id="0"/>
    </w:p>
    <w:p w:rsidR="008C26A2" w:rsidRPr="00C101F2" w:rsidRDefault="008C26A2" w:rsidP="008C26A2">
      <w:pPr>
        <w:widowControl w:val="0"/>
        <w:spacing w:before="20" w:afterLines="20" w:after="48" w:line="230" w:lineRule="exact"/>
        <w:jc w:val="both"/>
        <w:rPr>
          <w:rFonts w:ascii="Times New Roman" w:eastAsia="Times New Roman" w:hAnsi="Times New Roman"/>
          <w:sz w:val="25"/>
          <w:szCs w:val="25"/>
          <w:lang w:eastAsia="uk-UA"/>
        </w:rPr>
      </w:pPr>
      <w:r w:rsidRPr="00C101F2">
        <w:rPr>
          <w:rFonts w:ascii="Times New Roman" w:eastAsia="Times New Roman" w:hAnsi="Times New Roman"/>
          <w:sz w:val="25"/>
          <w:szCs w:val="25"/>
          <w:lang w:eastAsia="uk-UA"/>
        </w:rPr>
        <w:t>Головуючий</w:t>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t xml:space="preserve">С.О. </w:t>
      </w:r>
      <w:proofErr w:type="spellStart"/>
      <w:r w:rsidRPr="00C101F2">
        <w:rPr>
          <w:rFonts w:ascii="Times New Roman" w:eastAsia="Times New Roman" w:hAnsi="Times New Roman"/>
          <w:sz w:val="25"/>
          <w:szCs w:val="25"/>
          <w:lang w:eastAsia="uk-UA"/>
        </w:rPr>
        <w:t>Щотка</w:t>
      </w:r>
      <w:proofErr w:type="spellEnd"/>
    </w:p>
    <w:p w:rsidR="008C26A2" w:rsidRPr="00C101F2" w:rsidRDefault="008C26A2" w:rsidP="008C26A2">
      <w:pPr>
        <w:widowControl w:val="0"/>
        <w:spacing w:before="20" w:afterLines="20" w:after="48" w:line="230" w:lineRule="exact"/>
        <w:jc w:val="both"/>
        <w:rPr>
          <w:rFonts w:ascii="Times New Roman" w:eastAsia="Times New Roman" w:hAnsi="Times New Roman"/>
          <w:sz w:val="25"/>
          <w:szCs w:val="25"/>
          <w:lang w:eastAsia="uk-UA"/>
        </w:rPr>
      </w:pPr>
    </w:p>
    <w:p w:rsidR="008C26A2" w:rsidRPr="00C101F2" w:rsidRDefault="008C26A2" w:rsidP="008C26A2">
      <w:pPr>
        <w:widowControl w:val="0"/>
        <w:spacing w:before="20" w:afterLines="20" w:after="48" w:line="230" w:lineRule="exact"/>
        <w:jc w:val="both"/>
        <w:rPr>
          <w:rFonts w:ascii="Times New Roman" w:eastAsia="Times New Roman" w:hAnsi="Times New Roman"/>
          <w:sz w:val="25"/>
          <w:szCs w:val="25"/>
          <w:lang w:eastAsia="uk-UA"/>
        </w:rPr>
      </w:pPr>
      <w:r w:rsidRPr="00C101F2">
        <w:rPr>
          <w:rFonts w:ascii="Times New Roman" w:eastAsia="Times New Roman" w:hAnsi="Times New Roman"/>
          <w:sz w:val="25"/>
          <w:szCs w:val="25"/>
          <w:lang w:eastAsia="uk-UA"/>
        </w:rPr>
        <w:t>Члени Комісії:</w:t>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r>
      <w:r w:rsidRPr="00C101F2">
        <w:rPr>
          <w:rFonts w:ascii="Times New Roman" w:eastAsia="Times New Roman" w:hAnsi="Times New Roman"/>
          <w:sz w:val="25"/>
          <w:szCs w:val="25"/>
          <w:lang w:eastAsia="uk-UA"/>
        </w:rPr>
        <w:tab/>
        <w:t xml:space="preserve">А.О. </w:t>
      </w:r>
      <w:proofErr w:type="spellStart"/>
      <w:r w:rsidRPr="00C101F2">
        <w:rPr>
          <w:rFonts w:ascii="Times New Roman" w:eastAsia="Times New Roman" w:hAnsi="Times New Roman"/>
          <w:sz w:val="25"/>
          <w:szCs w:val="25"/>
          <w:lang w:eastAsia="uk-UA"/>
        </w:rPr>
        <w:t>Заріцька</w:t>
      </w:r>
      <w:proofErr w:type="spellEnd"/>
    </w:p>
    <w:p w:rsidR="008C26A2" w:rsidRPr="00C101F2" w:rsidRDefault="008C26A2" w:rsidP="008C26A2">
      <w:pPr>
        <w:widowControl w:val="0"/>
        <w:spacing w:before="20" w:afterLines="20" w:after="48" w:line="230" w:lineRule="exact"/>
        <w:jc w:val="both"/>
        <w:rPr>
          <w:rFonts w:ascii="Times New Roman" w:eastAsia="Times New Roman" w:hAnsi="Times New Roman"/>
          <w:sz w:val="25"/>
          <w:szCs w:val="25"/>
          <w:lang w:eastAsia="uk-UA"/>
        </w:rPr>
      </w:pPr>
    </w:p>
    <w:p w:rsidR="008C26A2" w:rsidRPr="00C101F2" w:rsidRDefault="008C26A2" w:rsidP="008C26A2">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C101F2">
        <w:rPr>
          <w:rFonts w:ascii="Times New Roman" w:eastAsia="Times New Roman" w:hAnsi="Times New Roman"/>
          <w:sz w:val="25"/>
          <w:szCs w:val="25"/>
          <w:lang w:eastAsia="uk-UA"/>
        </w:rPr>
        <w:t xml:space="preserve">Ю.Г. </w:t>
      </w:r>
      <w:proofErr w:type="spellStart"/>
      <w:r w:rsidRPr="00C101F2">
        <w:rPr>
          <w:rFonts w:ascii="Times New Roman" w:eastAsia="Times New Roman" w:hAnsi="Times New Roman"/>
          <w:sz w:val="25"/>
          <w:szCs w:val="25"/>
          <w:lang w:eastAsia="uk-UA"/>
        </w:rPr>
        <w:t>Тітов</w:t>
      </w:r>
      <w:proofErr w:type="spellEnd"/>
    </w:p>
    <w:p w:rsidR="006F76D3" w:rsidRPr="00C101F2" w:rsidRDefault="006F76D3" w:rsidP="00B21992">
      <w:pPr>
        <w:pStyle w:val="21"/>
        <w:shd w:val="clear" w:color="auto" w:fill="auto"/>
        <w:spacing w:after="240" w:line="298" w:lineRule="exact"/>
        <w:ind w:right="20"/>
        <w:jc w:val="both"/>
        <w:rPr>
          <w:color w:val="000000"/>
          <w:sz w:val="25"/>
          <w:szCs w:val="25"/>
        </w:rPr>
      </w:pPr>
    </w:p>
    <w:sectPr w:rsidR="006F76D3" w:rsidRPr="00C101F2" w:rsidSect="009520B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E2A" w:rsidRDefault="00F25E2A" w:rsidP="002F156E">
      <w:pPr>
        <w:spacing w:after="0" w:line="240" w:lineRule="auto"/>
      </w:pPr>
      <w:r>
        <w:separator/>
      </w:r>
    </w:p>
  </w:endnote>
  <w:endnote w:type="continuationSeparator" w:id="0">
    <w:p w:rsidR="00F25E2A" w:rsidRDefault="00F25E2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E2A" w:rsidRDefault="00F25E2A" w:rsidP="002F156E">
      <w:pPr>
        <w:spacing w:after="0" w:line="240" w:lineRule="auto"/>
      </w:pPr>
      <w:r>
        <w:separator/>
      </w:r>
    </w:p>
  </w:footnote>
  <w:footnote w:type="continuationSeparator" w:id="0">
    <w:p w:rsidR="00F25E2A" w:rsidRDefault="00F25E2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97F8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E7FF7"/>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297D"/>
    <w:rsid w:val="004362F8"/>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1C8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C26A2"/>
    <w:rsid w:val="008D53F2"/>
    <w:rsid w:val="008D7004"/>
    <w:rsid w:val="008E58EF"/>
    <w:rsid w:val="008E6AFD"/>
    <w:rsid w:val="008F3077"/>
    <w:rsid w:val="00923901"/>
    <w:rsid w:val="009317BB"/>
    <w:rsid w:val="00934B11"/>
    <w:rsid w:val="009362A7"/>
    <w:rsid w:val="00937B8F"/>
    <w:rsid w:val="00944299"/>
    <w:rsid w:val="00947B94"/>
    <w:rsid w:val="0095115B"/>
    <w:rsid w:val="009519AD"/>
    <w:rsid w:val="009520B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D37D3"/>
    <w:rsid w:val="00BE240F"/>
    <w:rsid w:val="00BE767E"/>
    <w:rsid w:val="00BF4A33"/>
    <w:rsid w:val="00C018B6"/>
    <w:rsid w:val="00C101F2"/>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D6C01"/>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97F81"/>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7AA3"/>
    <w:rsid w:val="00EF069A"/>
    <w:rsid w:val="00F12B3B"/>
    <w:rsid w:val="00F16892"/>
    <w:rsid w:val="00F25E2A"/>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329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297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329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297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5707887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3208</Words>
  <Characters>1830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307</cp:revision>
  <dcterms:created xsi:type="dcterms:W3CDTF">2020-08-21T08:05:00Z</dcterms:created>
  <dcterms:modified xsi:type="dcterms:W3CDTF">2021-01-12T14:06:00Z</dcterms:modified>
</cp:coreProperties>
</file>