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92C96" w:rsidRDefault="008B3A54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A92C96">
        <w:rPr>
          <w:rFonts w:ascii="Times New Roman" w:eastAsia="Times New Roman" w:hAnsi="Times New Roman"/>
          <w:sz w:val="27"/>
          <w:szCs w:val="27"/>
          <w:lang w:eastAsia="ru-RU"/>
        </w:rPr>
        <w:t xml:space="preserve">06 грудня </w:t>
      </w:r>
      <w:r w:rsidR="002D5CC7" w:rsidRPr="00A92C96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92C9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A92C9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D4BE2" w:rsidRDefault="007B3BC8" w:rsidP="006050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3B54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AA352B" w:rsidRPr="00263A00" w:rsidRDefault="003B5426" w:rsidP="007D4BE2">
      <w:pPr>
        <w:widowControl w:val="0"/>
        <w:spacing w:after="0" w:line="619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колегії: </w:t>
      </w:r>
    </w:p>
    <w:p w:rsidR="003B5426" w:rsidRPr="00263A00" w:rsidRDefault="00AA352B" w:rsidP="007D4BE2">
      <w:pPr>
        <w:widowControl w:val="0"/>
        <w:spacing w:after="0" w:line="619" w:lineRule="exact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r w:rsidR="003B5426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Устименко В.Є.,</w:t>
      </w:r>
    </w:p>
    <w:p w:rsidR="003B5426" w:rsidRPr="00263A00" w:rsidRDefault="003B5426" w:rsidP="007D4BE2">
      <w:pPr>
        <w:widowControl w:val="0"/>
        <w:spacing w:after="0" w:line="619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</w:t>
      </w:r>
      <w:r w:rsidR="000700D5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Комісії: Козлова А.Г., </w:t>
      </w:r>
      <w:proofErr w:type="spellStart"/>
      <w:r w:rsidR="000700D5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6050B7" w:rsidRPr="00263A00" w:rsidRDefault="006050B7" w:rsidP="007D4BE2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B5426" w:rsidRPr="00263A00" w:rsidRDefault="003B5426" w:rsidP="007D4BE2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пи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тання про результати кваліфікаційного оцінювання судді апеляційного</w:t>
      </w:r>
      <w:r w:rsidR="008003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Руслана Івановича на відповідність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займаній посаді,</w:t>
      </w:r>
    </w:p>
    <w:p w:rsidR="006050B7" w:rsidRPr="00263A00" w:rsidRDefault="006050B7" w:rsidP="007D4BE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B5426" w:rsidRPr="00263A00" w:rsidRDefault="003B5426" w:rsidP="007D4BE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6050B7" w:rsidRPr="00263A00" w:rsidRDefault="006050B7" w:rsidP="007D4BE2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B5426" w:rsidRPr="00263A00" w:rsidRDefault="003B5426" w:rsidP="007D4BE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</w:t>
      </w:r>
      <w:r w:rsidR="006050B7" w:rsidRPr="00263A00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</w:t>
      </w:r>
      <w:r w:rsidR="006050B7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 судді, якого призначено на посаду строком на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п’ять років або обрано суддею безстроково до набрання чинності Законом України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 внесення змін до Конституції України (щодо правосуддя)», має бути оцінена в порядку, визначеному законом. Виявлення за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результатами такого оцінювання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</w:t>
      </w:r>
      <w:r w:rsidR="006224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звільнення судді з посади.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 України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 суд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оустрій і статус суддів» (далі 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noBreakHyphen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Закон) відповідність займаній посаді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судді, якого призначено на посаду строком на п’ять років або обрано суддею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безстроково до набрання чинності Законом України «Про внесення змін до Конституції України (щодо правосуддя)», оцінюється 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колегіями Вищої кваліфікаційної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комісії суддів України в порядку, визначеному цим Законом.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Виявлення за результатами такого оцінювання невідповідності судді займаній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посаді за критеріями компетентності, професійної етики або доброчесності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чи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відмова судді від такого оцінювання є підставою для звільнення судді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посади за рішенням Вищої ради правосуддя на підставі подання відповідної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колегії Вищої кваліфікаційної комісії суддів України.</w:t>
      </w:r>
    </w:p>
    <w:p w:rsidR="00E77DC4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20 жовтня 2017 року № 106/зп-17 призначено кваліфікаційне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 999 суддів місцевих та апеляційних судів на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</w:p>
    <w:p w:rsidR="00E77DC4" w:rsidRDefault="00E77DC4" w:rsidP="00E77DC4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77DC4" w:rsidRDefault="00E77DC4" w:rsidP="00E77DC4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E024E" w:rsidRDefault="00EE024E" w:rsidP="00E77DC4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E024E" w:rsidRDefault="00EE024E" w:rsidP="00E77DC4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E024E" w:rsidRDefault="00EE024E" w:rsidP="00EE024E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  <w:r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  <w:lastRenderedPageBreak/>
        <w:t>2</w:t>
      </w:r>
    </w:p>
    <w:p w:rsidR="00EE024E" w:rsidRPr="00EE024E" w:rsidRDefault="00EE024E" w:rsidP="00EE024E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</w:p>
    <w:p w:rsidR="003B5426" w:rsidRPr="00263A00" w:rsidRDefault="003B5426" w:rsidP="00E77DC4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займаній посаді, зокрема судді апеляційного суду 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03 листопада 2016 року № 143/зп-16 (у редакції рішення Комісії від 16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лютого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2018 року № 22/зп-18) (далі </w:t>
      </w:r>
      <w:r w:rsidR="00E77D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noBreakHyphen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Положення), встановлення відповідності судді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окремо один від одного та у сукупності.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11 розділу V Положення встановлено, що рішення про підтвердження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відповідності судді займаній посаді ухвалюється у разі отримання суддею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мінімально допустимого і більшого бала за резу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льтатами іспиту, а також більше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критеріїв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більшого за 0.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доброчесність.</w:t>
      </w:r>
    </w:p>
    <w:p w:rsidR="00C3785A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85 Закону кваліфікаційне оцінювання включає такі етапи:</w:t>
      </w:r>
    </w:p>
    <w:p w:rsidR="00C3785A" w:rsidRPr="00263A00" w:rsidRDefault="00C3785A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 xml:space="preserve">1) </w:t>
      </w:r>
      <w:r w:rsidR="003B5426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="003B5426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практичного завдання);</w:t>
      </w:r>
    </w:p>
    <w:p w:rsidR="003B5426" w:rsidRPr="00263A00" w:rsidRDefault="00C3785A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 xml:space="preserve">2) </w:t>
      </w:r>
      <w:r w:rsidR="003B5426"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положень частини третьої статті 85 Закону рішенням Комісії від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жовтня 2017 року № 106/зп-17 запроваджено тестування особистих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морально-психологічних якостей і загальних здібностей під час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судд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місцевих та апеляційних судів на відповідність займаній посаді.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Котелевський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склав анонімне письмове те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стування, за результатами якого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набрав 85,5 бала. За результатами виконаного пр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актичного завдання Котелевський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Р.І. набрав 94,5 бала. На етапі складення іспиту суддя загалом набрав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180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балів.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Котелевський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пройшов тестування особистих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морально-психологічних якостей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загальних здібностей, за результатами якого складено висновок та визначено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140ED8" w:rsidRDefault="003B5426" w:rsidP="00704A78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26 лютого 2018 року № 28/зп-18 затверджено результати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першого етапу кваліфікаційного оцінювання суддів місцевих та апеляційних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 на відповідність займаній посаді «Іспит», складеного 14 лютого</w:t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140ED8">
        <w:rPr>
          <w:rFonts w:ascii="Times New Roman" w:eastAsia="Times New Roman" w:hAnsi="Times New Roman"/>
          <w:sz w:val="26"/>
          <w:szCs w:val="26"/>
          <w:lang w:eastAsia="uk-UA"/>
        </w:rPr>
        <w:br/>
      </w:r>
    </w:p>
    <w:p w:rsidR="00704A78" w:rsidRDefault="00704A78" w:rsidP="00704A7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E024E" w:rsidRDefault="00EE024E" w:rsidP="00EE024E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  <w:r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  <w:lastRenderedPageBreak/>
        <w:t>3</w:t>
      </w:r>
    </w:p>
    <w:p w:rsidR="00EE024E" w:rsidRPr="00EE024E" w:rsidRDefault="00EE024E" w:rsidP="00EE024E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</w:p>
    <w:p w:rsidR="003B5426" w:rsidRPr="00263A00" w:rsidRDefault="003B5426" w:rsidP="00140ED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2018 року, зокрема, судді апеляційного суду Одеської області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березня 2018 року № 38/зп-18 суддю Ко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телевського</w:t>
      </w:r>
      <w:proofErr w:type="spellEnd"/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Р.І.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допущено до другого етапу кваліфікаційного оцінювання суддів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місцевих та апеляційних судів на відповідність займаній посаді «Дослідження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досьє та проведення співбесіди».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23 березня, 14 червня та 06 грудня 2018 року проведено співбесіду із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суддею, під час якої обговорено питання щодо показників за критеріями компетентності, професійної етики та доброчесності,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які виникли під час дослідження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суддівського досьє.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14 березня 2018 року надійшов висновок Громадської ради доброчесності від 06 березня 2018 року про невідповідність судді апеляційного суду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критеріям доброчесності та професійної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етики.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встановлено, що надана інформація н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 відповідає вимогам пунктів 2,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6,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8,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абзацу першого підпункту 4.10.3 пункту 4.10 розділу IV Регламенту Вищої кваліфікаційної комісії суддів України, затвердженого рішенням Комісії від 13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жовтня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2016 року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81/зп-16 (зі змінами) (далі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noBreakHyphen/>
        <w:t xml:space="preserve"> 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Регламент). Зокрема, висновок не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підписано усіма членами Громадської ради доброчесності, які брали участь в його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ухваленні, тому цей висновок неможливо іденти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фікувати як документ, ухвалений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Громадською радою доброчесності.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Крім того, інформація Громадської ради доброчесності не містить інших відомостей, ніж ті, що встановлені Комісією під час дослідження суддівського досьє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співбесіди.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Комісія, дослідивши досьє судді, надані суддею пояснення та за результатами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співбесіди, під час якої вивчено питання про відповідність Котелевського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Р.І. критеріям кваліфікаційного оцінювання, дійшла таких 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висновків.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 набрав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398 балів.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 цьому за критерієм професійної компетентн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ості </w:t>
      </w:r>
      <w:proofErr w:type="spellStart"/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оцінено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на підставі результатів іспиту, дослідження інформації, яка міститься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досьє, та співбесіди за показниками, визначеними пунктами 1-5 глави 2</w:t>
      </w:r>
      <w:r w:rsidR="00140ED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II Положення. За критеріями особистої та соціальної компетентності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оцінено Комісією на підставі результатів тестування особистих морально-психологічних якостей і загальних здібностей, дослідження інформації, яка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міститься у досьє, та співбесіди з урахуванням показників, визначених 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пунктами 6-7 глави 2 розділу II Положення.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професійної етики, оціненим за показниками, визначеними пунктом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8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глави 2 розділу II Положення, суддя набрав 180 балів. За цим критерієм суддю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оцінено на підставі результатів тестування ос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обистих морально-психологічних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якостей і загальних здібностей, дослідження інформації, яка міститься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досьє, та співбесіди.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  <w:sectPr w:rsidR="003B5426" w:rsidRPr="00263A00" w:rsidSect="00EE024E">
          <w:headerReference w:type="even" r:id="rId9"/>
          <w:pgSz w:w="11909" w:h="16838"/>
          <w:pgMar w:top="709" w:right="710" w:bottom="1105" w:left="1156" w:header="0" w:footer="3" w:gutter="0"/>
          <w:cols w:space="720"/>
          <w:noEndnote/>
          <w:docGrid w:linePitch="360"/>
        </w:sect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доброчесності, оціненим за показниками, визначеними пунктом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9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глави 2 розділу II Положення, суддя набрав 150 балів. За цим критерієм </w:t>
      </w:r>
    </w:p>
    <w:p w:rsidR="000E3C0F" w:rsidRDefault="000E3C0F" w:rsidP="000E3C0F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  <w:r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  <w:lastRenderedPageBreak/>
        <w:t>4</w:t>
      </w:r>
    </w:p>
    <w:p w:rsidR="000E3C0F" w:rsidRPr="000E3C0F" w:rsidRDefault="000E3C0F" w:rsidP="000E3C0F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808080" w:themeColor="background1" w:themeShade="80"/>
          <w:sz w:val="20"/>
          <w:szCs w:val="20"/>
          <w:lang w:eastAsia="uk-UA"/>
        </w:rPr>
      </w:pPr>
    </w:p>
    <w:p w:rsidR="003B5426" w:rsidRPr="00263A00" w:rsidRDefault="003B5426" w:rsidP="00AD50A3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суддю о</w:t>
      </w:r>
      <w:bookmarkStart w:id="0" w:name="_GoBack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</w:t>
      </w:r>
      <w:bookmarkEnd w:id="0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інено на підставі результатів тестування особистих морально- психологічних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якостей і загальних здібностей, дослідження інформації, яка міститься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досьє, та співбесіди.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апеляційного суду 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Котелевський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набрав 728 балів, що становить більше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67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 час співбесіди із суддею апеляційного суду Одеської області Котелевським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Р.І. Комісією разом із іншими досліджено обставини, а саме:</w:t>
      </w:r>
    </w:p>
    <w:p w:rsidR="003B5426" w:rsidRPr="00263A00" w:rsidRDefault="003B5426" w:rsidP="007D4BE2">
      <w:pPr>
        <w:widowControl w:val="0"/>
        <w:numPr>
          <w:ilvl w:val="0"/>
          <w:numId w:val="3"/>
        </w:numPr>
        <w:tabs>
          <w:tab w:val="left" w:pos="726"/>
        </w:tabs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щодо накладення арешту на майно судді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у рамках кримінальної справи (2008 рік);</w:t>
      </w:r>
    </w:p>
    <w:p w:rsidR="003B5426" w:rsidRPr="00263A00" w:rsidRDefault="003B5426" w:rsidP="007D4BE2">
      <w:pPr>
        <w:widowControl w:val="0"/>
        <w:numPr>
          <w:ilvl w:val="0"/>
          <w:numId w:val="3"/>
        </w:numPr>
        <w:tabs>
          <w:tab w:val="left" w:pos="740"/>
        </w:tabs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щодо ухвалення суддею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Котелевським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232 судових рішень російською мовою, які розміщено у Єдиному державному реєстрі судових рішень;</w:t>
      </w:r>
    </w:p>
    <w:p w:rsidR="003B5426" w:rsidRPr="00263A00" w:rsidRDefault="003B5426" w:rsidP="007D4BE2">
      <w:pPr>
        <w:widowControl w:val="0"/>
        <w:numPr>
          <w:ilvl w:val="0"/>
          <w:numId w:val="3"/>
        </w:numPr>
        <w:tabs>
          <w:tab w:val="left" w:pos="730"/>
        </w:tabs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щодо неодноразової згадки у ЗМІ прізвища судді у контексті ухвалення резонансних судових рішень.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Суддею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Котелевським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надано усні та письмові пояснення про незаконне порушення стосовно нього у 2008 році кримінальної справи за ознаками складу злочину, передбаченого частиною другою статті 368 Кримінального кодексу України.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Вироком апеляційного суду Миколаївської області від 06 червня 2012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року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підставі пункту 2 частини першої статті шостої Кримінального процесуального кодексу України (в редакції 1960 року) виправдано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у зв’язку з відсутністю в його діях складу злочину. Ухвалою Вищого спеціалізованого суду України з розгляду цивільних і кримінальних справ від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18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жовтня 2012 року вирок апеляційного суду Миколаївської області від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06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червня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2012 року залишено без змін.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довідкою апеляційного суду Одеської області щодо даних автоматизованої системи діловодства суду та звіту за формою № 2азс «Звіт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апеляц</w:t>
      </w:r>
      <w:r w:rsidRP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</w:t>
      </w:r>
      <w:r w:rsidRPr="00AD50A3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uk-UA"/>
        </w:rPr>
        <w:t>йних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судів про розгляд судових справ», затвердженою Наказом Державної судової адміністрації України від 09 березня 2017 року №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311, кількість справ розглянутих апеляційним судом під головуванням судді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Р.І., рішення в яких викладено російською мовою, становить 24 справи. Кількість справ,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розглянутих суддею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Котелевським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у складі колегії суддів - 56. У справах,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які зазначені у вказаній довідці апеляційного суду Одеської області, текст рішень та усіх процесуальних документів викладено російською мовою відповідно до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частини першої статті 19 Кримінального процесуального кодексу України (в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редакції 1960 року).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Стосовно інформації, розміщеної у ЗМІ, суддею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Котелевським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надано пояснення, що згадані статті розміщено анонімними авторами і судові рішення, про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які йдеться у цих статтях, набрали законної сили та на сьогодні є чинними.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Окрім того, Комісією проаналізовано інформацію стосовно дій судді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Р.І., зазначену у повідомленнях, що надійшли до Комісії. Суддею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Котелевським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з цього приводу надано обґрунтовані пояснення.</w:t>
      </w:r>
    </w:p>
    <w:p w:rsidR="003B5426" w:rsidRPr="00263A00" w:rsidRDefault="003B5426" w:rsidP="007D4BE2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 чином, Комісія дійшла висновку щодо відповідності судді апеляційного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Одеськой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Р.І. займаній посаді.</w:t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br w:type="page"/>
      </w:r>
    </w:p>
    <w:p w:rsidR="003B5426" w:rsidRPr="00263A00" w:rsidRDefault="003B5426" w:rsidP="00AD50A3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Ураховуючи викладене, керуючись статтями 83-86, 88, 93, 101 Закону, Положенням, Регламентом, Комісія</w:t>
      </w:r>
    </w:p>
    <w:p w:rsidR="00912244" w:rsidRPr="00263A00" w:rsidRDefault="00912244" w:rsidP="007D4BE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B5426" w:rsidRPr="00263A00" w:rsidRDefault="003B5426" w:rsidP="007D4BE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912244" w:rsidRPr="00263A00" w:rsidRDefault="00912244" w:rsidP="007D4BE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B5426" w:rsidRPr="00263A00" w:rsidRDefault="003B5426" w:rsidP="00AD50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апеляційного суду 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Котелевський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Руслан Іванович за результатами кваліфікаційного оцінювання суддів місцевих та апеляційних судів на відповідність займаній посаді набрав 728 балів.</w:t>
      </w:r>
    </w:p>
    <w:p w:rsidR="003B5426" w:rsidRPr="00263A00" w:rsidRDefault="003B5426" w:rsidP="00AD50A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апеляційного суду Одеської області </w:t>
      </w:r>
      <w:proofErr w:type="spellStart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Котелевського</w:t>
      </w:r>
      <w:proofErr w:type="spellEnd"/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Руслана </w:t>
      </w:r>
      <w:r w:rsidR="00AD50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</w:t>
      </w:r>
      <w:r w:rsidRPr="00263A0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вановича таким, що відповідає займаній посаді.</w:t>
      </w:r>
    </w:p>
    <w:p w:rsidR="00312B07" w:rsidRPr="00263A00" w:rsidRDefault="003B5426" w:rsidP="00AD50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Рішення набирає чинності відповідно до абзацу третього підпункту 4.10.8 пункту 4.10 розділу IV Регламенту.</w:t>
      </w:r>
    </w:p>
    <w:p w:rsidR="002D5CC7" w:rsidRPr="00263A00" w:rsidRDefault="002D5CC7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263A00" w:rsidRDefault="002D5CC7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263A00" w:rsidRDefault="00312B07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263A00" w:rsidRDefault="00A07EAB" w:rsidP="007D4BE2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263A00" w:rsidRDefault="00A87245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D50A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0700D5" w:rsidRPr="00263A00" w:rsidRDefault="000700D5" w:rsidP="007D4BE2">
      <w:pPr>
        <w:widowControl w:val="0"/>
        <w:tabs>
          <w:tab w:val="left" w:pos="8145"/>
        </w:tabs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D4BE2" w:rsidRPr="00263A00" w:rsidRDefault="007D4BE2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263A00" w:rsidRDefault="00A87245" w:rsidP="007D4BE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>Член</w:t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>и Комісії:</w:t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700D5" w:rsidRPr="00263A00">
        <w:rPr>
          <w:rFonts w:ascii="Times New Roman" w:eastAsia="Times New Roman" w:hAnsi="Times New Roman"/>
          <w:sz w:val="26"/>
          <w:szCs w:val="26"/>
          <w:lang w:eastAsia="uk-UA"/>
        </w:rPr>
        <w:tab/>
        <w:t>А.Г. Козлов</w:t>
      </w:r>
    </w:p>
    <w:p w:rsidR="000700D5" w:rsidRPr="00263A00" w:rsidRDefault="000700D5" w:rsidP="007D4BE2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D4BE2" w:rsidRPr="00263A00" w:rsidRDefault="007D4BE2" w:rsidP="007D4BE2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263A00" w:rsidRDefault="000700D5" w:rsidP="007D4BE2">
      <w:pPr>
        <w:widowControl w:val="0"/>
        <w:spacing w:after="0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263A00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0700D5" w:rsidRPr="00263A00" w:rsidRDefault="000700D5" w:rsidP="007D4BE2">
      <w:pPr>
        <w:pStyle w:val="21"/>
        <w:shd w:val="clear" w:color="auto" w:fill="auto"/>
        <w:spacing w:after="0" w:line="298" w:lineRule="exact"/>
        <w:jc w:val="both"/>
        <w:rPr>
          <w:color w:val="000000"/>
          <w:sz w:val="26"/>
          <w:szCs w:val="26"/>
        </w:rPr>
      </w:pPr>
    </w:p>
    <w:p w:rsidR="007D4BE2" w:rsidRPr="00263A00" w:rsidRDefault="007D4BE2" w:rsidP="007D4BE2">
      <w:pPr>
        <w:pStyle w:val="21"/>
        <w:shd w:val="clear" w:color="auto" w:fill="auto"/>
        <w:spacing w:after="0" w:line="298" w:lineRule="exact"/>
        <w:ind w:left="7080" w:firstLine="708"/>
        <w:jc w:val="both"/>
        <w:rPr>
          <w:color w:val="000000"/>
          <w:sz w:val="26"/>
          <w:szCs w:val="26"/>
        </w:rPr>
      </w:pPr>
    </w:p>
    <w:p w:rsidR="000700D5" w:rsidRPr="00263A00" w:rsidRDefault="000700D5" w:rsidP="007D4BE2">
      <w:pPr>
        <w:pStyle w:val="21"/>
        <w:shd w:val="clear" w:color="auto" w:fill="auto"/>
        <w:spacing w:after="0" w:line="298" w:lineRule="exact"/>
        <w:ind w:left="7080" w:firstLine="708"/>
        <w:jc w:val="both"/>
        <w:rPr>
          <w:color w:val="000000"/>
          <w:sz w:val="26"/>
          <w:szCs w:val="26"/>
        </w:rPr>
      </w:pPr>
      <w:r w:rsidRPr="00263A00">
        <w:rPr>
          <w:color w:val="000000"/>
          <w:sz w:val="26"/>
          <w:szCs w:val="26"/>
        </w:rPr>
        <w:t xml:space="preserve">М.І. </w:t>
      </w:r>
      <w:proofErr w:type="spellStart"/>
      <w:r w:rsidRPr="00263A00">
        <w:rPr>
          <w:color w:val="000000"/>
          <w:sz w:val="26"/>
          <w:szCs w:val="26"/>
        </w:rPr>
        <w:t>Мішин</w:t>
      </w:r>
      <w:proofErr w:type="spellEnd"/>
    </w:p>
    <w:p w:rsidR="006F76D3" w:rsidRPr="00263A00" w:rsidRDefault="006F76D3" w:rsidP="007D4BE2">
      <w:pPr>
        <w:pStyle w:val="21"/>
        <w:shd w:val="clear" w:color="auto" w:fill="auto"/>
        <w:spacing w:after="0" w:line="298" w:lineRule="exact"/>
        <w:jc w:val="both"/>
        <w:rPr>
          <w:color w:val="000000"/>
          <w:sz w:val="26"/>
          <w:szCs w:val="26"/>
        </w:rPr>
      </w:pPr>
    </w:p>
    <w:sectPr w:rsidR="006F76D3" w:rsidRPr="00263A00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C1" w:rsidRDefault="00EE71C1" w:rsidP="002F156E">
      <w:pPr>
        <w:spacing w:after="0" w:line="240" w:lineRule="auto"/>
      </w:pPr>
      <w:r>
        <w:separator/>
      </w:r>
    </w:p>
  </w:endnote>
  <w:endnote w:type="continuationSeparator" w:id="0">
    <w:p w:rsidR="00EE71C1" w:rsidRDefault="00EE71C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C1" w:rsidRDefault="00EE71C1" w:rsidP="002F156E">
      <w:pPr>
        <w:spacing w:after="0" w:line="240" w:lineRule="auto"/>
      </w:pPr>
      <w:r>
        <w:separator/>
      </w:r>
    </w:p>
  </w:footnote>
  <w:footnote w:type="continuationSeparator" w:id="0">
    <w:p w:rsidR="00EE71C1" w:rsidRDefault="00EE71C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26" w:rsidRDefault="000E3C0F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55.5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B5426" w:rsidRDefault="003B5426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1D03B1">
                  <w:rPr>
                    <w:rStyle w:val="a8"/>
                    <w:rFonts w:eastAsia="Calibri"/>
                    <w:noProof/>
                  </w:rPr>
                  <w:t>2</w:t>
                </w:r>
                <w:r>
                  <w:rPr>
                    <w:rStyle w:val="a8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9503A"/>
    <w:multiLevelType w:val="multilevel"/>
    <w:tmpl w:val="00BA1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F320DE"/>
    <w:multiLevelType w:val="multilevel"/>
    <w:tmpl w:val="17D6F1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00D5"/>
    <w:rsid w:val="000A4D92"/>
    <w:rsid w:val="000B0876"/>
    <w:rsid w:val="000B7EDA"/>
    <w:rsid w:val="000E3C0F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0ED8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3A00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B5426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050B7"/>
    <w:rsid w:val="00612AEB"/>
    <w:rsid w:val="006224C8"/>
    <w:rsid w:val="00650342"/>
    <w:rsid w:val="00650569"/>
    <w:rsid w:val="006510A2"/>
    <w:rsid w:val="00652CDB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4A78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D4BE2"/>
    <w:rsid w:val="007E5CAA"/>
    <w:rsid w:val="007F435E"/>
    <w:rsid w:val="008003BF"/>
    <w:rsid w:val="00821906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44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4703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C96"/>
    <w:rsid w:val="00A92E63"/>
    <w:rsid w:val="00AA352B"/>
    <w:rsid w:val="00AA3E5B"/>
    <w:rsid w:val="00AA4147"/>
    <w:rsid w:val="00AA7ED7"/>
    <w:rsid w:val="00AD50A3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785A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228E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77DC4"/>
    <w:rsid w:val="00EA42AB"/>
    <w:rsid w:val="00EC362E"/>
    <w:rsid w:val="00EC6E46"/>
    <w:rsid w:val="00ED45D2"/>
    <w:rsid w:val="00ED7CE3"/>
    <w:rsid w:val="00EE024E"/>
    <w:rsid w:val="00EE71C1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6665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0"/>
    <w:rsid w:val="003B5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9">
    <w:name w:val="List Paragraph"/>
    <w:basedOn w:val="a"/>
    <w:uiPriority w:val="34"/>
    <w:qFormat/>
    <w:rsid w:val="00C3785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E0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2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0"/>
    <w:rsid w:val="003B5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9">
    <w:name w:val="List Paragraph"/>
    <w:basedOn w:val="a"/>
    <w:uiPriority w:val="34"/>
    <w:qFormat/>
    <w:rsid w:val="00C3785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E0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2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330</cp:revision>
  <dcterms:created xsi:type="dcterms:W3CDTF">2020-08-21T08:05:00Z</dcterms:created>
  <dcterms:modified xsi:type="dcterms:W3CDTF">2021-01-16T12:05:00Z</dcterms:modified>
</cp:coreProperties>
</file>