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8C" w:rsidRDefault="00F2758C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2758C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9630B" w:rsidRDefault="00257FBE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630B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24 </w:t>
      </w:r>
      <w:r w:rsidR="00F3222F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квітня </w:t>
      </w:r>
      <w:r w:rsidR="002D5CC7" w:rsidRPr="0079630B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7963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79630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79630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79630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275C6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2BED" w:rsidRPr="007963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79630B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F2758C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9630B" w:rsidRDefault="007B3BC8" w:rsidP="00AF3F0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7963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9630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963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C0634" w:rsidRPr="0079630B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504</w:t>
      </w:r>
      <w:r w:rsidR="0067535E" w:rsidRPr="0079630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79630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2C0634" w:rsidRPr="002C0634" w:rsidRDefault="002C0634" w:rsidP="00AF3F0D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2C0634" w:rsidRPr="002C0634" w:rsidRDefault="005C5952" w:rsidP="00AF3F0D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proofErr w:type="spellStart"/>
      <w:r w:rsidR="002C0634" w:rsidRPr="002C0634">
        <w:rPr>
          <w:rFonts w:ascii="Times New Roman" w:eastAsia="Times New Roman" w:hAnsi="Times New Roman"/>
          <w:color w:val="000000"/>
          <w:sz w:val="28"/>
          <w:szCs w:val="28"/>
        </w:rPr>
        <w:t>Щотки</w:t>
      </w:r>
      <w:proofErr w:type="spellEnd"/>
      <w:r w:rsidR="002C0634"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С.О.,</w:t>
      </w:r>
    </w:p>
    <w:p w:rsidR="002C0634" w:rsidRPr="002C0634" w:rsidRDefault="002C0634" w:rsidP="00AF3F0D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AF3F0D" w:rsidRDefault="00AF3F0D" w:rsidP="00AF3F0D">
      <w:pPr>
        <w:widowControl w:val="0"/>
        <w:spacing w:after="0" w:line="35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AF3F0D">
      <w:pPr>
        <w:widowControl w:val="0"/>
        <w:spacing w:after="0" w:line="35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розглянувши питання про результати кваліфікаційного оцінювання судді апеляційного суду Рівненської області Гордійчук Світлани Олексіївни на відповідність займаній посаді,</w:t>
      </w:r>
    </w:p>
    <w:p w:rsidR="00AF3F0D" w:rsidRDefault="00AF3F0D" w:rsidP="00AF3F0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AF3F0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AF3F0D" w:rsidRDefault="00AF3F0D" w:rsidP="00AF3F0D">
      <w:pPr>
        <w:widowControl w:val="0"/>
        <w:spacing w:after="0" w:line="28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AF3F0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AF3F0D">
        <w:rPr>
          <w:rFonts w:ascii="Times New Roman" w:eastAsia="Times New Roman" w:hAnsi="Times New Roman"/>
          <w:color w:val="000000"/>
          <w:sz w:val="28"/>
          <w:szCs w:val="28"/>
        </w:rPr>
        <w:t>16</w:t>
      </w:r>
      <w:r w:rsidR="00F2758C" w:rsidRPr="00F2758C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1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</w:t>
      </w:r>
      <w:r w:rsidR="00AF3F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України відповідність займаній посаді судді, якого призначено на посаду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судді від такого оцінювання є підставою для звільнення судді з посади.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України «Про судо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устрій і статус суддів» (далі –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3565B" w:rsidRDefault="002C0634" w:rsidP="002C0634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займаній посаді за критеріями компетентності, професійної етики або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доброчесності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чи відмова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від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такого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оцінювання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є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підставою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="009E49B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33565B" w:rsidRDefault="0033565B" w:rsidP="0033565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3565B" w:rsidRDefault="0033565B" w:rsidP="00F2758C">
      <w:pPr>
        <w:widowControl w:val="0"/>
        <w:spacing w:after="0" w:line="35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33565B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звільнення судді з посади за рішенням Вищої ради правосуддя на підставі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подання відповідної колегії Вищої кваліфікаційної комісії суддів України.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Рівненської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області Г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ордійчук С.О.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Комісією.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го 2018 року № 20/зп-18) (далі –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бала за результатами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 кожен з критеріїв бала більшого за 0.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правосуддя у відповідному суді за визначеними критеріями. Такими критеріями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є: компетентність (професійна, особиста, соціальна тощо), професійна етика, доброчесність.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2C0634" w:rsidRPr="002C0634" w:rsidRDefault="002C0634" w:rsidP="002C0634">
      <w:pPr>
        <w:widowControl w:val="0"/>
        <w:numPr>
          <w:ilvl w:val="0"/>
          <w:numId w:val="2"/>
        </w:numPr>
        <w:tabs>
          <w:tab w:val="left" w:pos="1134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2C0634" w:rsidRPr="002C0634" w:rsidRDefault="002C0634" w:rsidP="002C0634">
      <w:pPr>
        <w:widowControl w:val="0"/>
        <w:numPr>
          <w:ilvl w:val="0"/>
          <w:numId w:val="2"/>
        </w:numPr>
        <w:tabs>
          <w:tab w:val="left" w:pos="1047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 приписів пункту 5 глави 6 розділу II Положення вбачається, що максимально можливі бали становлять: за критеріями компетентності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(профес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ійної, особистої, соціальної) – 500 балів, професійної етики –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250 балів,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доброчесності –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33565B" w:rsidRDefault="0033565B" w:rsidP="002C0634">
      <w:pPr>
        <w:widowControl w:val="0"/>
        <w:spacing w:after="0" w:line="350" w:lineRule="exact"/>
        <w:ind w:left="20" w:right="20" w:firstLine="72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:rsidR="002240CB" w:rsidRDefault="002240CB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Відповідно до положень частини третьої статті 85 Закону рішенням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Комісії від 20 жовтня 2017 року № 106/зп-17 запроваджено тестування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відповідність займаній посаді.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Гордійчук С.О. склала анонімне письмове тестування, за результатами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якого набрала 85,5 бала. За результатами виконаного практичного завдання Гордійчук С.О. набрала 97,5 бала. На етапі складення іспиту суддя загалом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набрала 183 бали.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Гордійчук С.О.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22 березня 2018 року № 59/зп-18 суддю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Гордійчук С.О.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досьє та проведення співбесіди».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З урахуванням викладеного, заслухавши доповідача, дослідивши досьє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судді, надані суддею пояснення, Комісія дійшла таких висновків.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набрала 396 балів.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Гордійчук С.О.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глави 2 розділу II Положення. За критеріями особистої та соціальної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компетентності Гордійчук С.О. оцінено Комісією на підставі результатів </w:t>
      </w:r>
      <w:r w:rsidR="003356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189,66 бала. За цим критерієм суддю оцінено на підставі результатів тестування особистих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морально-психологічних якостей і загальних здібностей, дослідження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За критерієм доброчесності, оціненим за показниками, визначеними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пунктом 9 глави 2 розділу II Положення, суддя набрала 175 балів. За цим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критерієм суддю оцінено на підставі результатів тестування особистих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морально-психологічних якостей і загальних здібностей, дослідження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апеляційного суду Рівненської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області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Гордійчук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С.О. набрала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760,7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бала,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 становить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більше 67 </w:t>
      </w:r>
    </w:p>
    <w:p w:rsidR="002C0634" w:rsidRPr="002C0634" w:rsidRDefault="002C0634" w:rsidP="002C06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  <w:sectPr w:rsidR="002C0634" w:rsidRPr="002C0634" w:rsidSect="002240CB">
          <w:headerReference w:type="default" r:id="rId9"/>
          <w:pgSz w:w="11909" w:h="16838"/>
          <w:pgMar w:top="1049" w:right="569" w:bottom="709" w:left="1096" w:header="0" w:footer="3" w:gutter="0"/>
          <w:cols w:space="720"/>
          <w:titlePg/>
          <w:docGrid w:linePitch="299"/>
        </w:sectPr>
      </w:pPr>
    </w:p>
    <w:p w:rsidR="003F6F02" w:rsidRPr="003F6F02" w:rsidRDefault="003F6F02" w:rsidP="003F6F02">
      <w:pPr>
        <w:widowControl w:val="0"/>
        <w:spacing w:after="0" w:line="350" w:lineRule="exact"/>
        <w:ind w:left="20" w:right="20"/>
        <w:jc w:val="center"/>
        <w:rPr>
          <w:rFonts w:asciiTheme="minorHAnsi" w:eastAsia="Times New Roman" w:hAnsiTheme="minorHAnsi" w:cstheme="minorHAnsi"/>
          <w:color w:val="808080" w:themeColor="background1" w:themeShade="80"/>
          <w:sz w:val="23"/>
          <w:szCs w:val="23"/>
        </w:rPr>
      </w:pPr>
      <w:r w:rsidRPr="003F6F02">
        <w:rPr>
          <w:rFonts w:asciiTheme="minorHAnsi" w:eastAsia="Times New Roman" w:hAnsiTheme="minorHAnsi" w:cstheme="minorHAnsi"/>
          <w:color w:val="808080" w:themeColor="background1" w:themeShade="80"/>
          <w:sz w:val="23"/>
          <w:szCs w:val="23"/>
        </w:rPr>
        <w:lastRenderedPageBreak/>
        <w:t>4</w:t>
      </w:r>
    </w:p>
    <w:p w:rsidR="003F6F02" w:rsidRDefault="003F6F02" w:rsidP="003F6F0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0634" w:rsidRPr="002C0634" w:rsidRDefault="002C0634" w:rsidP="002A7060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2C0634" w:rsidRPr="002C0634" w:rsidRDefault="002C0634" w:rsidP="002C0634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Таким чином, Комісія дійшла висновку, що суддя апеляційного суду Рівненської області Гордійчук С.О. відповідає займаній посаді.</w:t>
      </w:r>
    </w:p>
    <w:p w:rsidR="002C0634" w:rsidRPr="002C0634" w:rsidRDefault="002C0634" w:rsidP="002C0634">
      <w:pPr>
        <w:widowControl w:val="0"/>
        <w:spacing w:after="356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 xml:space="preserve">Ураховуючи викладене, керуючись статтями 83-86, 88, 93, 101, </w:t>
      </w:r>
      <w:r w:rsidR="002A706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Закону, Положенням, Комісія</w:t>
      </w:r>
    </w:p>
    <w:p w:rsidR="002C0634" w:rsidRPr="002C0634" w:rsidRDefault="002C0634" w:rsidP="002C0634">
      <w:pPr>
        <w:widowControl w:val="0"/>
        <w:spacing w:after="337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2C0634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2C0634" w:rsidRPr="002A7060" w:rsidRDefault="002C0634" w:rsidP="003F6F02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A7060">
        <w:rPr>
          <w:rFonts w:ascii="Times New Roman" w:eastAsia="Times New Roman" w:hAnsi="Times New Roman"/>
          <w:color w:val="000000"/>
          <w:sz w:val="28"/>
          <w:szCs w:val="28"/>
        </w:rPr>
        <w:t>визначити, що суддя апеляційного суду Рівненської області Гордійчук Світлана Олексіївна за результатами кваліфікаційного оцінювання суддів місцевих та апеляційних судів на відповідність займаній посаді набрала 760,7 бала.</w:t>
      </w:r>
    </w:p>
    <w:p w:rsidR="002D5CC7" w:rsidRPr="002A7060" w:rsidRDefault="002C0634" w:rsidP="003F6F02">
      <w:pPr>
        <w:widowControl w:val="0"/>
        <w:spacing w:after="0" w:line="35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A7060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Визнати суддю апеляційного суду Рівненської області Гордійчук Світлану Олексіївну такою, що відповідає займаній посаді.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F6F02" w:rsidRDefault="003F6F0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F6F02" w:rsidRDefault="003F6F0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3F6F02" w:rsidRPr="003F6F02" w:rsidRDefault="003F6F02" w:rsidP="003F6F02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3F6F02" w:rsidRPr="003F6F02" w:rsidRDefault="003F6F02" w:rsidP="003F6F02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3F6F02" w:rsidRPr="003F6F02" w:rsidRDefault="003F6F02" w:rsidP="003F6F02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3F6F02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9503F" w:rsidRPr="003F6F02" w:rsidRDefault="0049503F" w:rsidP="003F6F02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49503F" w:rsidRPr="003F6F02" w:rsidSect="003F6F02">
      <w:headerReference w:type="default" r:id="rId10"/>
      <w:pgSz w:w="11906" w:h="16838"/>
      <w:pgMar w:top="709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13" w:rsidRDefault="007B6413" w:rsidP="002F156E">
      <w:pPr>
        <w:spacing w:after="0" w:line="240" w:lineRule="auto"/>
      </w:pPr>
      <w:r>
        <w:separator/>
      </w:r>
    </w:p>
  </w:endnote>
  <w:endnote w:type="continuationSeparator" w:id="0">
    <w:p w:rsidR="007B6413" w:rsidRDefault="007B641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13" w:rsidRDefault="007B6413" w:rsidP="002F156E">
      <w:pPr>
        <w:spacing w:after="0" w:line="240" w:lineRule="auto"/>
      </w:pPr>
      <w:r>
        <w:separator/>
      </w:r>
    </w:p>
  </w:footnote>
  <w:footnote w:type="continuationSeparator" w:id="0">
    <w:p w:rsidR="007B6413" w:rsidRDefault="007B641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352623"/>
      <w:docPartObj>
        <w:docPartGallery w:val="Page Numbers (Top of Page)"/>
        <w:docPartUnique/>
      </w:docPartObj>
    </w:sdtPr>
    <w:sdtContent>
      <w:p w:rsidR="003F6F02" w:rsidRDefault="003F6F02">
        <w:pPr>
          <w:pStyle w:val="a4"/>
          <w:jc w:val="center"/>
        </w:pPr>
      </w:p>
      <w:p w:rsidR="003F6F02" w:rsidRDefault="003F6F02">
        <w:pPr>
          <w:pStyle w:val="a4"/>
          <w:jc w:val="center"/>
        </w:pPr>
      </w:p>
      <w:p w:rsidR="003F6F02" w:rsidRDefault="003F6F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6F02">
          <w:rPr>
            <w:noProof/>
            <w:lang w:val="ru-RU"/>
          </w:rPr>
          <w:t>3</w:t>
        </w:r>
        <w:r>
          <w:fldChar w:fldCharType="end"/>
        </w:r>
      </w:p>
    </w:sdtContent>
  </w:sdt>
  <w:p w:rsidR="0033565B" w:rsidRDefault="003356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11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F644A3"/>
    <w:multiLevelType w:val="multilevel"/>
    <w:tmpl w:val="CC3A84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3F17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40CB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A7060"/>
    <w:rsid w:val="002C0634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565B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F02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CC9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5952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630B"/>
    <w:rsid w:val="007A062E"/>
    <w:rsid w:val="007B0200"/>
    <w:rsid w:val="007B3BC8"/>
    <w:rsid w:val="007B6413"/>
    <w:rsid w:val="007E5CAA"/>
    <w:rsid w:val="007F435E"/>
    <w:rsid w:val="00821906"/>
    <w:rsid w:val="00872436"/>
    <w:rsid w:val="00875C21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82A36"/>
    <w:rsid w:val="0098379F"/>
    <w:rsid w:val="0099184B"/>
    <w:rsid w:val="009A1BB7"/>
    <w:rsid w:val="009A42C2"/>
    <w:rsid w:val="009C7439"/>
    <w:rsid w:val="009D4E41"/>
    <w:rsid w:val="009E49B6"/>
    <w:rsid w:val="009E6DE5"/>
    <w:rsid w:val="009F31B1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048D"/>
    <w:rsid w:val="00AF3F0D"/>
    <w:rsid w:val="00B13DED"/>
    <w:rsid w:val="00B15A3E"/>
    <w:rsid w:val="00B21992"/>
    <w:rsid w:val="00B21C2E"/>
    <w:rsid w:val="00B30D80"/>
    <w:rsid w:val="00B40AF2"/>
    <w:rsid w:val="00B517AA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41AD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2EDA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8C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2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5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2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5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5435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290</cp:revision>
  <dcterms:created xsi:type="dcterms:W3CDTF">2020-08-21T08:05:00Z</dcterms:created>
  <dcterms:modified xsi:type="dcterms:W3CDTF">2020-12-02T09:50:00Z</dcterms:modified>
</cp:coreProperties>
</file>