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AF4" w:rsidRPr="009124A9" w:rsidRDefault="00CD1AF4" w:rsidP="009124A9">
      <w:pPr>
        <w:ind w:right="-441"/>
        <w:rPr>
          <w:rFonts w:ascii="Times New Roman" w:hAnsi="Times New Roman" w:cs="Times New Roman"/>
        </w:rPr>
      </w:pPr>
    </w:p>
    <w:p w:rsidR="00CD1AF4" w:rsidRPr="009124A9" w:rsidRDefault="00CD1AF4" w:rsidP="009124A9">
      <w:pPr>
        <w:widowControl/>
        <w:ind w:right="-441"/>
        <w:jc w:val="center"/>
        <w:rPr>
          <w:rFonts w:ascii="Times New Roman" w:eastAsia="Times New Roman" w:hAnsi="Times New Roman" w:cs="Times New Roman"/>
          <w:color w:val="auto"/>
          <w:lang w:eastAsia="ru-RU"/>
        </w:rPr>
      </w:pPr>
      <w:r w:rsidRPr="009124A9">
        <w:rPr>
          <w:rFonts w:ascii="Times New Roman" w:eastAsia="Times New Roman" w:hAnsi="Times New Roman" w:cs="Times New Roman"/>
          <w:noProof/>
          <w:color w:val="auto"/>
        </w:rPr>
        <w:drawing>
          <wp:inline distT="0" distB="0" distL="0" distR="0" wp14:anchorId="710DA435" wp14:editId="3361693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D1AF4" w:rsidRPr="009124A9" w:rsidRDefault="00CD1AF4" w:rsidP="009124A9">
      <w:pPr>
        <w:pStyle w:val="aa"/>
        <w:ind w:right="-441"/>
        <w:rPr>
          <w:lang w:eastAsia="ru-RU"/>
        </w:rPr>
      </w:pPr>
    </w:p>
    <w:p w:rsidR="00CD1AF4" w:rsidRPr="009124A9" w:rsidRDefault="00CD1AF4" w:rsidP="00C33B57">
      <w:pPr>
        <w:widowControl/>
        <w:ind w:right="-441"/>
        <w:jc w:val="center"/>
        <w:rPr>
          <w:rFonts w:ascii="Times New Roman" w:eastAsia="Times New Roman" w:hAnsi="Times New Roman" w:cs="Times New Roman"/>
          <w:bCs/>
          <w:color w:val="auto"/>
          <w:sz w:val="34"/>
          <w:szCs w:val="34"/>
          <w:lang w:eastAsia="en-US"/>
        </w:rPr>
      </w:pPr>
      <w:r w:rsidRPr="009124A9">
        <w:rPr>
          <w:rFonts w:ascii="Times New Roman" w:eastAsia="Times New Roman" w:hAnsi="Times New Roman" w:cs="Times New Roman"/>
          <w:bCs/>
          <w:color w:val="auto"/>
          <w:sz w:val="34"/>
          <w:szCs w:val="34"/>
          <w:lang w:eastAsia="en-US"/>
        </w:rPr>
        <w:t>ВИЩА КВАЛІФІКАЦІЙНА КОМІСІЯ СУДДІВ УКРАЇНИ</w:t>
      </w:r>
    </w:p>
    <w:p w:rsidR="00CD1AF4" w:rsidRPr="009124A9" w:rsidRDefault="00CD1AF4" w:rsidP="009124A9">
      <w:pPr>
        <w:widowControl/>
        <w:ind w:right="-441"/>
        <w:jc w:val="both"/>
        <w:rPr>
          <w:rFonts w:ascii="Times New Roman" w:eastAsia="Times New Roman" w:hAnsi="Times New Roman" w:cs="Times New Roman"/>
          <w:color w:val="auto"/>
          <w:sz w:val="28"/>
          <w:szCs w:val="28"/>
          <w:lang w:eastAsia="ru-RU"/>
        </w:rPr>
      </w:pPr>
    </w:p>
    <w:p w:rsidR="00CD1AF4" w:rsidRPr="009124A9" w:rsidRDefault="00CD1AF4" w:rsidP="009124A9">
      <w:pPr>
        <w:widowControl/>
        <w:ind w:right="-441"/>
        <w:jc w:val="both"/>
        <w:rPr>
          <w:rFonts w:ascii="Times New Roman" w:eastAsia="Times New Roman" w:hAnsi="Times New Roman" w:cs="Times New Roman"/>
          <w:color w:val="auto"/>
          <w:lang w:eastAsia="ru-RU"/>
        </w:rPr>
      </w:pPr>
      <w:r w:rsidRPr="009124A9">
        <w:rPr>
          <w:rFonts w:ascii="Times New Roman" w:eastAsia="Times New Roman" w:hAnsi="Times New Roman" w:cs="Times New Roman"/>
          <w:color w:val="auto"/>
          <w:lang w:eastAsia="ru-RU"/>
        </w:rPr>
        <w:t>05 червня 2018 року</w:t>
      </w:r>
      <w:r w:rsidRPr="009124A9">
        <w:rPr>
          <w:rFonts w:ascii="Times New Roman" w:eastAsia="Times New Roman" w:hAnsi="Times New Roman" w:cs="Times New Roman"/>
          <w:color w:val="auto"/>
          <w:lang w:eastAsia="ru-RU"/>
        </w:rPr>
        <w:tab/>
      </w:r>
      <w:r w:rsidRPr="009124A9">
        <w:rPr>
          <w:rFonts w:ascii="Times New Roman" w:eastAsia="Times New Roman" w:hAnsi="Times New Roman" w:cs="Times New Roman"/>
          <w:color w:val="auto"/>
          <w:lang w:eastAsia="ru-RU"/>
        </w:rPr>
        <w:tab/>
      </w:r>
      <w:r w:rsidRPr="009124A9">
        <w:rPr>
          <w:rFonts w:ascii="Times New Roman" w:eastAsia="Times New Roman" w:hAnsi="Times New Roman" w:cs="Times New Roman"/>
          <w:color w:val="auto"/>
          <w:lang w:eastAsia="ru-RU"/>
        </w:rPr>
        <w:tab/>
      </w:r>
      <w:r w:rsidRPr="009124A9">
        <w:rPr>
          <w:rFonts w:ascii="Times New Roman" w:eastAsia="Times New Roman" w:hAnsi="Times New Roman" w:cs="Times New Roman"/>
          <w:color w:val="auto"/>
          <w:lang w:eastAsia="ru-RU"/>
        </w:rPr>
        <w:tab/>
      </w:r>
      <w:r w:rsidRPr="009124A9">
        <w:rPr>
          <w:rFonts w:ascii="Times New Roman" w:eastAsia="Times New Roman" w:hAnsi="Times New Roman" w:cs="Times New Roman"/>
          <w:color w:val="auto"/>
          <w:lang w:eastAsia="ru-RU"/>
        </w:rPr>
        <w:tab/>
        <w:t xml:space="preserve"> </w:t>
      </w:r>
      <w:r w:rsidRPr="009124A9">
        <w:rPr>
          <w:rFonts w:ascii="Times New Roman" w:eastAsia="Times New Roman" w:hAnsi="Times New Roman" w:cs="Times New Roman"/>
          <w:color w:val="auto"/>
          <w:lang w:eastAsia="ru-RU"/>
        </w:rPr>
        <w:tab/>
        <w:t xml:space="preserve">           </w:t>
      </w:r>
      <w:r w:rsidR="009124A9">
        <w:rPr>
          <w:rFonts w:ascii="Times New Roman" w:eastAsia="Times New Roman" w:hAnsi="Times New Roman" w:cs="Times New Roman"/>
          <w:color w:val="auto"/>
          <w:lang w:eastAsia="ru-RU"/>
        </w:rPr>
        <w:t xml:space="preserve">                      </w:t>
      </w:r>
      <w:r w:rsidR="001B591E" w:rsidRPr="009124A9">
        <w:rPr>
          <w:rFonts w:ascii="Times New Roman" w:eastAsia="Times New Roman" w:hAnsi="Times New Roman" w:cs="Times New Roman"/>
          <w:color w:val="auto"/>
          <w:lang w:eastAsia="ru-RU"/>
        </w:rPr>
        <w:t xml:space="preserve"> </w:t>
      </w:r>
      <w:r w:rsidR="009124A9">
        <w:rPr>
          <w:rFonts w:ascii="Times New Roman" w:eastAsia="Times New Roman" w:hAnsi="Times New Roman" w:cs="Times New Roman"/>
          <w:color w:val="auto"/>
          <w:lang w:eastAsia="ru-RU"/>
        </w:rPr>
        <w:t xml:space="preserve">      </w:t>
      </w:r>
      <w:r w:rsidR="00C33B57">
        <w:rPr>
          <w:rFonts w:ascii="Times New Roman" w:eastAsia="Times New Roman" w:hAnsi="Times New Roman" w:cs="Times New Roman"/>
          <w:color w:val="auto"/>
          <w:lang w:eastAsia="ru-RU"/>
        </w:rPr>
        <w:tab/>
      </w:r>
      <w:r w:rsidR="00C33B57">
        <w:rPr>
          <w:rFonts w:ascii="Times New Roman" w:eastAsia="Times New Roman" w:hAnsi="Times New Roman" w:cs="Times New Roman"/>
          <w:color w:val="auto"/>
          <w:lang w:eastAsia="ru-RU"/>
        </w:rPr>
        <w:tab/>
      </w:r>
      <w:r w:rsidRPr="009124A9">
        <w:rPr>
          <w:rFonts w:ascii="Times New Roman" w:eastAsia="Times New Roman" w:hAnsi="Times New Roman" w:cs="Times New Roman"/>
          <w:color w:val="auto"/>
          <w:lang w:eastAsia="ru-RU"/>
        </w:rPr>
        <w:t>м. Київ</w:t>
      </w:r>
    </w:p>
    <w:p w:rsidR="00CD1AF4" w:rsidRPr="009124A9" w:rsidRDefault="00CD1AF4" w:rsidP="009124A9">
      <w:pPr>
        <w:pStyle w:val="aa"/>
        <w:ind w:right="-441"/>
        <w:rPr>
          <w:rFonts w:ascii="Times New Roman" w:hAnsi="Times New Roman" w:cs="Times New Roman"/>
          <w:lang w:eastAsia="ru-RU"/>
        </w:rPr>
      </w:pPr>
    </w:p>
    <w:p w:rsidR="00CD1AF4" w:rsidRPr="009124A9" w:rsidRDefault="00CD1AF4" w:rsidP="009124A9">
      <w:pPr>
        <w:pStyle w:val="aa"/>
        <w:spacing w:line="480" w:lineRule="auto"/>
        <w:ind w:right="-441"/>
        <w:jc w:val="center"/>
        <w:rPr>
          <w:rFonts w:ascii="Times New Roman" w:hAnsi="Times New Roman" w:cs="Times New Roman"/>
          <w:u w:val="single"/>
          <w:lang w:eastAsia="ru-RU"/>
        </w:rPr>
      </w:pPr>
      <w:r w:rsidRPr="009124A9">
        <w:rPr>
          <w:rFonts w:ascii="Times New Roman" w:hAnsi="Times New Roman" w:cs="Times New Roman"/>
          <w:lang w:eastAsia="ru-RU"/>
        </w:rPr>
        <w:t xml:space="preserve">Р І Ш Е Н </w:t>
      </w:r>
      <w:proofErr w:type="spellStart"/>
      <w:r w:rsidRPr="009124A9">
        <w:rPr>
          <w:rFonts w:ascii="Times New Roman" w:hAnsi="Times New Roman" w:cs="Times New Roman"/>
          <w:lang w:eastAsia="ru-RU"/>
        </w:rPr>
        <w:t>Н</w:t>
      </w:r>
      <w:proofErr w:type="spellEnd"/>
      <w:r w:rsidRPr="009124A9">
        <w:rPr>
          <w:rFonts w:ascii="Times New Roman" w:hAnsi="Times New Roman" w:cs="Times New Roman"/>
          <w:lang w:eastAsia="ru-RU"/>
        </w:rPr>
        <w:t xml:space="preserve"> Я № </w:t>
      </w:r>
      <w:r w:rsidRPr="009124A9">
        <w:rPr>
          <w:rFonts w:ascii="Times New Roman" w:hAnsi="Times New Roman" w:cs="Times New Roman"/>
          <w:u w:val="single"/>
          <w:lang w:eastAsia="ru-RU"/>
        </w:rPr>
        <w:t>234/дс-18</w:t>
      </w:r>
    </w:p>
    <w:p w:rsidR="00CD1AF4" w:rsidRPr="009124A9" w:rsidRDefault="00575309" w:rsidP="009124A9">
      <w:pPr>
        <w:pStyle w:val="11"/>
        <w:shd w:val="clear" w:color="auto" w:fill="auto"/>
        <w:spacing w:before="0" w:after="0" w:line="480" w:lineRule="auto"/>
        <w:ind w:right="-441"/>
        <w:jc w:val="left"/>
        <w:rPr>
          <w:sz w:val="24"/>
          <w:szCs w:val="24"/>
        </w:rPr>
      </w:pPr>
      <w:r w:rsidRPr="009124A9">
        <w:rPr>
          <w:sz w:val="24"/>
          <w:szCs w:val="24"/>
        </w:rPr>
        <w:t xml:space="preserve">Вища кваліфікаційна комісія суддів України у пленарному складі: </w:t>
      </w:r>
    </w:p>
    <w:p w:rsidR="00CD1AF4" w:rsidRPr="009124A9" w:rsidRDefault="00575309" w:rsidP="009124A9">
      <w:pPr>
        <w:pStyle w:val="11"/>
        <w:shd w:val="clear" w:color="auto" w:fill="auto"/>
        <w:spacing w:before="0" w:after="0" w:line="480" w:lineRule="auto"/>
        <w:ind w:right="-441"/>
        <w:jc w:val="left"/>
        <w:rPr>
          <w:sz w:val="24"/>
          <w:szCs w:val="24"/>
        </w:rPr>
      </w:pPr>
      <w:r w:rsidRPr="009124A9">
        <w:rPr>
          <w:sz w:val="24"/>
          <w:szCs w:val="24"/>
        </w:rPr>
        <w:t xml:space="preserve">головуючого </w:t>
      </w:r>
      <w:r w:rsidR="00C33B57">
        <w:rPr>
          <w:sz w:val="24"/>
          <w:szCs w:val="24"/>
        </w:rPr>
        <w:t>–</w:t>
      </w:r>
      <w:r w:rsidRPr="009124A9">
        <w:rPr>
          <w:sz w:val="24"/>
          <w:szCs w:val="24"/>
        </w:rPr>
        <w:t xml:space="preserve"> Щотки С.О.,</w:t>
      </w:r>
    </w:p>
    <w:p w:rsidR="005610C2" w:rsidRPr="009124A9" w:rsidRDefault="00575309" w:rsidP="009124A9">
      <w:pPr>
        <w:pStyle w:val="11"/>
        <w:shd w:val="clear" w:color="auto" w:fill="auto"/>
        <w:spacing w:before="0" w:after="244" w:line="269" w:lineRule="exact"/>
        <w:ind w:right="-441"/>
        <w:rPr>
          <w:sz w:val="24"/>
          <w:szCs w:val="24"/>
        </w:rPr>
      </w:pPr>
      <w:r w:rsidRPr="009124A9">
        <w:rPr>
          <w:sz w:val="24"/>
          <w:szCs w:val="24"/>
        </w:rPr>
        <w:t xml:space="preserve">членів Комісії: Бутенка В.І., Василенка А.В., Весельської Т.Ф., Гладія С.В., Заріцької А.О., </w:t>
      </w:r>
      <w:r w:rsidR="00CD1AF4" w:rsidRPr="009124A9">
        <w:rPr>
          <w:sz w:val="24"/>
          <w:szCs w:val="24"/>
        </w:rPr>
        <w:t xml:space="preserve">             </w:t>
      </w:r>
      <w:r w:rsidRPr="009124A9">
        <w:rPr>
          <w:sz w:val="24"/>
          <w:szCs w:val="24"/>
        </w:rPr>
        <w:t>Лукаша Т.В., Макарчука М.А., Мішина М.І., Прилипка С.М., Тітова Ю.Г., Устименко В.Є.,</w:t>
      </w:r>
    </w:p>
    <w:p w:rsidR="005610C2" w:rsidRPr="009124A9" w:rsidRDefault="00575309" w:rsidP="009124A9">
      <w:pPr>
        <w:pStyle w:val="11"/>
        <w:shd w:val="clear" w:color="auto" w:fill="auto"/>
        <w:spacing w:before="0" w:after="283" w:line="264" w:lineRule="exact"/>
        <w:ind w:right="-441"/>
        <w:rPr>
          <w:sz w:val="24"/>
          <w:szCs w:val="24"/>
        </w:rPr>
      </w:pPr>
      <w:r w:rsidRPr="009124A9">
        <w:rPr>
          <w:sz w:val="24"/>
          <w:szCs w:val="24"/>
        </w:rPr>
        <w:t xml:space="preserve">розглянувши питання про рекомендування Стефанів Тетяни Василівни для призначення на </w:t>
      </w:r>
      <w:r w:rsidR="00CD1AF4" w:rsidRPr="009124A9">
        <w:rPr>
          <w:sz w:val="24"/>
          <w:szCs w:val="24"/>
        </w:rPr>
        <w:t xml:space="preserve">                </w:t>
      </w:r>
      <w:r w:rsidRPr="009124A9">
        <w:rPr>
          <w:sz w:val="24"/>
          <w:szCs w:val="24"/>
        </w:rPr>
        <w:t>посаду судді господарського суду Івано-Франківської області,</w:t>
      </w:r>
    </w:p>
    <w:p w:rsidR="005610C2" w:rsidRPr="009124A9" w:rsidRDefault="00575309" w:rsidP="009124A9">
      <w:pPr>
        <w:pStyle w:val="11"/>
        <w:shd w:val="clear" w:color="auto" w:fill="auto"/>
        <w:spacing w:before="0" w:after="275" w:line="210" w:lineRule="exact"/>
        <w:ind w:right="-441"/>
        <w:jc w:val="center"/>
        <w:rPr>
          <w:sz w:val="24"/>
          <w:szCs w:val="24"/>
        </w:rPr>
      </w:pPr>
      <w:r w:rsidRPr="009124A9">
        <w:rPr>
          <w:sz w:val="24"/>
          <w:szCs w:val="24"/>
        </w:rPr>
        <w:t>встановила:</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Указом Президента України від 23 січня 2012 року № 29/2012 Стефанів Тетяну Василівну призначено на посаду судді господарського суду Вінницької області строком на п’ять років.</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Указом Президента України від 23 січня 2016 року № 21/2016 Стефанів Тетяну Василівну переведено до господарського суду Івано-Франківської області.</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Строк повноважень судді Стефанів Тетяни Василівни закінчився у січні 2017 року.</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Згідно з пунктом 16</w:t>
      </w:r>
      <w:r w:rsidR="00CD1AF4" w:rsidRPr="009124A9">
        <w:rPr>
          <w:sz w:val="24"/>
          <w:szCs w:val="24"/>
          <w:vertAlign w:val="superscript"/>
        </w:rPr>
        <w:t>1</w:t>
      </w:r>
      <w:r w:rsidRPr="009124A9">
        <w:rPr>
          <w:sz w:val="24"/>
          <w:szCs w:val="24"/>
        </w:rPr>
        <w:t xml:space="preserve"> розділу XV «Перехідні положення» Конституції України </w:t>
      </w:r>
      <w:r w:rsidR="00CD1AF4" w:rsidRPr="009124A9">
        <w:rPr>
          <w:sz w:val="24"/>
          <w:szCs w:val="24"/>
        </w:rPr>
        <w:t xml:space="preserve">                       </w:t>
      </w:r>
      <w:r w:rsidRPr="009124A9">
        <w:rPr>
          <w:sz w:val="24"/>
          <w:szCs w:val="24"/>
        </w:rPr>
        <w:t xml:space="preserve">повноваження суддів, призначених на посаду строком на п’ять років, припиняються із </w:t>
      </w:r>
      <w:r w:rsidR="00CD1AF4" w:rsidRPr="009124A9">
        <w:rPr>
          <w:sz w:val="24"/>
          <w:szCs w:val="24"/>
        </w:rPr>
        <w:t xml:space="preserve">                 </w:t>
      </w:r>
      <w:r w:rsidRPr="009124A9">
        <w:rPr>
          <w:sz w:val="24"/>
          <w:szCs w:val="24"/>
        </w:rPr>
        <w:t xml:space="preserve">закінченням строку, на який їх було призначено. Такі судді можуть бути призначені на посаду </w:t>
      </w:r>
      <w:r w:rsidR="00CD1AF4" w:rsidRPr="009124A9">
        <w:rPr>
          <w:sz w:val="24"/>
          <w:szCs w:val="24"/>
        </w:rPr>
        <w:t xml:space="preserve">          </w:t>
      </w:r>
      <w:r w:rsidRPr="009124A9">
        <w:rPr>
          <w:sz w:val="24"/>
          <w:szCs w:val="24"/>
        </w:rPr>
        <w:t>судді в порядку, встановленому законом.</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 xml:space="preserve">Відповідність займаній посаді судді, якого призначено на посаду строком на п’ять років </w:t>
      </w:r>
      <w:r w:rsidR="00CD1AF4" w:rsidRPr="009124A9">
        <w:rPr>
          <w:sz w:val="24"/>
          <w:szCs w:val="24"/>
        </w:rPr>
        <w:t xml:space="preserve">              </w:t>
      </w:r>
      <w:r w:rsidRPr="009124A9">
        <w:rPr>
          <w:sz w:val="24"/>
          <w:szCs w:val="24"/>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33B57">
        <w:rPr>
          <w:sz w:val="24"/>
          <w:szCs w:val="24"/>
        </w:rPr>
        <w:t>–</w:t>
      </w:r>
      <w:r w:rsidRPr="009124A9">
        <w:rPr>
          <w:sz w:val="24"/>
          <w:szCs w:val="24"/>
        </w:rPr>
        <w:t xml:space="preserve"> Закон) передбачено, що відповідність займаній посаді судді, якого призначено на посаду строком на п’ять років або </w:t>
      </w:r>
      <w:r w:rsidR="00CD1AF4" w:rsidRPr="009124A9">
        <w:rPr>
          <w:sz w:val="24"/>
          <w:szCs w:val="24"/>
        </w:rPr>
        <w:t xml:space="preserve">              </w:t>
      </w:r>
      <w:r w:rsidRPr="009124A9">
        <w:rPr>
          <w:sz w:val="24"/>
          <w:szCs w:val="24"/>
        </w:rPr>
        <w:t>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Івано-Франківської області Стефанів Тетяну Василівну.</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Рішенням колегії Комісії від 15 травня 2018 року № 650/ко-18 суддю господарського суду Івано-Франківської області Стефанів Тетяну Василівну визнано такою, що відповідає займаній посаді.</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 xml:space="preserve">Наразі Стефанів Тетяна Василівна обіймає посаду судді у зазначеному суді, але не </w:t>
      </w:r>
      <w:r w:rsidR="00CD1AF4" w:rsidRPr="009124A9">
        <w:rPr>
          <w:sz w:val="24"/>
          <w:szCs w:val="24"/>
        </w:rPr>
        <w:t xml:space="preserve">             </w:t>
      </w:r>
      <w:r w:rsidRPr="009124A9">
        <w:rPr>
          <w:sz w:val="24"/>
          <w:szCs w:val="24"/>
        </w:rPr>
        <w:t>здійснює правосуддя у зв’язку із закінченням строку повноважень, а отже, ця посада не є вакантною.</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 № 1798-</w:t>
      </w:r>
      <w:r w:rsidR="00CD1AF4" w:rsidRPr="009124A9">
        <w:rPr>
          <w:sz w:val="24"/>
          <w:szCs w:val="24"/>
          <w:lang w:val="en-US"/>
        </w:rPr>
        <w:t>V</w:t>
      </w:r>
      <w:r w:rsidRPr="009124A9">
        <w:rPr>
          <w:sz w:val="24"/>
          <w:szCs w:val="24"/>
        </w:rPr>
        <w:t xml:space="preserve">ІІІ за </w:t>
      </w:r>
      <w:r w:rsidR="00CD1AF4" w:rsidRPr="009124A9">
        <w:rPr>
          <w:sz w:val="24"/>
          <w:szCs w:val="24"/>
        </w:rPr>
        <w:t xml:space="preserve">             </w:t>
      </w:r>
      <w:r w:rsidRPr="009124A9">
        <w:rPr>
          <w:sz w:val="24"/>
          <w:szCs w:val="24"/>
        </w:rPr>
        <w:t>результатами кваліфікаційного оцінювання суддя, призначений</w:t>
      </w:r>
      <w:r w:rsidR="00B53B3E">
        <w:rPr>
          <w:sz w:val="24"/>
          <w:szCs w:val="24"/>
        </w:rPr>
        <w:t xml:space="preserve"> на</w:t>
      </w:r>
      <w:r w:rsidR="00CD1AF4" w:rsidRPr="009124A9">
        <w:rPr>
          <w:sz w:val="24"/>
          <w:szCs w:val="24"/>
        </w:rPr>
        <w:t xml:space="preserve"> </w:t>
      </w:r>
      <w:r w:rsidRPr="009124A9">
        <w:rPr>
          <w:sz w:val="24"/>
          <w:szCs w:val="24"/>
        </w:rPr>
        <w:t xml:space="preserve">посаду строком </w:t>
      </w:r>
      <w:r w:rsidR="00B53B3E">
        <w:rPr>
          <w:sz w:val="24"/>
          <w:szCs w:val="24"/>
        </w:rPr>
        <w:t>на</w:t>
      </w:r>
      <w:r w:rsidR="00CD1AF4" w:rsidRPr="009124A9">
        <w:rPr>
          <w:sz w:val="24"/>
          <w:szCs w:val="24"/>
        </w:rPr>
        <w:t xml:space="preserve"> </w:t>
      </w:r>
      <w:r w:rsidRPr="009124A9">
        <w:rPr>
          <w:sz w:val="24"/>
          <w:szCs w:val="24"/>
        </w:rPr>
        <w:t>п’ять</w:t>
      </w:r>
      <w:r w:rsidR="00CD1AF4" w:rsidRPr="009124A9">
        <w:rPr>
          <w:sz w:val="24"/>
          <w:szCs w:val="24"/>
        </w:rPr>
        <w:t xml:space="preserve"> </w:t>
      </w:r>
      <w:r w:rsidRPr="009124A9">
        <w:rPr>
          <w:sz w:val="24"/>
          <w:szCs w:val="24"/>
        </w:rPr>
        <w:t>років</w:t>
      </w:r>
      <w:r w:rsidR="00CD1AF4" w:rsidRPr="009124A9">
        <w:rPr>
          <w:sz w:val="24"/>
          <w:szCs w:val="24"/>
        </w:rPr>
        <w:t xml:space="preserve"> </w:t>
      </w:r>
      <w:r w:rsidRPr="009124A9">
        <w:rPr>
          <w:sz w:val="24"/>
          <w:szCs w:val="24"/>
        </w:rPr>
        <w:br w:type="page"/>
      </w:r>
      <w:r w:rsidRPr="009124A9">
        <w:rPr>
          <w:sz w:val="24"/>
          <w:szCs w:val="24"/>
        </w:rPr>
        <w:lastRenderedPageBreak/>
        <w:t>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5511E" w:rsidRPr="009124A9">
        <w:rPr>
          <w:sz w:val="24"/>
          <w:szCs w:val="24"/>
          <w:vertAlign w:val="superscript"/>
          <w:lang w:val="ru-RU"/>
        </w:rPr>
        <w:t>1</w:t>
      </w:r>
      <w:r w:rsidRPr="009124A9">
        <w:rPr>
          <w:sz w:val="24"/>
          <w:szCs w:val="24"/>
        </w:rPr>
        <w:t xml:space="preserve"> розділу XV «Перехідні положення» Конституції України.</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610C2" w:rsidRPr="009124A9" w:rsidRDefault="00575309" w:rsidP="009124A9">
      <w:pPr>
        <w:pStyle w:val="11"/>
        <w:shd w:val="clear" w:color="auto" w:fill="auto"/>
        <w:spacing w:before="0" w:after="0" w:line="264" w:lineRule="exact"/>
        <w:ind w:right="-441" w:firstLine="700"/>
        <w:rPr>
          <w:sz w:val="24"/>
          <w:szCs w:val="24"/>
        </w:rPr>
      </w:pPr>
      <w:r w:rsidRPr="009124A9">
        <w:rPr>
          <w:sz w:val="24"/>
          <w:szCs w:val="24"/>
        </w:rPr>
        <w:t>Ураховуючи результати кваліфікаційного оцінювання судді на відповідність займаній посаді, Комісія дійшла висновку</w:t>
      </w:r>
      <w:bookmarkStart w:id="0" w:name="_GoBack"/>
      <w:bookmarkEnd w:id="0"/>
      <w:r w:rsidRPr="009124A9">
        <w:rPr>
          <w:sz w:val="24"/>
          <w:szCs w:val="24"/>
        </w:rPr>
        <w:t xml:space="preserve"> про надання рекомендації для призначення Стефанів Тетяни Василівни на посаду судді господарського суду Івано-Франківської області.</w:t>
      </w:r>
    </w:p>
    <w:p w:rsidR="005610C2" w:rsidRPr="009124A9" w:rsidRDefault="00575309" w:rsidP="009124A9">
      <w:pPr>
        <w:pStyle w:val="11"/>
        <w:shd w:val="clear" w:color="auto" w:fill="auto"/>
        <w:spacing w:before="0" w:after="223" w:line="264" w:lineRule="exact"/>
        <w:ind w:right="-441" w:firstLine="700"/>
        <w:rPr>
          <w:sz w:val="24"/>
          <w:szCs w:val="24"/>
        </w:rPr>
      </w:pPr>
      <w:r w:rsidRPr="009124A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610C2" w:rsidRPr="009124A9" w:rsidRDefault="00575309" w:rsidP="009124A9">
      <w:pPr>
        <w:pStyle w:val="11"/>
        <w:shd w:val="clear" w:color="auto" w:fill="auto"/>
        <w:spacing w:before="0" w:after="206" w:line="210" w:lineRule="exact"/>
        <w:ind w:right="-441"/>
        <w:jc w:val="center"/>
        <w:rPr>
          <w:sz w:val="24"/>
          <w:szCs w:val="24"/>
        </w:rPr>
      </w:pPr>
      <w:r w:rsidRPr="009124A9">
        <w:rPr>
          <w:sz w:val="24"/>
          <w:szCs w:val="24"/>
        </w:rPr>
        <w:t>вирішила:</w:t>
      </w:r>
    </w:p>
    <w:p w:rsidR="005610C2" w:rsidRPr="009124A9" w:rsidRDefault="00575309" w:rsidP="009124A9">
      <w:pPr>
        <w:pStyle w:val="11"/>
        <w:shd w:val="clear" w:color="auto" w:fill="auto"/>
        <w:spacing w:before="0" w:after="0" w:line="269" w:lineRule="exact"/>
        <w:ind w:right="-441"/>
        <w:rPr>
          <w:sz w:val="24"/>
          <w:szCs w:val="24"/>
          <w:lang w:val="ru-RU"/>
        </w:rPr>
      </w:pPr>
      <w:r w:rsidRPr="009124A9">
        <w:rPr>
          <w:sz w:val="24"/>
          <w:szCs w:val="24"/>
        </w:rPr>
        <w:t>рекомендувати Стефанів Тетяну Василівну для призначення на посаду судді господарського суду Івано-Франківської області.</w:t>
      </w:r>
    </w:p>
    <w:p w:rsidR="0055511E" w:rsidRPr="009124A9" w:rsidRDefault="0055511E" w:rsidP="009124A9">
      <w:pPr>
        <w:pStyle w:val="aa"/>
        <w:ind w:right="-441"/>
        <w:rPr>
          <w:lang w:val="ru-RU"/>
        </w:rPr>
      </w:pPr>
    </w:p>
    <w:p w:rsidR="0055511E" w:rsidRPr="009124A9" w:rsidRDefault="0055511E" w:rsidP="009124A9">
      <w:pPr>
        <w:pStyle w:val="aa"/>
        <w:ind w:right="-441"/>
        <w:rPr>
          <w:lang w:val="ru-RU"/>
        </w:rPr>
      </w:pPr>
    </w:p>
    <w:p w:rsidR="0055511E" w:rsidRPr="009124A9" w:rsidRDefault="0055511E" w:rsidP="009124A9">
      <w:pPr>
        <w:pStyle w:val="aa"/>
        <w:ind w:right="-441"/>
        <w:rPr>
          <w:rFonts w:ascii="Times New Roman" w:hAnsi="Times New Roman" w:cs="Times New Roman"/>
          <w:lang w:val="ru-RU"/>
        </w:rPr>
      </w:pPr>
    </w:p>
    <w:tbl>
      <w:tblPr>
        <w:tblW w:w="10173" w:type="dxa"/>
        <w:tblLook w:val="04A0" w:firstRow="1" w:lastRow="0" w:firstColumn="1" w:lastColumn="0" w:noHBand="0" w:noVBand="1"/>
      </w:tblPr>
      <w:tblGrid>
        <w:gridCol w:w="3284"/>
        <w:gridCol w:w="2636"/>
        <w:gridCol w:w="4253"/>
      </w:tblGrid>
      <w:tr w:rsidR="00CD1AF4" w:rsidRPr="00C33B57" w:rsidTr="00B737DE">
        <w:tc>
          <w:tcPr>
            <w:tcW w:w="3284" w:type="dxa"/>
            <w:shd w:val="clear" w:color="auto" w:fill="auto"/>
          </w:tcPr>
          <w:p w:rsidR="00CD1AF4" w:rsidRPr="00C33B57" w:rsidRDefault="00CD1AF4" w:rsidP="000E30F5">
            <w:pPr>
              <w:suppressAutoHyphens/>
              <w:autoSpaceDE w:val="0"/>
              <w:spacing w:line="600" w:lineRule="auto"/>
              <w:ind w:right="-441"/>
              <w:jc w:val="both"/>
              <w:rPr>
                <w:rFonts w:ascii="Times New Roman" w:eastAsia="Times New Roman" w:hAnsi="Times New Roman" w:cs="Times New Roman"/>
                <w:color w:val="auto"/>
                <w:lang w:eastAsia="ar-SA"/>
              </w:rPr>
            </w:pPr>
            <w:r w:rsidRPr="00C33B57">
              <w:rPr>
                <w:rFonts w:ascii="Times New Roman" w:eastAsia="Times New Roman" w:hAnsi="Times New Roman" w:cs="Times New Roman"/>
                <w:color w:val="auto"/>
                <w:lang w:eastAsia="ar-SA"/>
              </w:rPr>
              <w:t>Головуючий</w:t>
            </w:r>
          </w:p>
        </w:tc>
        <w:tc>
          <w:tcPr>
            <w:tcW w:w="2636" w:type="dxa"/>
            <w:shd w:val="clear" w:color="auto" w:fill="auto"/>
          </w:tcPr>
          <w:p w:rsidR="00CD1AF4" w:rsidRPr="00C33B57" w:rsidRDefault="00CD1AF4" w:rsidP="000E30F5">
            <w:pPr>
              <w:tabs>
                <w:tab w:val="left" w:pos="2386"/>
              </w:tabs>
              <w:suppressAutoHyphens/>
              <w:autoSpaceDE w:val="0"/>
              <w:spacing w:line="600" w:lineRule="auto"/>
              <w:ind w:right="-441"/>
              <w:jc w:val="center"/>
              <w:rPr>
                <w:rFonts w:ascii="Times New Roman" w:eastAsia="Times New Roman" w:hAnsi="Times New Roman" w:cs="Times New Roman"/>
                <w:color w:val="auto"/>
                <w:lang w:eastAsia="ar-SA"/>
              </w:rPr>
            </w:pPr>
          </w:p>
        </w:tc>
        <w:tc>
          <w:tcPr>
            <w:tcW w:w="4253" w:type="dxa"/>
            <w:shd w:val="clear" w:color="auto" w:fill="auto"/>
          </w:tcPr>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С.О. Щотка</w:t>
            </w:r>
          </w:p>
        </w:tc>
      </w:tr>
      <w:tr w:rsidR="00CD1AF4" w:rsidRPr="00C33B57" w:rsidTr="00B737DE">
        <w:tc>
          <w:tcPr>
            <w:tcW w:w="3284" w:type="dxa"/>
            <w:shd w:val="clear" w:color="auto" w:fill="auto"/>
          </w:tcPr>
          <w:p w:rsidR="00CD1AF4" w:rsidRPr="00C33B57" w:rsidRDefault="00CD1AF4" w:rsidP="000E30F5">
            <w:pPr>
              <w:suppressAutoHyphens/>
              <w:autoSpaceDE w:val="0"/>
              <w:spacing w:line="600" w:lineRule="auto"/>
              <w:ind w:right="-441"/>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color w:val="auto"/>
                <w:lang w:eastAsia="ar-SA"/>
              </w:rPr>
              <w:t>Члени Комісії:</w:t>
            </w:r>
          </w:p>
        </w:tc>
        <w:tc>
          <w:tcPr>
            <w:tcW w:w="2636" w:type="dxa"/>
            <w:shd w:val="clear" w:color="auto" w:fill="auto"/>
          </w:tcPr>
          <w:p w:rsidR="00CD1AF4" w:rsidRPr="00C33B57" w:rsidRDefault="00CD1AF4" w:rsidP="000E30F5">
            <w:pPr>
              <w:tabs>
                <w:tab w:val="left" w:pos="2386"/>
              </w:tabs>
              <w:suppressAutoHyphens/>
              <w:autoSpaceDE w:val="0"/>
              <w:spacing w:line="600" w:lineRule="auto"/>
              <w:ind w:right="-441"/>
              <w:jc w:val="center"/>
              <w:rPr>
                <w:rFonts w:ascii="Times New Roman" w:eastAsia="Times New Roman" w:hAnsi="Times New Roman" w:cs="Times New Roman"/>
                <w:color w:val="auto"/>
                <w:lang w:eastAsia="ar-SA"/>
              </w:rPr>
            </w:pPr>
          </w:p>
        </w:tc>
        <w:tc>
          <w:tcPr>
            <w:tcW w:w="4253" w:type="dxa"/>
            <w:shd w:val="clear" w:color="auto" w:fill="auto"/>
          </w:tcPr>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В.І. Бутенко</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А.В. Василенко</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Т.Ф. Весельська</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С.В. Гладій</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А.О. Заріцька</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Т.В. Лукаш</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М.А. Макарчук</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М.І. Мішин</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С.М. Прилипко</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Ю.Г. Тітов</w:t>
            </w:r>
          </w:p>
          <w:p w:rsidR="00CD1AF4" w:rsidRPr="00C33B57" w:rsidRDefault="00CD1AF4" w:rsidP="004E01DE">
            <w:pPr>
              <w:tabs>
                <w:tab w:val="left" w:pos="2386"/>
              </w:tabs>
              <w:suppressAutoHyphens/>
              <w:autoSpaceDE w:val="0"/>
              <w:spacing w:line="600" w:lineRule="auto"/>
              <w:ind w:right="-441" w:firstLine="1593"/>
              <w:jc w:val="both"/>
              <w:rPr>
                <w:rFonts w:ascii="Times New Roman" w:eastAsia="Times New Roman" w:hAnsi="Times New Roman" w:cs="Times New Roman"/>
                <w:bCs/>
                <w:color w:val="auto"/>
                <w:lang w:eastAsia="ar-SA"/>
              </w:rPr>
            </w:pPr>
            <w:r w:rsidRPr="00C33B57">
              <w:rPr>
                <w:rFonts w:ascii="Times New Roman" w:eastAsia="Times New Roman" w:hAnsi="Times New Roman" w:cs="Times New Roman"/>
                <w:bCs/>
                <w:color w:val="auto"/>
                <w:lang w:eastAsia="ar-SA"/>
              </w:rPr>
              <w:t>В.Є. Устименко</w:t>
            </w:r>
          </w:p>
        </w:tc>
      </w:tr>
    </w:tbl>
    <w:p w:rsidR="00CD1AF4" w:rsidRPr="009124A9" w:rsidRDefault="00CD1AF4" w:rsidP="000E30F5">
      <w:pPr>
        <w:spacing w:line="600" w:lineRule="auto"/>
        <w:ind w:right="-441"/>
        <w:rPr>
          <w:rFonts w:ascii="Times New Roman" w:hAnsi="Times New Roman" w:cs="Times New Roman"/>
          <w:lang w:val="en-US"/>
        </w:rPr>
      </w:pPr>
    </w:p>
    <w:sectPr w:rsidR="00CD1AF4" w:rsidRPr="009124A9" w:rsidSect="00913EE4">
      <w:headerReference w:type="default" r:id="rId8"/>
      <w:type w:val="continuous"/>
      <w:pgSz w:w="11909" w:h="16838"/>
      <w:pgMar w:top="1334" w:right="1140" w:bottom="426" w:left="114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670" w:rsidRDefault="00FB2670">
      <w:r>
        <w:separator/>
      </w:r>
    </w:p>
  </w:endnote>
  <w:endnote w:type="continuationSeparator" w:id="0">
    <w:p w:rsidR="00FB2670" w:rsidRDefault="00FB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670" w:rsidRDefault="00FB2670"/>
  </w:footnote>
  <w:footnote w:type="continuationSeparator" w:id="0">
    <w:p w:rsidR="00FB2670" w:rsidRDefault="00FB26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0C2" w:rsidRDefault="00C33B57">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3.3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5610C2" w:rsidRDefault="0057530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610C2"/>
    <w:rsid w:val="000E30F5"/>
    <w:rsid w:val="001B591E"/>
    <w:rsid w:val="00321CAB"/>
    <w:rsid w:val="004E01DE"/>
    <w:rsid w:val="0055511E"/>
    <w:rsid w:val="005610C2"/>
    <w:rsid w:val="00575309"/>
    <w:rsid w:val="006A418B"/>
    <w:rsid w:val="009124A9"/>
    <w:rsid w:val="00913EE4"/>
    <w:rsid w:val="00B53B3E"/>
    <w:rsid w:val="00C33B57"/>
    <w:rsid w:val="00CD1AF4"/>
    <w:rsid w:val="00D628F9"/>
    <w:rsid w:val="00FB26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1"/>
      <w:szCs w:val="21"/>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1"/>
      <w:szCs w:val="21"/>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a">
    <w:name w:val="No Spacing"/>
    <w:uiPriority w:val="1"/>
    <w:qFormat/>
    <w:rsid w:val="00CD1AF4"/>
    <w:rPr>
      <w:color w:val="000000"/>
    </w:rPr>
  </w:style>
  <w:style w:type="paragraph" w:styleId="ab">
    <w:name w:val="Balloon Text"/>
    <w:basedOn w:val="a"/>
    <w:link w:val="ac"/>
    <w:uiPriority w:val="99"/>
    <w:semiHidden/>
    <w:unhideWhenUsed/>
    <w:rsid w:val="00CD1AF4"/>
    <w:rPr>
      <w:rFonts w:ascii="Tahoma" w:hAnsi="Tahoma" w:cs="Tahoma"/>
      <w:sz w:val="16"/>
      <w:szCs w:val="16"/>
    </w:rPr>
  </w:style>
  <w:style w:type="character" w:customStyle="1" w:styleId="ac">
    <w:name w:val="Текст выноски Знак"/>
    <w:basedOn w:val="a0"/>
    <w:link w:val="ab"/>
    <w:uiPriority w:val="99"/>
    <w:semiHidden/>
    <w:rsid w:val="00CD1AF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2831</Words>
  <Characters>1615</Characters>
  <Application>Microsoft Office Word</Application>
  <DocSecurity>0</DocSecurity>
  <Lines>13</Lines>
  <Paragraphs>8</Paragraphs>
  <ScaleCrop>false</ScaleCrop>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2020-10-27T11:18:00Z</dcterms:created>
  <dcterms:modified xsi:type="dcterms:W3CDTF">2020-11-02T08:28:00Z</dcterms:modified>
</cp:coreProperties>
</file>