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65F" w:rsidRDefault="000269A8">
      <w:pPr>
        <w:framePr w:h="1046" w:wrap="notBeside" w:vAnchor="text" w:hAnchor="text" w:xAlign="center" w:y="1"/>
        <w:jc w:val="center"/>
        <w:rPr>
          <w:sz w:val="0"/>
          <w:szCs w:val="0"/>
        </w:rPr>
      </w:pPr>
      <w:r>
        <w:fldChar w:fldCharType="begin"/>
      </w:r>
      <w:r>
        <w:instrText xml:space="preserve"> INCLUDEPICTURE  "C:\\Users\\parubochamv\\Desktop\\Для розміщення на сайте\\media\\image1.jpeg" \* MERGEFORMATINET </w:instrText>
      </w:r>
      <w:r>
        <w:fldChar w:fldCharType="separate"/>
      </w:r>
      <w:r w:rsidR="00AD293E">
        <w:fldChar w:fldCharType="begin"/>
      </w:r>
      <w:r w:rsidR="00AD293E">
        <w:instrText xml:space="preserve"> </w:instrText>
      </w:r>
      <w:r w:rsidR="00AD293E">
        <w:instrText>INCLUDEPICTURE  "C:\\Users\\parubochamv\\Desktop\\Для розміщення на сайте\\Перевірені рішення\\106-115\\media\\image1.jpeg" \* MERGEFORMATINET</w:instrText>
      </w:r>
      <w:r w:rsidR="00AD293E">
        <w:instrText xml:space="preserve"> </w:instrText>
      </w:r>
      <w:r w:rsidR="00AD293E">
        <w:fldChar w:fldCharType="separate"/>
      </w:r>
      <w:r w:rsidR="00AD293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AD293E">
        <w:fldChar w:fldCharType="end"/>
      </w:r>
      <w:r>
        <w:fldChar w:fldCharType="end"/>
      </w:r>
    </w:p>
    <w:p w:rsidR="0036365F" w:rsidRDefault="00AD293E">
      <w:pPr>
        <w:rPr>
          <w:sz w:val="2"/>
          <w:szCs w:val="2"/>
        </w:rPr>
      </w:pPr>
      <w:r>
        <w:pict>
          <v:shapetype id="_x0000_t202" coordsize="21600,21600" o:spt="202" path="m,l,21600r21600,l21600,xe">
            <v:stroke joinstyle="miter"/>
            <v:path gradientshapeok="t" o:connecttype="rect"/>
          </v:shapetype>
          <v:shape id="_x0000_s1027" type="#_x0000_t202" style="position:absolute;margin-left:302.5pt;margin-top:-29.9pt;width:51.05pt;height:13pt;z-index:-251658752;mso-wrap-distance-left:5pt;mso-wrap-distance-top:17.9pt;mso-wrap-distance-right:5pt;mso-position-horizontal-relative:margin" filled="f" stroked="f">
            <v:textbox style="mso-next-textbox:#_x0000_s1027;mso-fit-shape-to-text:t" inset="0,0,0,0">
              <w:txbxContent>
                <w:p w:rsidR="0036365F" w:rsidRDefault="0036365F" w:rsidP="00C72A56">
                  <w:pPr>
                    <w:pStyle w:val="2"/>
                    <w:shd w:val="clear" w:color="auto" w:fill="auto"/>
                    <w:spacing w:before="0" w:after="0" w:line="260" w:lineRule="exact"/>
                    <w:jc w:val="left"/>
                  </w:pPr>
                </w:p>
              </w:txbxContent>
            </v:textbox>
            <w10:wrap type="square" anchorx="margin"/>
          </v:shape>
        </w:pict>
      </w:r>
    </w:p>
    <w:p w:rsidR="0036365F" w:rsidRPr="00D91212" w:rsidRDefault="000269A8" w:rsidP="005243DD">
      <w:pPr>
        <w:pStyle w:val="10"/>
        <w:keepNext/>
        <w:keepLines/>
        <w:shd w:val="clear" w:color="auto" w:fill="auto"/>
        <w:spacing w:before="418" w:after="270" w:line="330" w:lineRule="exact"/>
        <w:ind w:left="-284"/>
        <w:jc w:val="center"/>
        <w:rPr>
          <w:b w:val="0"/>
          <w:sz w:val="36"/>
          <w:szCs w:val="36"/>
        </w:rPr>
      </w:pPr>
      <w:bookmarkStart w:id="0" w:name="bookmark0"/>
      <w:r w:rsidRPr="00D91212">
        <w:rPr>
          <w:b w:val="0"/>
          <w:sz w:val="36"/>
          <w:szCs w:val="36"/>
        </w:rPr>
        <w:t>ВИЩА КВАЛІФІКАЦІЙНА КОМІСІЯ СУДДІВ УКРАЇНИ</w:t>
      </w:r>
      <w:bookmarkEnd w:id="0"/>
    </w:p>
    <w:p w:rsidR="0036365F" w:rsidRPr="00C72A56" w:rsidRDefault="000269A8" w:rsidP="00C72A56">
      <w:pPr>
        <w:pStyle w:val="2"/>
        <w:numPr>
          <w:ilvl w:val="0"/>
          <w:numId w:val="2"/>
        </w:numPr>
        <w:shd w:val="clear" w:color="auto" w:fill="auto"/>
        <w:tabs>
          <w:tab w:val="left" w:pos="356"/>
        </w:tabs>
        <w:spacing w:before="0" w:after="186" w:line="270" w:lineRule="exact"/>
        <w:rPr>
          <w:rStyle w:val="Exact"/>
          <w:spacing w:val="0"/>
          <w:sz w:val="27"/>
          <w:szCs w:val="27"/>
        </w:rPr>
      </w:pPr>
      <w:r>
        <w:t>липня 2019 року</w:t>
      </w:r>
      <w:r w:rsidR="00C72A56">
        <w:rPr>
          <w:rStyle w:val="Exact"/>
          <w:spacing w:val="0"/>
        </w:rPr>
        <w:tab/>
      </w:r>
      <w:r w:rsidR="00C72A56">
        <w:rPr>
          <w:rStyle w:val="Exact"/>
          <w:spacing w:val="0"/>
        </w:rPr>
        <w:tab/>
      </w:r>
      <w:r w:rsidR="00C72A56">
        <w:rPr>
          <w:rStyle w:val="Exact"/>
          <w:spacing w:val="0"/>
        </w:rPr>
        <w:tab/>
      </w:r>
      <w:r w:rsidR="00C72A56">
        <w:rPr>
          <w:rStyle w:val="Exact"/>
          <w:spacing w:val="0"/>
        </w:rPr>
        <w:tab/>
      </w:r>
      <w:r w:rsidR="00C72A56">
        <w:rPr>
          <w:rStyle w:val="Exact"/>
          <w:spacing w:val="0"/>
        </w:rPr>
        <w:tab/>
      </w:r>
      <w:r w:rsidR="00C72A56">
        <w:rPr>
          <w:rStyle w:val="Exact"/>
          <w:spacing w:val="0"/>
        </w:rPr>
        <w:tab/>
      </w:r>
      <w:r w:rsidR="00C72A56">
        <w:rPr>
          <w:rStyle w:val="Exact"/>
          <w:spacing w:val="0"/>
        </w:rPr>
        <w:tab/>
      </w:r>
      <w:r w:rsidR="00C72A56">
        <w:rPr>
          <w:rStyle w:val="Exact"/>
          <w:spacing w:val="0"/>
        </w:rPr>
        <w:tab/>
      </w:r>
      <w:r w:rsidR="00C72A56">
        <w:rPr>
          <w:rStyle w:val="Exact"/>
          <w:spacing w:val="0"/>
        </w:rPr>
        <w:tab/>
        <w:t xml:space="preserve"> </w:t>
      </w:r>
      <w:proofErr w:type="spellStart"/>
      <w:r w:rsidR="00C72A56">
        <w:rPr>
          <w:rStyle w:val="Exact"/>
          <w:spacing w:val="0"/>
        </w:rPr>
        <w:t>м.Київ</w:t>
      </w:r>
      <w:proofErr w:type="spellEnd"/>
    </w:p>
    <w:p w:rsidR="00C72A56" w:rsidRDefault="00C72A56" w:rsidP="00C72A56">
      <w:pPr>
        <w:pStyle w:val="2"/>
        <w:shd w:val="clear" w:color="auto" w:fill="auto"/>
        <w:tabs>
          <w:tab w:val="left" w:pos="356"/>
        </w:tabs>
        <w:spacing w:before="0" w:after="186" w:line="270" w:lineRule="exact"/>
        <w:ind w:left="380"/>
        <w:jc w:val="center"/>
        <w:rPr>
          <w:rStyle w:val="Exact"/>
          <w:spacing w:val="0"/>
        </w:rPr>
      </w:pPr>
    </w:p>
    <w:p w:rsidR="00C72A56" w:rsidRPr="00C72A56" w:rsidRDefault="00C72A56" w:rsidP="00C72A56">
      <w:pPr>
        <w:pStyle w:val="2"/>
        <w:shd w:val="clear" w:color="auto" w:fill="auto"/>
        <w:tabs>
          <w:tab w:val="left" w:pos="356"/>
        </w:tabs>
        <w:spacing w:before="0" w:after="0" w:line="270" w:lineRule="exact"/>
        <w:ind w:left="380"/>
        <w:jc w:val="center"/>
        <w:rPr>
          <w:u w:val="single"/>
        </w:rPr>
      </w:pPr>
      <w:r>
        <w:rPr>
          <w:rStyle w:val="Exact"/>
          <w:spacing w:val="0"/>
        </w:rPr>
        <w:t xml:space="preserve">Р І Ш Е Н </w:t>
      </w:r>
      <w:proofErr w:type="spellStart"/>
      <w:r>
        <w:rPr>
          <w:rStyle w:val="Exact"/>
          <w:spacing w:val="0"/>
        </w:rPr>
        <w:t>Н</w:t>
      </w:r>
      <w:proofErr w:type="spellEnd"/>
      <w:r>
        <w:rPr>
          <w:rStyle w:val="Exact"/>
          <w:spacing w:val="0"/>
        </w:rPr>
        <w:t xml:space="preserve"> Я  № </w:t>
      </w:r>
      <w:r>
        <w:rPr>
          <w:rStyle w:val="Exact"/>
          <w:spacing w:val="0"/>
          <w:u w:val="single"/>
        </w:rPr>
        <w:t>110/зп-19</w:t>
      </w:r>
    </w:p>
    <w:p w:rsidR="0036365F" w:rsidRDefault="0036365F">
      <w:pPr>
        <w:framePr w:w="1978" w:h="533" w:hSpace="2746" w:wrap="notBeside" w:vAnchor="text" w:hAnchor="text" w:x="6784" w:y="1"/>
        <w:rPr>
          <w:sz w:val="0"/>
          <w:szCs w:val="0"/>
        </w:rPr>
      </w:pPr>
    </w:p>
    <w:p w:rsidR="00C72A56" w:rsidRDefault="000269A8" w:rsidP="00C72A56">
      <w:pPr>
        <w:pStyle w:val="2"/>
        <w:shd w:val="clear" w:color="auto" w:fill="auto"/>
        <w:spacing w:before="0" w:after="0" w:line="619" w:lineRule="exact"/>
        <w:ind w:right="300"/>
        <w:jc w:val="left"/>
      </w:pPr>
      <w:r>
        <w:t xml:space="preserve">Вища кваліфікаційна комісія судців України у пленарному складі: </w:t>
      </w:r>
    </w:p>
    <w:p w:rsidR="00C72A56" w:rsidRDefault="000269A8" w:rsidP="002734A6">
      <w:pPr>
        <w:pStyle w:val="2"/>
        <w:shd w:val="clear" w:color="auto" w:fill="auto"/>
        <w:spacing w:before="0" w:after="0" w:line="619" w:lineRule="exact"/>
        <w:ind w:left="20" w:right="300"/>
        <w:jc w:val="left"/>
      </w:pPr>
      <w:r>
        <w:t>головуючого - Устименко В.Є.,</w:t>
      </w:r>
    </w:p>
    <w:p w:rsidR="0036365F" w:rsidRDefault="000269A8">
      <w:pPr>
        <w:pStyle w:val="2"/>
        <w:shd w:val="clear" w:color="auto" w:fill="auto"/>
        <w:spacing w:before="0" w:line="307" w:lineRule="exact"/>
        <w:ind w:left="2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Луцюка</w:t>
      </w:r>
      <w:proofErr w:type="spellEnd"/>
      <w:r>
        <w:t xml:space="preserve"> П.С., </w:t>
      </w:r>
      <w:r w:rsidR="00C72A56">
        <w:t xml:space="preserve">                 </w:t>
      </w:r>
      <w:proofErr w:type="spellStart"/>
      <w:r>
        <w:t>Макарчука</w:t>
      </w:r>
      <w:proofErr w:type="spellEnd"/>
      <w:r>
        <w:t xml:space="preserve"> М.А., </w:t>
      </w:r>
      <w:proofErr w:type="spellStart"/>
      <w:r>
        <w:t>Мішина</w:t>
      </w:r>
      <w:proofErr w:type="spellEnd"/>
      <w:r>
        <w:t xml:space="preserve"> М.І., </w:t>
      </w:r>
      <w:proofErr w:type="spellStart"/>
      <w:r>
        <w:t>Тітова</w:t>
      </w:r>
      <w:proofErr w:type="spellEnd"/>
      <w:r>
        <w:t xml:space="preserve"> Ю.Г., </w:t>
      </w:r>
      <w:proofErr w:type="spellStart"/>
      <w:r>
        <w:t>Шило</w:t>
      </w:r>
      <w:bookmarkStart w:id="1" w:name="_GoBack"/>
      <w:bookmarkEnd w:id="1"/>
      <w:r>
        <w:t>вої</w:t>
      </w:r>
      <w:proofErr w:type="spellEnd"/>
      <w:r>
        <w:t xml:space="preserve"> Т.С.,</w:t>
      </w:r>
    </w:p>
    <w:p w:rsidR="0036365F" w:rsidRDefault="000269A8">
      <w:pPr>
        <w:pStyle w:val="2"/>
        <w:shd w:val="clear" w:color="auto" w:fill="auto"/>
        <w:spacing w:before="0" w:after="270" w:line="307" w:lineRule="exact"/>
        <w:ind w:left="20" w:right="20"/>
      </w:pPr>
      <w:r>
        <w:t>розглянувши питання про внесення змін до Регламенту Вищої кваліфікаційної комісії суддів України, затвердженого рішенням Вищої кваліфікаційної комісії суддів України від 13.10.2016 № 81/зп-16,</w:t>
      </w:r>
    </w:p>
    <w:p w:rsidR="0036365F" w:rsidRDefault="000269A8">
      <w:pPr>
        <w:pStyle w:val="2"/>
        <w:shd w:val="clear" w:color="auto" w:fill="auto"/>
        <w:spacing w:before="0" w:after="252" w:line="270" w:lineRule="exact"/>
        <w:ind w:right="20"/>
        <w:jc w:val="center"/>
      </w:pPr>
      <w:r>
        <w:t>встановила:</w:t>
      </w:r>
    </w:p>
    <w:p w:rsidR="0036365F" w:rsidRDefault="000269A8">
      <w:pPr>
        <w:pStyle w:val="2"/>
        <w:shd w:val="clear" w:color="auto" w:fill="auto"/>
        <w:spacing w:before="0" w:after="0" w:line="307" w:lineRule="exact"/>
        <w:ind w:left="20" w:right="20" w:firstLine="700"/>
      </w:pPr>
      <w:r>
        <w:t>Статтями 92 та 94 Закону України «Про судоустрій і статус суддів» (далі - Закон) встановлено, що Комісія є державним органом суддівського врядування, який на постійній основі діє у системі правосуддя України, до складу якого обираються (призначаються) шістнадцять членів.</w:t>
      </w:r>
    </w:p>
    <w:p w:rsidR="0036365F" w:rsidRDefault="000269A8">
      <w:pPr>
        <w:pStyle w:val="2"/>
        <w:shd w:val="clear" w:color="auto" w:fill="auto"/>
        <w:spacing w:before="0" w:after="0" w:line="307" w:lineRule="exact"/>
        <w:ind w:left="20" w:right="20" w:firstLine="700"/>
      </w:pPr>
      <w:r>
        <w:t>Відповідно до визначених Законом повноважень Комісія, зокрема, проводить кваліфікаційне оцінювання суддів.</w:t>
      </w:r>
    </w:p>
    <w:p w:rsidR="0036365F" w:rsidRDefault="000269A8">
      <w:pPr>
        <w:pStyle w:val="2"/>
        <w:shd w:val="clear" w:color="auto" w:fill="auto"/>
        <w:spacing w:before="0" w:after="0" w:line="307" w:lineRule="exact"/>
        <w:ind w:left="20" w:right="20" w:firstLine="700"/>
      </w:pPr>
      <w:r>
        <w:t xml:space="preserve">Частиною першою статті 88 Закону передбачено, що за результатами проведення кваліфікаційного оцінювання Комісія ухвалює мотивоване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w:t>
      </w:r>
    </w:p>
    <w:p w:rsidR="0036365F" w:rsidRDefault="000269A8">
      <w:pPr>
        <w:pStyle w:val="2"/>
        <w:shd w:val="clear" w:color="auto" w:fill="auto"/>
        <w:spacing w:before="0" w:after="0" w:line="307" w:lineRule="exact"/>
        <w:ind w:left="20" w:right="20" w:firstLine="700"/>
      </w:pPr>
      <w:r>
        <w:t>Згідно зі статтею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w:t>
      </w:r>
    </w:p>
    <w:p w:rsidR="0036365F" w:rsidRDefault="000269A8">
      <w:pPr>
        <w:pStyle w:val="2"/>
        <w:shd w:val="clear" w:color="auto" w:fill="auto"/>
        <w:spacing w:before="0" w:after="0" w:line="307" w:lineRule="exact"/>
        <w:ind w:left="20" w:right="20" w:firstLine="700"/>
      </w:pPr>
      <w:r>
        <w:t>До повноважень Громадської ради доброчесності, визначених статтею 87 Закону, належить, зокрема, надання до Комісії інформації щодо судді (кандидата на посаду судді) та, за наявності відповідних підстав, висновку про невідповідність судді (кандидата на посаду судді) критеріям професійної етики та доброчесності (далі - висновок).</w:t>
      </w:r>
    </w:p>
    <w:p w:rsidR="0036365F" w:rsidRDefault="000269A8">
      <w:pPr>
        <w:pStyle w:val="2"/>
        <w:shd w:val="clear" w:color="auto" w:fill="auto"/>
        <w:spacing w:before="0" w:after="0" w:line="307" w:lineRule="exact"/>
        <w:ind w:left="20" w:right="20" w:firstLine="700"/>
      </w:pPr>
      <w:r>
        <w:t>Згідно з абзацом другим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Комісія може ухвалити рішення про підтвердження здатності такого судді (кандидата на посаду</w:t>
      </w:r>
      <w:r>
        <w:br w:type="page"/>
      </w:r>
      <w:r>
        <w:lastRenderedPageBreak/>
        <w:t>судді) здійснювати правосуддя у відповідному суді лише у разі, якщо таке рішення підтримане не менше ніж одинадцятьма її членами.</w:t>
      </w:r>
    </w:p>
    <w:p w:rsidR="0036365F" w:rsidRDefault="000269A8">
      <w:pPr>
        <w:pStyle w:val="2"/>
        <w:shd w:val="clear" w:color="auto" w:fill="auto"/>
        <w:spacing w:before="0" w:after="0" w:line="307" w:lineRule="exact"/>
        <w:ind w:left="20" w:right="20" w:firstLine="720"/>
      </w:pPr>
      <w:r>
        <w:t>Статтями 92 та 98 Закону передбачено, що Комісія більшістю голосів від її складу, визначеного законом, затверджує Регламент, в якому регулюються відповідно до Закону процедурні питання її діяльності.</w:t>
      </w:r>
    </w:p>
    <w:p w:rsidR="0036365F" w:rsidRDefault="000269A8">
      <w:pPr>
        <w:pStyle w:val="2"/>
        <w:shd w:val="clear" w:color="auto" w:fill="auto"/>
        <w:spacing w:before="0" w:after="0" w:line="307" w:lineRule="exact"/>
        <w:ind w:left="20" w:right="20" w:firstLine="720"/>
      </w:pPr>
      <w:r>
        <w:t>Регламент Вищої кваліфікаційної комісії суддів України (далі - Регламент) затверджено рішенням Комісії від 13.10.2016 № 81/зп-16.</w:t>
      </w:r>
    </w:p>
    <w:p w:rsidR="0036365F" w:rsidRDefault="000269A8">
      <w:pPr>
        <w:pStyle w:val="2"/>
        <w:shd w:val="clear" w:color="auto" w:fill="auto"/>
        <w:spacing w:before="0" w:after="0" w:line="307" w:lineRule="exact"/>
        <w:ind w:left="20" w:right="20" w:firstLine="720"/>
      </w:pPr>
      <w:r>
        <w:t>З метою визначення процедури розгляду Комісією інформації щодо судді (кандидата на посаду судді) та висновку, наданих до Комісії Громадською радою доброчесності в межах процедури проведення кваліфікаційного оцінювання, та ухвалення Комісією рішення за результатами проведення кваліфікаційного оцінювання пунктом 4.10 Регламенту визначено порядок розгляду Комісією інформації щодо судді (кандидата на посаду судді) та висновку.</w:t>
      </w:r>
    </w:p>
    <w:p w:rsidR="0036365F" w:rsidRDefault="000269A8">
      <w:pPr>
        <w:pStyle w:val="2"/>
        <w:shd w:val="clear" w:color="auto" w:fill="auto"/>
        <w:spacing w:before="0" w:after="0" w:line="307" w:lineRule="exact"/>
        <w:ind w:left="20" w:right="20" w:firstLine="720"/>
      </w:pPr>
      <w:r>
        <w:t>Рішенням Громадської ради доброчесності від 23.11.2016 № 1/2016 схвалено Регламент Громадської ради доброчесності, статтею 19 якого визначено порядок прийняття Громадською радою доброчесності висновку.</w:t>
      </w:r>
    </w:p>
    <w:p w:rsidR="0036365F" w:rsidRDefault="000269A8">
      <w:pPr>
        <w:pStyle w:val="2"/>
        <w:shd w:val="clear" w:color="auto" w:fill="auto"/>
        <w:spacing w:before="0" w:after="0" w:line="307" w:lineRule="exact"/>
        <w:ind w:left="20" w:right="20" w:firstLine="720"/>
      </w:pPr>
      <w:r>
        <w:t>Окрім того, частиною четвертою статті 19 цього регламенту передбачено, що за наявності важливої інформації Громадська рада доброчесності в подальшому може окремим рішенням змінити або скасувати висновок, або затвердити новий висновок.</w:t>
      </w:r>
    </w:p>
    <w:p w:rsidR="0036365F" w:rsidRDefault="000269A8">
      <w:pPr>
        <w:pStyle w:val="2"/>
        <w:shd w:val="clear" w:color="auto" w:fill="auto"/>
        <w:spacing w:before="0" w:after="0" w:line="307" w:lineRule="exact"/>
        <w:ind w:left="20" w:right="20" w:firstLine="720"/>
      </w:pPr>
      <w:r>
        <w:t xml:space="preserve">Згідно з підпунктом 4.10.5 пункту 4.10 Регламенту за результатами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w:t>
      </w:r>
    </w:p>
    <w:p w:rsidR="0036365F" w:rsidRDefault="000269A8">
      <w:pPr>
        <w:pStyle w:val="2"/>
        <w:shd w:val="clear" w:color="auto" w:fill="auto"/>
        <w:spacing w:before="0" w:after="0" w:line="307" w:lineRule="exact"/>
        <w:ind w:left="20" w:right="20" w:firstLine="720"/>
      </w:pPr>
      <w:r>
        <w:t>У разі ухвалення рішення про підтвердження здатності судді (кандидата на посаду судді) здійснювати правосуддя у відповідному суді за наявності висновку ухвалюється протокольне рішення про винесення на розгляд Комісії у пленарному складі питання щодо підтримки зазначеного рішення відповідно до вимог</w:t>
      </w:r>
      <w:r w:rsidR="002734A6">
        <w:t xml:space="preserve">               </w:t>
      </w:r>
      <w:r>
        <w:t xml:space="preserve"> абзацу другого </w:t>
      </w:r>
      <w:r w:rsidRPr="002734A6">
        <w:t>част</w:t>
      </w:r>
      <w:r w:rsidRPr="002734A6">
        <w:rPr>
          <w:rStyle w:val="11"/>
          <w:u w:val="none"/>
        </w:rPr>
        <w:t>ини</w:t>
      </w:r>
      <w:r>
        <w:t xml:space="preserve">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36365F" w:rsidRDefault="000269A8">
      <w:pPr>
        <w:pStyle w:val="2"/>
        <w:shd w:val="clear" w:color="auto" w:fill="auto"/>
        <w:spacing w:before="0" w:after="0" w:line="307" w:lineRule="exact"/>
        <w:ind w:left="20" w:right="20" w:firstLine="720"/>
      </w:pPr>
      <w:r>
        <w:t xml:space="preserve">Рішення про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 набирає чинності з дня його ухвалення.</w:t>
      </w:r>
    </w:p>
    <w:p w:rsidR="0036365F" w:rsidRDefault="000269A8">
      <w:pPr>
        <w:pStyle w:val="2"/>
        <w:shd w:val="clear" w:color="auto" w:fill="auto"/>
        <w:spacing w:before="0" w:after="0" w:line="307" w:lineRule="exact"/>
        <w:ind w:left="20" w:right="20" w:firstLine="720"/>
      </w:pPr>
      <w:r>
        <w:t>Підпунктом 4.10.6 пункту 4.10 Регламенту передбачено, що на засіданні Комісії у пленарному складі з підстави, визначеної абзацом другим частини першої статті 88 Закону, розгляду підлягають рішення Комісії, ухвалені у складі колегії про підтвердження здатності судді (кандидата на посаду судді) здійснювати правосуддя у відповідному суді, висновок та пояснення судді (</w:t>
      </w:r>
      <w:r w:rsidRPr="002734A6">
        <w:t>ка</w:t>
      </w:r>
      <w:r w:rsidRPr="002734A6">
        <w:rPr>
          <w:rStyle w:val="11"/>
          <w:u w:val="none"/>
        </w:rPr>
        <w:t>нди</w:t>
      </w:r>
      <w:r w:rsidRPr="002734A6">
        <w:t>дата</w:t>
      </w:r>
      <w:r>
        <w:t xml:space="preserve"> на посаду судді), обставини, документи та матеріали, які були предметом розгляду під час співбесіди. Питання розглядається шляхом заслуховування члена Комісії-доповідача, який інформує присутніх на засіданні членів Комісії про ухвалене Комісією у складі колегії рішення, зокрема про зміст висновку та пояснення судді (кандидата на посаду судді).</w:t>
      </w:r>
    </w:p>
    <w:p w:rsidR="002734A6" w:rsidRDefault="002734A6">
      <w:pPr>
        <w:pStyle w:val="21"/>
        <w:shd w:val="clear" w:color="auto" w:fill="auto"/>
        <w:spacing w:after="270" w:line="230" w:lineRule="exact"/>
      </w:pPr>
    </w:p>
    <w:p w:rsidR="002734A6" w:rsidRDefault="002734A6">
      <w:pPr>
        <w:pStyle w:val="21"/>
        <w:shd w:val="clear" w:color="auto" w:fill="auto"/>
        <w:spacing w:after="270" w:line="230" w:lineRule="exact"/>
      </w:pPr>
    </w:p>
    <w:p w:rsidR="0036365F" w:rsidRPr="002734A6" w:rsidRDefault="002734A6">
      <w:pPr>
        <w:pStyle w:val="21"/>
        <w:shd w:val="clear" w:color="auto" w:fill="auto"/>
        <w:spacing w:after="270" w:line="230" w:lineRule="exact"/>
        <w:rPr>
          <w:rFonts w:ascii="Times New Roman" w:hAnsi="Times New Roman" w:cs="Times New Roman"/>
        </w:rPr>
      </w:pPr>
      <w:r>
        <w:rPr>
          <w:rFonts w:ascii="Times New Roman" w:hAnsi="Times New Roman" w:cs="Times New Roman"/>
        </w:rPr>
        <w:lastRenderedPageBreak/>
        <w:t>3</w:t>
      </w:r>
    </w:p>
    <w:p w:rsidR="0036365F" w:rsidRDefault="000269A8">
      <w:pPr>
        <w:pStyle w:val="2"/>
        <w:shd w:val="clear" w:color="auto" w:fill="auto"/>
        <w:spacing w:before="0" w:after="0" w:line="307" w:lineRule="exact"/>
        <w:ind w:left="20" w:right="20" w:firstLine="720"/>
      </w:pPr>
      <w:r>
        <w:t xml:space="preserve">За результатами засідання у пленарному складі з підстави, визначеної абзацом другим частини першої статті 88 Закону, Комісія ухвалює одне з таких рішень: про підтримку рішення Комісії у складі колегії про підтвердження здатності судді (кандидата на посаду судді) здійснювати правосуддя у відповідному суді; про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 (підпункт 4.10.7 пункту 4.10 Регламенту).</w:t>
      </w:r>
    </w:p>
    <w:p w:rsidR="0036365F" w:rsidRDefault="000269A8">
      <w:pPr>
        <w:pStyle w:val="2"/>
        <w:shd w:val="clear" w:color="auto" w:fill="auto"/>
        <w:spacing w:before="0" w:after="0" w:line="307" w:lineRule="exact"/>
        <w:ind w:left="20" w:right="20" w:firstLine="720"/>
      </w:pPr>
      <w:r>
        <w:t>Таким чином, на засіданні Комісії у пленарному складі під час розгляду питання щодо підтримки ухваленого Комісією у складі колегії рішення про підтвердження здатності судді (кандидата на посаду судді) здійснювати правосуддя у відповідному суді підлягає, зокрема, наданий Громадською радою доброчесності висновок, який досліджувався Комісією у складі колегії на етапі кваліфікаційного оцінювання «Дослідження досьє та проведення співбесіди» й наявність якого стало підставою для винесення на розгляд Комісії у пленарному складі питання щодо підтримки ухваленого Комісією у складі колегії рішення про підтвердження здатності судді (кандидата на посаду судді) здійснювати правосуддя у відповідному суді відповідно до вимог абзацу другого частини першої статті 88 Закону.</w:t>
      </w:r>
    </w:p>
    <w:p w:rsidR="0036365F" w:rsidRDefault="000269A8">
      <w:pPr>
        <w:pStyle w:val="2"/>
        <w:shd w:val="clear" w:color="auto" w:fill="auto"/>
        <w:spacing w:before="0" w:after="0" w:line="307" w:lineRule="exact"/>
        <w:ind w:left="20" w:right="20" w:firstLine="720"/>
      </w:pPr>
      <w:r>
        <w:t>Надання до Комісії Громадською радою доброчесності рішення про скасування висновку після ухвалення Комісією у складі колегії відповідно до підпункту 4.10.5 пункту 4.10 Регламенту рішення про підтвердження здатності судді (кандидата на посаду судді) здійснювати правосуддя у відповідному суді за наявності висновку та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унеможливлює в подальшому розгляд вказаного питання на засіданні Комісії в пленарному складі, оскільки лише наявність висновку є підставою для розгляду Комісією в пленарному складі питання щодо підтримки вказаного вище рішення Комісії у складі колегії відповідно до вимог абзацу другого частини першої статті 88 Закону.</w:t>
      </w:r>
    </w:p>
    <w:p w:rsidR="0036365F" w:rsidRDefault="000269A8">
      <w:pPr>
        <w:pStyle w:val="2"/>
        <w:shd w:val="clear" w:color="auto" w:fill="auto"/>
        <w:tabs>
          <w:tab w:val="left" w:pos="1081"/>
        </w:tabs>
        <w:spacing w:before="0" w:after="0" w:line="307" w:lineRule="exact"/>
        <w:ind w:left="20" w:right="20" w:firstLine="720"/>
      </w:pPr>
      <w:r>
        <w:t>З</w:t>
      </w:r>
      <w:r>
        <w:tab/>
        <w:t xml:space="preserve">метою врегулювання вказаної ситуації та забезпечення проведення процедури кваліфікаційного оцінювання судді (кандидата на посаду судді) членом Комісії-доповідачем запропоновано </w:t>
      </w:r>
      <w:proofErr w:type="spellStart"/>
      <w:r>
        <w:t>внести</w:t>
      </w:r>
      <w:proofErr w:type="spellEnd"/>
      <w:r>
        <w:t xml:space="preserve"> зміну до підпункту 4.10.5 пункту 4.10 розділу IV Регламенту, виклавши абзац третій в новій редакції, та відповідно встановити, що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 ухвалене Комісію у складі колегії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Також визначити, що 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(кандидата на посаду судді) здійснювати правосуддя у відповідному суді розглядається Комісією відповідно до абзацу першого підпункту 4.13.3 пункту 4.13 Регламенту.</w:t>
      </w:r>
    </w:p>
    <w:p w:rsidR="0036365F" w:rsidRDefault="000269A8">
      <w:pPr>
        <w:pStyle w:val="2"/>
        <w:shd w:val="clear" w:color="auto" w:fill="auto"/>
        <w:spacing w:before="0" w:after="0" w:line="307" w:lineRule="exact"/>
        <w:ind w:left="20" w:right="20" w:firstLine="720"/>
      </w:pPr>
      <w:r>
        <w:t>Обговоривши зазначене питання, Комісія дійшла висновку про необхідність підтримання пропозицій члена Комісії-доповідача та внесення відповідної зміни до Регламенту.</w:t>
      </w:r>
      <w:r>
        <w:br w:type="page"/>
      </w:r>
    </w:p>
    <w:p w:rsidR="002734A6" w:rsidRPr="002734A6" w:rsidRDefault="002734A6" w:rsidP="002734A6">
      <w:pPr>
        <w:pStyle w:val="2"/>
        <w:shd w:val="clear" w:color="auto" w:fill="auto"/>
        <w:spacing w:before="0" w:after="270" w:line="307" w:lineRule="exact"/>
        <w:ind w:left="20" w:right="20" w:firstLine="740"/>
        <w:jc w:val="center"/>
        <w:rPr>
          <w:sz w:val="23"/>
          <w:szCs w:val="23"/>
        </w:rPr>
      </w:pPr>
      <w:r w:rsidRPr="002734A6">
        <w:rPr>
          <w:sz w:val="23"/>
          <w:szCs w:val="23"/>
        </w:rPr>
        <w:lastRenderedPageBreak/>
        <w:t>4</w:t>
      </w:r>
    </w:p>
    <w:p w:rsidR="0036365F" w:rsidRDefault="000269A8">
      <w:pPr>
        <w:pStyle w:val="2"/>
        <w:shd w:val="clear" w:color="auto" w:fill="auto"/>
        <w:spacing w:before="0" w:after="270" w:line="307" w:lineRule="exact"/>
        <w:ind w:left="20" w:right="20" w:firstLine="740"/>
      </w:pPr>
      <w:r>
        <w:t>Керуючись статтями 92, 93, 101 Закону України «Про судоустрій і статус суддів», Вища кваліфікаційна комісія суддів України</w:t>
      </w:r>
    </w:p>
    <w:p w:rsidR="0036365F" w:rsidRDefault="000269A8">
      <w:pPr>
        <w:pStyle w:val="2"/>
        <w:shd w:val="clear" w:color="auto" w:fill="auto"/>
        <w:spacing w:before="0" w:after="257" w:line="270" w:lineRule="exact"/>
        <w:jc w:val="center"/>
      </w:pPr>
      <w:r>
        <w:t>вирішила:</w:t>
      </w:r>
    </w:p>
    <w:p w:rsidR="0036365F" w:rsidRDefault="000269A8">
      <w:pPr>
        <w:pStyle w:val="2"/>
        <w:shd w:val="clear" w:color="auto" w:fill="auto"/>
        <w:spacing w:before="0" w:after="0" w:line="307" w:lineRule="exact"/>
        <w:ind w:left="20" w:right="20"/>
      </w:pPr>
      <w:proofErr w:type="spellStart"/>
      <w:r>
        <w:t>внести</w:t>
      </w:r>
      <w:proofErr w:type="spellEnd"/>
      <w:r>
        <w:t xml:space="preserve"> зміну до підпункту 4.10.5 пункту 4.10 розділу IV Регламенту Вищої кваліфікаційної комісії суддів України, затвердженого рішенням Вищої кваліфікаційної комісії суддів України від 13.10.2016 № 81/зп-16 (зі змінами), виклавши абзац третій в такій редакції:</w:t>
      </w:r>
    </w:p>
    <w:p w:rsidR="0036365F" w:rsidRDefault="000269A8">
      <w:pPr>
        <w:pStyle w:val="2"/>
        <w:shd w:val="clear" w:color="auto" w:fill="auto"/>
        <w:spacing w:before="0" w:after="0" w:line="307" w:lineRule="exact"/>
        <w:ind w:left="20" w:right="20" w:firstLine="740"/>
        <w:sectPr w:rsidR="0036365F">
          <w:type w:val="continuous"/>
          <w:pgSz w:w="11909" w:h="16838"/>
          <w:pgMar w:top="938" w:right="1130" w:bottom="708" w:left="1112" w:header="0" w:footer="3" w:gutter="0"/>
          <w:cols w:space="720"/>
          <w:noEndnote/>
          <w:docGrid w:linePitch="360"/>
        </w:sectPr>
      </w:pPr>
      <w:r>
        <w:t>«Рішення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 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(кандидата на посаду судді) здійснювати правосуддя у відповідному суді розглядається Комісією відповідно до абзацу першого підпункту 4.13.3 пункту 4.13 цього Регламенту.».</w:t>
      </w:r>
    </w:p>
    <w:p w:rsidR="0036365F" w:rsidRDefault="0036365F">
      <w:pPr>
        <w:spacing w:line="240" w:lineRule="exact"/>
        <w:rPr>
          <w:sz w:val="19"/>
          <w:szCs w:val="19"/>
        </w:rPr>
      </w:pPr>
    </w:p>
    <w:p w:rsidR="0036365F" w:rsidRDefault="0036365F">
      <w:pPr>
        <w:spacing w:before="89" w:after="89" w:line="240" w:lineRule="exact"/>
        <w:rPr>
          <w:sz w:val="19"/>
          <w:szCs w:val="19"/>
        </w:rPr>
      </w:pPr>
    </w:p>
    <w:p w:rsidR="0036365F" w:rsidRDefault="0036365F">
      <w:pPr>
        <w:rPr>
          <w:sz w:val="2"/>
          <w:szCs w:val="2"/>
        </w:rPr>
        <w:sectPr w:rsidR="0036365F">
          <w:type w:val="continuous"/>
          <w:pgSz w:w="11909" w:h="16838"/>
          <w:pgMar w:top="0" w:right="0" w:bottom="0" w:left="0" w:header="0" w:footer="3" w:gutter="0"/>
          <w:cols w:space="720"/>
          <w:noEndnote/>
          <w:docGrid w:linePitch="360"/>
        </w:sectPr>
      </w:pPr>
    </w:p>
    <w:p w:rsidR="005243DD" w:rsidRDefault="002734A6" w:rsidP="005243DD">
      <w:pPr>
        <w:pStyle w:val="2"/>
        <w:shd w:val="clear" w:color="auto" w:fill="auto"/>
        <w:spacing w:before="0" w:after="287" w:line="270" w:lineRule="exact"/>
        <w:ind w:left="-3828"/>
        <w:jc w:val="left"/>
      </w:pPr>
      <w:r>
        <w:lastRenderedPageBreak/>
        <w:t>Г</w:t>
      </w:r>
      <w:r w:rsidR="000269A8">
        <w:t>оловуючий</w:t>
      </w:r>
      <w:r>
        <w:tab/>
      </w:r>
      <w:r>
        <w:tab/>
      </w:r>
      <w:r>
        <w:tab/>
      </w:r>
      <w:r w:rsidR="005243DD">
        <w:tab/>
      </w:r>
      <w:r w:rsidR="005243DD">
        <w:tab/>
      </w:r>
      <w:r w:rsidR="005243DD">
        <w:tab/>
      </w:r>
      <w:r w:rsidR="005243DD">
        <w:tab/>
      </w:r>
      <w:r w:rsidR="005243DD">
        <w:tab/>
      </w:r>
      <w:r w:rsidR="005243DD">
        <w:tab/>
        <w:t xml:space="preserve">В.Є. Устименко </w:t>
      </w:r>
    </w:p>
    <w:p w:rsidR="005243DD" w:rsidRDefault="005243DD" w:rsidP="005243DD">
      <w:pPr>
        <w:pStyle w:val="2"/>
        <w:shd w:val="clear" w:color="auto" w:fill="auto"/>
        <w:spacing w:before="0" w:after="287" w:line="270" w:lineRule="exact"/>
        <w:ind w:left="-3828"/>
        <w:jc w:val="left"/>
      </w:pPr>
      <w:r>
        <w:t>Члени Комісії</w:t>
      </w:r>
      <w:r>
        <w:tab/>
      </w:r>
      <w:r>
        <w:tab/>
      </w:r>
      <w:r>
        <w:tab/>
      </w:r>
      <w:r>
        <w:tab/>
      </w:r>
      <w:r>
        <w:tab/>
      </w:r>
      <w:r>
        <w:tab/>
      </w:r>
      <w:r>
        <w:tab/>
      </w:r>
      <w:r>
        <w:tab/>
      </w:r>
      <w:r>
        <w:tab/>
        <w:t xml:space="preserve">В.І. </w:t>
      </w:r>
      <w:proofErr w:type="spellStart"/>
      <w:r>
        <w:t>Бутенко</w:t>
      </w:r>
      <w:proofErr w:type="spellEnd"/>
    </w:p>
    <w:p w:rsidR="005243DD" w:rsidRDefault="005243DD" w:rsidP="005243DD">
      <w:pPr>
        <w:pStyle w:val="2"/>
        <w:shd w:val="clear" w:color="auto" w:fill="auto"/>
        <w:spacing w:before="0" w:after="287" w:line="270" w:lineRule="exact"/>
        <w:ind w:left="-3828"/>
        <w:jc w:val="left"/>
      </w:pPr>
      <w:r>
        <w:tab/>
      </w:r>
      <w:r>
        <w:tab/>
      </w:r>
      <w:r>
        <w:tab/>
      </w:r>
      <w:r>
        <w:tab/>
      </w:r>
      <w:r>
        <w:tab/>
      </w:r>
      <w:r>
        <w:tab/>
      </w:r>
      <w:r>
        <w:tab/>
      </w:r>
      <w:r>
        <w:tab/>
      </w:r>
      <w:r>
        <w:tab/>
      </w:r>
      <w:r>
        <w:tab/>
      </w:r>
      <w:r>
        <w:tab/>
        <w:t>С.В. Гладій</w:t>
      </w:r>
    </w:p>
    <w:p w:rsidR="005243DD" w:rsidRDefault="005243DD" w:rsidP="005243DD">
      <w:pPr>
        <w:pStyle w:val="2"/>
        <w:shd w:val="clear" w:color="auto" w:fill="auto"/>
        <w:spacing w:before="0" w:after="287" w:line="270" w:lineRule="exact"/>
        <w:ind w:left="-3828"/>
        <w:jc w:val="left"/>
      </w:pPr>
      <w:r>
        <w:tab/>
      </w:r>
      <w:r>
        <w:tab/>
      </w:r>
      <w:r>
        <w:tab/>
      </w:r>
      <w:r>
        <w:tab/>
      </w:r>
      <w:r>
        <w:tab/>
      </w:r>
      <w:r>
        <w:tab/>
      </w:r>
      <w:r>
        <w:tab/>
      </w:r>
      <w:r>
        <w:tab/>
      </w:r>
      <w:r>
        <w:tab/>
      </w:r>
      <w:r>
        <w:tab/>
      </w:r>
      <w:r>
        <w:tab/>
        <w:t xml:space="preserve">А.О. </w:t>
      </w:r>
      <w:proofErr w:type="spellStart"/>
      <w:r>
        <w:t>Заріцька</w:t>
      </w:r>
      <w:proofErr w:type="spellEnd"/>
    </w:p>
    <w:p w:rsidR="005243DD" w:rsidRDefault="005243DD" w:rsidP="005243DD">
      <w:pPr>
        <w:pStyle w:val="2"/>
        <w:shd w:val="clear" w:color="auto" w:fill="auto"/>
        <w:spacing w:before="0" w:after="287" w:line="270" w:lineRule="exact"/>
        <w:ind w:left="-3828"/>
        <w:jc w:val="left"/>
      </w:pPr>
      <w:r>
        <w:tab/>
      </w:r>
      <w:r>
        <w:tab/>
      </w:r>
      <w:r>
        <w:tab/>
      </w:r>
      <w:r>
        <w:tab/>
      </w:r>
      <w:r>
        <w:tab/>
      </w:r>
      <w:r>
        <w:tab/>
      </w:r>
      <w:r>
        <w:tab/>
      </w:r>
      <w:r>
        <w:tab/>
      </w:r>
      <w:r>
        <w:tab/>
      </w:r>
      <w:r>
        <w:tab/>
      </w:r>
      <w:r>
        <w:tab/>
        <w:t xml:space="preserve">П.С. </w:t>
      </w:r>
      <w:proofErr w:type="spellStart"/>
      <w:r>
        <w:t>Луцюк</w:t>
      </w:r>
      <w:proofErr w:type="spellEnd"/>
    </w:p>
    <w:p w:rsidR="005243DD" w:rsidRDefault="005243DD" w:rsidP="005243DD">
      <w:pPr>
        <w:pStyle w:val="2"/>
        <w:shd w:val="clear" w:color="auto" w:fill="auto"/>
        <w:spacing w:before="0" w:after="287" w:line="270" w:lineRule="exact"/>
        <w:ind w:left="-3828"/>
        <w:jc w:val="left"/>
      </w:pPr>
      <w:r>
        <w:tab/>
      </w:r>
      <w:r>
        <w:tab/>
      </w:r>
      <w:r>
        <w:tab/>
      </w:r>
      <w:r>
        <w:tab/>
      </w:r>
      <w:r>
        <w:tab/>
      </w:r>
      <w:r>
        <w:tab/>
      </w:r>
      <w:r>
        <w:tab/>
      </w:r>
      <w:r>
        <w:tab/>
      </w:r>
      <w:r>
        <w:tab/>
      </w:r>
      <w:r>
        <w:tab/>
      </w:r>
      <w:r>
        <w:tab/>
        <w:t xml:space="preserve">М.А. </w:t>
      </w:r>
      <w:proofErr w:type="spellStart"/>
      <w:r>
        <w:t>Макарчук</w:t>
      </w:r>
      <w:proofErr w:type="spellEnd"/>
    </w:p>
    <w:p w:rsidR="005243DD" w:rsidRDefault="005243DD" w:rsidP="005243DD">
      <w:pPr>
        <w:pStyle w:val="2"/>
        <w:shd w:val="clear" w:color="auto" w:fill="auto"/>
        <w:spacing w:before="0" w:after="287" w:line="270" w:lineRule="exact"/>
        <w:ind w:left="-3828"/>
        <w:jc w:val="left"/>
      </w:pPr>
      <w:r>
        <w:tab/>
      </w:r>
      <w:r>
        <w:tab/>
      </w:r>
      <w:r>
        <w:tab/>
      </w:r>
      <w:r>
        <w:tab/>
      </w:r>
      <w:r>
        <w:tab/>
      </w:r>
      <w:r>
        <w:tab/>
      </w:r>
      <w:r>
        <w:tab/>
      </w:r>
      <w:r>
        <w:tab/>
      </w:r>
      <w:r>
        <w:tab/>
      </w:r>
      <w:r>
        <w:tab/>
      </w:r>
      <w:r>
        <w:tab/>
        <w:t xml:space="preserve">М.І. </w:t>
      </w:r>
      <w:proofErr w:type="spellStart"/>
      <w:r>
        <w:t>Мішин</w:t>
      </w:r>
      <w:proofErr w:type="spellEnd"/>
    </w:p>
    <w:p w:rsidR="005243DD" w:rsidRDefault="005243DD" w:rsidP="005243DD">
      <w:pPr>
        <w:pStyle w:val="2"/>
        <w:shd w:val="clear" w:color="auto" w:fill="auto"/>
        <w:spacing w:before="0" w:after="287" w:line="270" w:lineRule="exact"/>
        <w:ind w:left="-3828"/>
        <w:jc w:val="left"/>
      </w:pPr>
      <w:r>
        <w:tab/>
      </w:r>
      <w:r>
        <w:tab/>
      </w:r>
      <w:r>
        <w:tab/>
      </w:r>
      <w:r>
        <w:tab/>
      </w:r>
      <w:r>
        <w:tab/>
      </w:r>
      <w:r>
        <w:tab/>
      </w:r>
      <w:r>
        <w:tab/>
      </w:r>
      <w:r>
        <w:tab/>
      </w:r>
      <w:r>
        <w:tab/>
      </w:r>
      <w:r>
        <w:tab/>
      </w:r>
      <w:r>
        <w:tab/>
        <w:t xml:space="preserve">Ю.Г. </w:t>
      </w:r>
      <w:proofErr w:type="spellStart"/>
      <w:r>
        <w:t>Тітов</w:t>
      </w:r>
      <w:proofErr w:type="spellEnd"/>
    </w:p>
    <w:p w:rsidR="005243DD" w:rsidRDefault="005243DD" w:rsidP="005243DD">
      <w:pPr>
        <w:pStyle w:val="2"/>
        <w:shd w:val="clear" w:color="auto" w:fill="auto"/>
        <w:spacing w:before="0" w:after="287" w:line="270" w:lineRule="exact"/>
        <w:ind w:left="-3828"/>
        <w:jc w:val="left"/>
      </w:pPr>
      <w:r>
        <w:tab/>
      </w:r>
      <w:r>
        <w:tab/>
      </w:r>
      <w:r>
        <w:tab/>
      </w:r>
      <w:r>
        <w:tab/>
      </w:r>
      <w:r>
        <w:tab/>
      </w:r>
      <w:r>
        <w:tab/>
      </w:r>
      <w:r>
        <w:tab/>
      </w:r>
      <w:r>
        <w:tab/>
      </w:r>
      <w:r>
        <w:tab/>
      </w:r>
      <w:r>
        <w:tab/>
      </w:r>
      <w:r>
        <w:tab/>
        <w:t>Т.С. Шилова</w:t>
      </w:r>
    </w:p>
    <w:sectPr w:rsidR="005243DD">
      <w:type w:val="continuous"/>
      <w:pgSz w:w="11909" w:h="16838"/>
      <w:pgMar w:top="1998" w:right="1380" w:bottom="1398" w:left="50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93E" w:rsidRDefault="00AD293E">
      <w:r>
        <w:separator/>
      </w:r>
    </w:p>
  </w:endnote>
  <w:endnote w:type="continuationSeparator" w:id="0">
    <w:p w:rsidR="00AD293E" w:rsidRDefault="00AD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93E" w:rsidRDefault="00AD293E"/>
  </w:footnote>
  <w:footnote w:type="continuationSeparator" w:id="0">
    <w:p w:rsidR="00AD293E" w:rsidRDefault="00AD293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05CF8"/>
    <w:multiLevelType w:val="multilevel"/>
    <w:tmpl w:val="E34696B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9B2D89"/>
    <w:multiLevelType w:val="hybridMultilevel"/>
    <w:tmpl w:val="65C6D8DE"/>
    <w:lvl w:ilvl="0" w:tplc="13B2FD1A">
      <w:start w:val="2"/>
      <w:numFmt w:val="decimalZero"/>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6365F"/>
    <w:rsid w:val="000269A8"/>
    <w:rsid w:val="002734A6"/>
    <w:rsid w:val="0036365F"/>
    <w:rsid w:val="005243DD"/>
    <w:rsid w:val="0081675D"/>
    <w:rsid w:val="00AD293E"/>
    <w:rsid w:val="00C72A56"/>
    <w:rsid w:val="00D912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5"/>
      <w:w w:val="100"/>
      <w:position w:val="0"/>
      <w:sz w:val="26"/>
      <w:szCs w:val="26"/>
      <w:u w:val="singl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5"/>
      <w:w w:val="100"/>
      <w:position w:val="0"/>
      <w:sz w:val="26"/>
      <w:szCs w:val="26"/>
      <w:u w:val="single"/>
      <w:lang w:val="uk-UA"/>
    </w:rPr>
  </w:style>
  <w:style w:type="character" w:customStyle="1" w:styleId="3Exact">
    <w:name w:val="Основной текст (3) Exact"/>
    <w:basedOn w:val="a0"/>
    <w:link w:val="3"/>
    <w:rPr>
      <w:rFonts w:ascii="Microsoft Sans Serif" w:eastAsia="Microsoft Sans Serif" w:hAnsi="Microsoft Sans Serif" w:cs="Microsoft Sans Serif"/>
      <w:b w:val="0"/>
      <w:bCs w:val="0"/>
      <w:i w:val="0"/>
      <w:iCs w:val="0"/>
      <w:smallCaps w:val="0"/>
      <w:strike w:val="0"/>
      <w:spacing w:val="14"/>
      <w:sz w:val="8"/>
      <w:szCs w:val="8"/>
      <w:u w:val="none"/>
    </w:rPr>
  </w:style>
  <w:style w:type="character" w:customStyle="1" w:styleId="3Exact0">
    <w:name w:val="Основной текст (3) Exact"/>
    <w:basedOn w:val="3Exact"/>
    <w:rPr>
      <w:rFonts w:ascii="Microsoft Sans Serif" w:eastAsia="Microsoft Sans Serif" w:hAnsi="Microsoft Sans Serif" w:cs="Microsoft Sans Serif"/>
      <w:b w:val="0"/>
      <w:bCs w:val="0"/>
      <w:i w:val="0"/>
      <w:iCs w:val="0"/>
      <w:smallCaps w:val="0"/>
      <w:strike w:val="0"/>
      <w:color w:val="000000"/>
      <w:spacing w:val="14"/>
      <w:w w:val="100"/>
      <w:position w:val="0"/>
      <w:sz w:val="8"/>
      <w:szCs w:val="8"/>
      <w:u w:val="single"/>
      <w:lang w:val="uk-UA"/>
    </w:rPr>
  </w:style>
  <w:style w:type="paragraph" w:customStyle="1" w:styleId="2">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3"/>
      <w:szCs w:val="23"/>
    </w:rPr>
  </w:style>
  <w:style w:type="paragraph" w:customStyle="1" w:styleId="3">
    <w:name w:val="Основной текст (3)"/>
    <w:basedOn w:val="a"/>
    <w:link w:val="3Exact"/>
    <w:pPr>
      <w:shd w:val="clear" w:color="auto" w:fill="FFFFFF"/>
      <w:spacing w:after="300" w:line="0" w:lineRule="atLeast"/>
    </w:pPr>
    <w:rPr>
      <w:rFonts w:ascii="Microsoft Sans Serif" w:eastAsia="Microsoft Sans Serif" w:hAnsi="Microsoft Sans Serif" w:cs="Microsoft Sans Serif"/>
      <w:spacing w:val="14"/>
      <w:sz w:val="8"/>
      <w:szCs w:val="8"/>
    </w:rPr>
  </w:style>
  <w:style w:type="paragraph" w:styleId="aa">
    <w:name w:val="header"/>
    <w:basedOn w:val="a"/>
    <w:link w:val="ab"/>
    <w:uiPriority w:val="99"/>
    <w:unhideWhenUsed/>
    <w:rsid w:val="002734A6"/>
    <w:pPr>
      <w:tabs>
        <w:tab w:val="center" w:pos="4677"/>
        <w:tab w:val="right" w:pos="9355"/>
      </w:tabs>
    </w:pPr>
  </w:style>
  <w:style w:type="character" w:customStyle="1" w:styleId="ab">
    <w:name w:val="Верхний колонтитул Знак"/>
    <w:basedOn w:val="a0"/>
    <w:link w:val="aa"/>
    <w:uiPriority w:val="99"/>
    <w:rsid w:val="002734A6"/>
    <w:rPr>
      <w:color w:val="000000"/>
    </w:rPr>
  </w:style>
  <w:style w:type="paragraph" w:styleId="ac">
    <w:name w:val="footer"/>
    <w:basedOn w:val="a"/>
    <w:link w:val="ad"/>
    <w:uiPriority w:val="99"/>
    <w:unhideWhenUsed/>
    <w:rsid w:val="002734A6"/>
    <w:pPr>
      <w:tabs>
        <w:tab w:val="center" w:pos="4677"/>
        <w:tab w:val="right" w:pos="9355"/>
      </w:tabs>
    </w:pPr>
  </w:style>
  <w:style w:type="character" w:customStyle="1" w:styleId="ad">
    <w:name w:val="Нижний колонтитул Знак"/>
    <w:basedOn w:val="a0"/>
    <w:link w:val="ac"/>
    <w:uiPriority w:val="99"/>
    <w:rsid w:val="002734A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6481</Words>
  <Characters>3695</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Ліпінська Марія Володимирівна</cp:lastModifiedBy>
  <cp:revision>3</cp:revision>
  <dcterms:created xsi:type="dcterms:W3CDTF">2020-09-09T07:25:00Z</dcterms:created>
  <dcterms:modified xsi:type="dcterms:W3CDTF">2020-09-10T05:36:00Z</dcterms:modified>
</cp:coreProperties>
</file>