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FE586F">
        <w:rPr>
          <w:rFonts w:ascii="Times New Roman" w:eastAsia="Times New Roman" w:hAnsi="Times New Roman"/>
          <w:sz w:val="25"/>
          <w:szCs w:val="25"/>
          <w:lang w:eastAsia="ru-RU"/>
        </w:rPr>
        <w:t>2</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D51314">
        <w:rPr>
          <w:rFonts w:ascii="Times New Roman" w:eastAsia="Times New Roman" w:hAnsi="Times New Roman"/>
          <w:bCs/>
          <w:sz w:val="26"/>
          <w:szCs w:val="26"/>
          <w:u w:val="single"/>
          <w:lang w:eastAsia="ru-RU"/>
        </w:rPr>
        <w:t>8</w:t>
      </w:r>
      <w:r w:rsidR="00FE586F">
        <w:rPr>
          <w:rFonts w:ascii="Times New Roman" w:eastAsia="Times New Roman" w:hAnsi="Times New Roman"/>
          <w:bCs/>
          <w:sz w:val="26"/>
          <w:szCs w:val="26"/>
          <w:u w:val="single"/>
          <w:lang w:eastAsia="ru-RU"/>
        </w:rPr>
        <w:t>0</w:t>
      </w:r>
      <w:r w:rsidR="0067535E">
        <w:rPr>
          <w:rFonts w:ascii="Times New Roman" w:eastAsia="Times New Roman" w:hAnsi="Times New Roman"/>
          <w:bCs/>
          <w:sz w:val="26"/>
          <w:szCs w:val="26"/>
          <w:u w:val="single"/>
          <w:lang w:eastAsia="ru-RU"/>
        </w:rPr>
        <w:t>/</w:t>
      </w:r>
      <w:r w:rsidR="00FE586F">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AF26F4" w:rsidRPr="00460218" w:rsidRDefault="00AF26F4" w:rsidP="00460218">
      <w:pPr>
        <w:widowControl w:val="0"/>
        <w:spacing w:after="0" w:line="240" w:lineRule="auto"/>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460218" w:rsidRPr="00AF26F4" w:rsidRDefault="00460218" w:rsidP="00460218">
      <w:pPr>
        <w:widowControl w:val="0"/>
        <w:spacing w:after="0" w:line="240" w:lineRule="auto"/>
        <w:jc w:val="both"/>
        <w:rPr>
          <w:rFonts w:ascii="Times New Roman" w:eastAsia="Times New Roman" w:hAnsi="Times New Roman"/>
          <w:color w:val="000000"/>
          <w:sz w:val="24"/>
          <w:szCs w:val="24"/>
          <w:lang w:eastAsia="uk-UA"/>
        </w:rPr>
      </w:pPr>
    </w:p>
    <w:p w:rsidR="00AF26F4" w:rsidRPr="00460218" w:rsidRDefault="00AF26F4" w:rsidP="00460218">
      <w:pPr>
        <w:widowControl w:val="0"/>
        <w:spacing w:after="0" w:line="240" w:lineRule="auto"/>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головуючого - Гладія С.В.,</w:t>
      </w:r>
    </w:p>
    <w:p w:rsidR="00460218" w:rsidRPr="00AF26F4" w:rsidRDefault="00460218" w:rsidP="00460218">
      <w:pPr>
        <w:widowControl w:val="0"/>
        <w:spacing w:after="0" w:line="240" w:lineRule="auto"/>
        <w:jc w:val="both"/>
        <w:rPr>
          <w:rFonts w:ascii="Times New Roman" w:eastAsia="Times New Roman" w:hAnsi="Times New Roman"/>
          <w:color w:val="000000"/>
          <w:sz w:val="24"/>
          <w:szCs w:val="24"/>
          <w:lang w:eastAsia="uk-UA"/>
        </w:rPr>
      </w:pPr>
    </w:p>
    <w:p w:rsidR="00AF26F4" w:rsidRPr="00460218" w:rsidRDefault="00AF26F4" w:rsidP="00460218">
      <w:pPr>
        <w:widowControl w:val="0"/>
        <w:spacing w:after="0" w:line="240" w:lineRule="auto"/>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членів Комісії: </w:t>
      </w:r>
      <w:proofErr w:type="spellStart"/>
      <w:r w:rsidRPr="00460218">
        <w:rPr>
          <w:rFonts w:ascii="Times New Roman" w:eastAsia="Times New Roman" w:hAnsi="Times New Roman"/>
          <w:color w:val="000000"/>
          <w:sz w:val="24"/>
          <w:szCs w:val="24"/>
          <w:lang w:eastAsia="uk-UA"/>
        </w:rPr>
        <w:t>Весельської</w:t>
      </w:r>
      <w:proofErr w:type="spellEnd"/>
      <w:r w:rsidRPr="00460218">
        <w:rPr>
          <w:rFonts w:ascii="Times New Roman" w:eastAsia="Times New Roman" w:hAnsi="Times New Roman"/>
          <w:color w:val="000000"/>
          <w:sz w:val="24"/>
          <w:szCs w:val="24"/>
          <w:lang w:eastAsia="uk-UA"/>
        </w:rPr>
        <w:t xml:space="preserve"> Т.Ф., Лукаша Т.В.,</w:t>
      </w:r>
    </w:p>
    <w:p w:rsidR="00460218" w:rsidRPr="00AF26F4" w:rsidRDefault="00460218" w:rsidP="00460218">
      <w:pPr>
        <w:widowControl w:val="0"/>
        <w:spacing w:after="0" w:line="240" w:lineRule="auto"/>
        <w:jc w:val="both"/>
        <w:rPr>
          <w:rFonts w:ascii="Times New Roman" w:eastAsia="Times New Roman" w:hAnsi="Times New Roman"/>
          <w:color w:val="000000"/>
          <w:sz w:val="24"/>
          <w:szCs w:val="24"/>
          <w:lang w:eastAsia="uk-UA"/>
        </w:rPr>
      </w:pPr>
    </w:p>
    <w:p w:rsidR="00AF26F4" w:rsidRPr="00460218" w:rsidRDefault="00AF26F4" w:rsidP="00460218">
      <w:pPr>
        <w:widowControl w:val="0"/>
        <w:spacing w:after="0" w:line="240" w:lineRule="auto"/>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розглянувши питання щодо встановлення відповідності Писаренка Костянтина Юхимовича вимогам до кандидата на посаду судді Вищого антикорупційного суду та допуску його до кваліфікаційного оцінювання у межах конкурсу, оголошеного Комісією 02 серпня 2018 року,</w:t>
      </w:r>
    </w:p>
    <w:p w:rsidR="00460218" w:rsidRPr="00AF26F4" w:rsidRDefault="00460218" w:rsidP="00460218">
      <w:pPr>
        <w:widowControl w:val="0"/>
        <w:spacing w:after="0" w:line="240" w:lineRule="auto"/>
        <w:jc w:val="both"/>
        <w:rPr>
          <w:rFonts w:ascii="Times New Roman" w:eastAsia="Times New Roman" w:hAnsi="Times New Roman"/>
          <w:color w:val="000000"/>
          <w:sz w:val="24"/>
          <w:szCs w:val="24"/>
          <w:lang w:eastAsia="uk-UA"/>
        </w:rPr>
      </w:pPr>
    </w:p>
    <w:p w:rsidR="00AF26F4" w:rsidRPr="00460218" w:rsidRDefault="00AF26F4" w:rsidP="00460218">
      <w:pPr>
        <w:widowControl w:val="0"/>
        <w:spacing w:after="0" w:line="240" w:lineRule="auto"/>
        <w:jc w:val="center"/>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встановила:</w:t>
      </w:r>
    </w:p>
    <w:p w:rsidR="00460218" w:rsidRPr="00AF26F4" w:rsidRDefault="00460218" w:rsidP="00460218">
      <w:pPr>
        <w:widowControl w:val="0"/>
        <w:spacing w:after="0" w:line="240" w:lineRule="auto"/>
        <w:jc w:val="center"/>
        <w:rPr>
          <w:rFonts w:ascii="Times New Roman" w:eastAsia="Times New Roman" w:hAnsi="Times New Roman"/>
          <w:color w:val="000000"/>
          <w:sz w:val="24"/>
          <w:szCs w:val="24"/>
          <w:lang w:eastAsia="uk-UA"/>
        </w:rPr>
      </w:pPr>
    </w:p>
    <w:p w:rsidR="00AF26F4" w:rsidRPr="00AF26F4" w:rsidRDefault="00AF26F4" w:rsidP="002D38E1">
      <w:pPr>
        <w:widowControl w:val="0"/>
        <w:spacing w:after="0" w:line="240" w:lineRule="auto"/>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Верховною Радою України 07 червня 2018 року прийнято Закон України «Про Вищий антикорупційний суд» № 2447-</w:t>
      </w:r>
      <w:r w:rsidR="00460218">
        <w:rPr>
          <w:rFonts w:ascii="Times New Roman" w:eastAsia="Times New Roman" w:hAnsi="Times New Roman"/>
          <w:color w:val="000000"/>
          <w:sz w:val="24"/>
          <w:szCs w:val="24"/>
          <w:lang w:val="en-US" w:eastAsia="uk-UA"/>
        </w:rPr>
        <w:t>VIII</w:t>
      </w:r>
      <w:r w:rsidRPr="00460218">
        <w:rPr>
          <w:rFonts w:ascii="Times New Roman" w:eastAsia="Times New Roman" w:hAnsi="Times New Roman"/>
          <w:color w:val="000000"/>
          <w:sz w:val="24"/>
          <w:szCs w:val="24"/>
          <w:lang w:eastAsia="uk-UA"/>
        </w:rPr>
        <w:t>, який визначає засади організації та діяльності Вищого антикорупційного</w:t>
      </w:r>
      <w:r w:rsidR="006D08A6">
        <w:rPr>
          <w:rFonts w:ascii="Times New Roman" w:eastAsia="Times New Roman" w:hAnsi="Times New Roman"/>
          <w:color w:val="000000"/>
          <w:sz w:val="24"/>
          <w:szCs w:val="24"/>
          <w:lang w:eastAsia="uk-UA"/>
        </w:rPr>
        <w:t xml:space="preserve"> суду, спеціальні вимоги до суд</w:t>
      </w:r>
      <w:r w:rsidRPr="00460218">
        <w:rPr>
          <w:rFonts w:ascii="Times New Roman" w:eastAsia="Times New Roman" w:hAnsi="Times New Roman"/>
          <w:color w:val="000000"/>
          <w:sz w:val="24"/>
          <w:szCs w:val="24"/>
          <w:lang w:eastAsia="uk-UA"/>
        </w:rPr>
        <w:t>дів цього суду та гарантії їх діяльності.</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w:t>
      </w:r>
      <w:r w:rsidR="00581EB4">
        <w:rPr>
          <w:rFonts w:ascii="Times New Roman" w:eastAsia="Times New Roman" w:hAnsi="Times New Roman"/>
          <w:color w:val="000000"/>
          <w:sz w:val="24"/>
          <w:szCs w:val="24"/>
          <w:lang w:eastAsia="uk-UA"/>
        </w:rPr>
        <w:t> </w:t>
      </w:r>
      <w:r w:rsidRPr="00460218">
        <w:rPr>
          <w:rFonts w:ascii="Times New Roman" w:eastAsia="Times New Roman" w:hAnsi="Times New Roman"/>
          <w:color w:val="000000"/>
          <w:sz w:val="24"/>
          <w:szCs w:val="24"/>
          <w:lang w:eastAsia="uk-UA"/>
        </w:rPr>
        <w:t>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w:t>
      </w:r>
      <w:r w:rsidR="00581EB4">
        <w:rPr>
          <w:rFonts w:ascii="Times New Roman" w:eastAsia="Times New Roman" w:hAnsi="Times New Roman"/>
          <w:color w:val="000000"/>
          <w:sz w:val="24"/>
          <w:szCs w:val="24"/>
          <w:lang w:eastAsia="uk-UA"/>
        </w:rPr>
        <w:t> </w:t>
      </w:r>
      <w:r w:rsidRPr="00460218">
        <w:rPr>
          <w:rFonts w:ascii="Times New Roman" w:eastAsia="Times New Roman" w:hAnsi="Times New Roman"/>
          <w:color w:val="000000"/>
          <w:sz w:val="24"/>
          <w:szCs w:val="24"/>
          <w:lang w:eastAsia="uk-UA"/>
        </w:rPr>
        <w:t>також відповідає одній із вимог, визначених частиною другою статті 33 Закону.</w:t>
      </w:r>
    </w:p>
    <w:p w:rsidR="00BB009F" w:rsidRDefault="00AF26F4" w:rsidP="002D38E1">
      <w:pPr>
        <w:widowControl w:val="0"/>
        <w:tabs>
          <w:tab w:val="left" w:pos="0"/>
        </w:tabs>
        <w:spacing w:after="0" w:line="240" w:lineRule="auto"/>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З метою допуску до проходження кваліфікаційного оцін</w:t>
      </w:r>
      <w:r w:rsidR="00460218">
        <w:rPr>
          <w:rFonts w:ascii="Times New Roman" w:eastAsia="Times New Roman" w:hAnsi="Times New Roman"/>
          <w:color w:val="000000"/>
          <w:sz w:val="24"/>
          <w:szCs w:val="24"/>
          <w:lang w:eastAsia="uk-UA"/>
        </w:rPr>
        <w:t xml:space="preserve">ювання для участі у конкурсі на </w:t>
      </w:r>
      <w:r w:rsidRPr="00460218">
        <w:rPr>
          <w:rFonts w:ascii="Times New Roman" w:eastAsia="Times New Roman" w:hAnsi="Times New Roman"/>
          <w:color w:val="000000"/>
          <w:sz w:val="24"/>
          <w:szCs w:val="24"/>
          <w:lang w:eastAsia="uk-UA"/>
        </w:rPr>
        <w:t>посаду судді вищого спеціалізованого суду за спеціальною процедурою кандидат на</w:t>
      </w:r>
    </w:p>
    <w:p w:rsidR="00BB009F" w:rsidRDefault="00BB009F" w:rsidP="002D38E1">
      <w:pPr>
        <w:ind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br w:type="page"/>
      </w:r>
    </w:p>
    <w:p w:rsidR="00AF26F4" w:rsidRPr="00AF26F4" w:rsidRDefault="00AF26F4" w:rsidP="00581EB4">
      <w:pPr>
        <w:widowControl w:val="0"/>
        <w:tabs>
          <w:tab w:val="left" w:pos="0"/>
        </w:tabs>
        <w:spacing w:after="0" w:line="240" w:lineRule="auto"/>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lastRenderedPageBreak/>
        <w:t>посаду судді подає до Комісії документи, передбачені частиною четвертою статті 81 Закону.</w:t>
      </w:r>
    </w:p>
    <w:p w:rsidR="00AF26F4" w:rsidRPr="00AF26F4" w:rsidRDefault="00AF26F4" w:rsidP="002D38E1">
      <w:pPr>
        <w:widowControl w:val="0"/>
        <w:tabs>
          <w:tab w:val="left" w:pos="0"/>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Окрім того, відповідно до частини третьої статті 8 Закону України «Про Вищий антикорупційний суд» від 07 червня 2018 року № 2447-VIII кандидат на посаду судді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Комісія відповідно до пункту 1 частини п’ятої статті 81 Закону 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установленим статтею 7 Закону України «Про Вищий антикорупційний суд» вимогам до кандидата на посаду судді Вищого антикорупційного суду. Крім того, передбачено строк подання документів для участі у конкурсі — </w:t>
      </w:r>
      <w:r w:rsidR="00D02927">
        <w:rPr>
          <w:rFonts w:ascii="Times New Roman" w:eastAsia="Times New Roman" w:hAnsi="Times New Roman"/>
          <w:color w:val="000000"/>
          <w:sz w:val="24"/>
          <w:szCs w:val="24"/>
          <w:lang w:eastAsia="uk-UA"/>
        </w:rPr>
        <w:br/>
      </w:r>
      <w:r w:rsidRPr="00460218">
        <w:rPr>
          <w:rFonts w:ascii="Times New Roman" w:eastAsia="Times New Roman" w:hAnsi="Times New Roman"/>
          <w:color w:val="000000"/>
          <w:sz w:val="24"/>
          <w:szCs w:val="24"/>
          <w:lang w:eastAsia="uk-UA"/>
        </w:rPr>
        <w:t>38 календарних днів - з 08 серпня по 14 вересня 2018 року включно (пункти 3,4 Умов).</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До Комісії у встановлений Умовами строк для участі у конкурсі на зайняття вакантної посади судді Вищого антикорупційного суду подав документи Писаренко Костянтин Юхимович.</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У письмовій заяві кандидат зазначив, що бажає проходити кваліфікаційне оцінювання як особа, яка відповідає вимогам пункту 3 частини другої статті 7 Закону України «Про Вищий антикорупційний суд».</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Відповідно до вимог пункту 3 частини другої статті 7 Закону України «Про антикорупційний суд» на посаду </w:t>
      </w:r>
      <w:r w:rsidR="003B540D">
        <w:rPr>
          <w:rFonts w:ascii="Times New Roman" w:eastAsia="Times New Roman" w:hAnsi="Times New Roman"/>
          <w:color w:val="000000"/>
          <w:sz w:val="24"/>
          <w:szCs w:val="24"/>
          <w:lang w:eastAsia="uk-UA"/>
        </w:rPr>
        <w:t>судд</w:t>
      </w:r>
      <w:r w:rsidRPr="00460218">
        <w:rPr>
          <w:rFonts w:ascii="Times New Roman" w:eastAsia="Times New Roman" w:hAnsi="Times New Roman"/>
          <w:color w:val="000000"/>
          <w:sz w:val="24"/>
          <w:szCs w:val="24"/>
          <w:lang w:eastAsia="uk-UA"/>
        </w:rPr>
        <w:t>і Вищого антикорупційного суду може бути призначений громадянин України, якщо він має досвід професійної діяльності адвоката, у томі числі щодо здійснення представництва в суді та/або захисту від кримінального обвинувачення щонайменше 7 років.</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Вирішуючи питання про наявність у кандидата семирічного досвіду професійної діяльності адвоката, комісія керується Законом України «Про адвокатуру і адвокатську діяльність».</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Так, згідно з пунктом 2 частини першої статті 1 Закону України «Про адвокатуру і адвокатську діяльність» адвокатська діяльність - незалежна професійна діяльність адвоката щодо здійснення захисту, представництва та надання інших видів правової допомоги </w:t>
      </w:r>
      <w:r w:rsidR="00BB009F">
        <w:rPr>
          <w:rFonts w:ascii="Times New Roman" w:eastAsia="Times New Roman" w:hAnsi="Times New Roman"/>
          <w:color w:val="000000"/>
          <w:sz w:val="24"/>
          <w:szCs w:val="24"/>
          <w:lang w:eastAsia="uk-UA"/>
        </w:rPr>
        <w:br/>
      </w:r>
      <w:r w:rsidRPr="00460218">
        <w:rPr>
          <w:rFonts w:ascii="Times New Roman" w:eastAsia="Times New Roman" w:hAnsi="Times New Roman"/>
          <w:color w:val="000000"/>
          <w:sz w:val="24"/>
          <w:szCs w:val="24"/>
          <w:lang w:eastAsia="uk-UA"/>
        </w:rPr>
        <w:t>клієнту.</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Частиною третьою статті 4 цього ж Закону передбачено, що адвокат може здійснювати адвокатську діяльність індивідуально або в організаційно-правових формах адвокатського бюро чи адвокатського об’єднання (організаційні форми адвокатської діяльності).</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Згідно з частиною першою статті 13 цього Закону адвокат, який здійснює адвокатську діяльність індивідуально, є </w:t>
      </w:r>
      <w:proofErr w:type="spellStart"/>
      <w:r w:rsidRPr="00460218">
        <w:rPr>
          <w:rFonts w:ascii="Times New Roman" w:eastAsia="Times New Roman" w:hAnsi="Times New Roman"/>
          <w:color w:val="000000"/>
          <w:sz w:val="24"/>
          <w:szCs w:val="24"/>
          <w:lang w:eastAsia="uk-UA"/>
        </w:rPr>
        <w:t>самозайнятою</w:t>
      </w:r>
      <w:proofErr w:type="spellEnd"/>
      <w:r w:rsidRPr="00460218">
        <w:rPr>
          <w:rFonts w:ascii="Times New Roman" w:eastAsia="Times New Roman" w:hAnsi="Times New Roman"/>
          <w:color w:val="000000"/>
          <w:sz w:val="24"/>
          <w:szCs w:val="24"/>
          <w:lang w:eastAsia="uk-UA"/>
        </w:rPr>
        <w:t xml:space="preserve"> особою.</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Підпунктом 14.1.226 пункту 14.1 статті 14 Податкового кодексу України встановлено, що </w:t>
      </w:r>
      <w:proofErr w:type="spellStart"/>
      <w:r w:rsidRPr="00460218">
        <w:rPr>
          <w:rFonts w:ascii="Times New Roman" w:eastAsia="Times New Roman" w:hAnsi="Times New Roman"/>
          <w:color w:val="000000"/>
          <w:sz w:val="24"/>
          <w:szCs w:val="24"/>
          <w:lang w:eastAsia="uk-UA"/>
        </w:rPr>
        <w:t>самозайнята</w:t>
      </w:r>
      <w:proofErr w:type="spellEnd"/>
      <w:r w:rsidRPr="00460218">
        <w:rPr>
          <w:rFonts w:ascii="Times New Roman" w:eastAsia="Times New Roman" w:hAnsi="Times New Roman"/>
          <w:color w:val="000000"/>
          <w:sz w:val="24"/>
          <w:szCs w:val="24"/>
          <w:lang w:eastAsia="uk-UA"/>
        </w:rPr>
        <w:t xml:space="preserve"> особа - це платник податку, який є фізичною особою-підприємцем або провадить незалежну професійну діяльність за умови, що така особа не є працівником в межах такої підприємницької чи незалежної професійної діяльності.</w:t>
      </w:r>
    </w:p>
    <w:p w:rsidR="00BB009F"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Із поданих кандидатом документів вбачається, що Писаренко К.Ю. отримав свідоцтво про право на заняття адвокатською діяльністю 07 липня 2010 року. Згідно з трудовою книжкою з 01 вересня 2008 року по 12 вересня 2011 року перебував на посаді директора Приватного підприємства «Юридична фірма «Писаренко і партнери». З 14 вересня 2011 року по 03 травня 2012 року був помічником-консультантом народного депутата України </w:t>
      </w:r>
      <w:proofErr w:type="spellStart"/>
      <w:r w:rsidRPr="00460218">
        <w:rPr>
          <w:rFonts w:ascii="Times New Roman" w:eastAsia="Times New Roman" w:hAnsi="Times New Roman"/>
          <w:color w:val="000000"/>
          <w:sz w:val="24"/>
          <w:szCs w:val="24"/>
          <w:lang w:eastAsia="uk-UA"/>
        </w:rPr>
        <w:t>Полянчича</w:t>
      </w:r>
      <w:proofErr w:type="spellEnd"/>
      <w:r w:rsidRPr="00460218">
        <w:rPr>
          <w:rFonts w:ascii="Times New Roman" w:eastAsia="Times New Roman" w:hAnsi="Times New Roman"/>
          <w:color w:val="000000"/>
          <w:sz w:val="24"/>
          <w:szCs w:val="24"/>
          <w:lang w:eastAsia="uk-UA"/>
        </w:rPr>
        <w:t xml:space="preserve"> М.М. Згідно з витягом з Єдиного реєстру адвокатів України від 13 вересня 2018</w:t>
      </w:r>
      <w:r w:rsidR="0056338C">
        <w:rPr>
          <w:rFonts w:ascii="Times New Roman" w:eastAsia="Times New Roman" w:hAnsi="Times New Roman"/>
          <w:color w:val="000000"/>
          <w:sz w:val="24"/>
          <w:szCs w:val="24"/>
          <w:lang w:eastAsia="uk-UA"/>
        </w:rPr>
        <w:t> </w:t>
      </w:r>
      <w:r w:rsidRPr="00460218">
        <w:rPr>
          <w:rFonts w:ascii="Times New Roman" w:eastAsia="Times New Roman" w:hAnsi="Times New Roman"/>
          <w:color w:val="000000"/>
          <w:sz w:val="24"/>
          <w:szCs w:val="24"/>
          <w:lang w:eastAsia="uk-UA"/>
        </w:rPr>
        <w:t>року з 07 липня 2010 року дотепер Писаренко К.Ю. займається індивідуальною адвокатською діяльністю.</w:t>
      </w:r>
    </w:p>
    <w:p w:rsidR="00AF26F4" w:rsidRDefault="00BB009F" w:rsidP="0056338C">
      <w:pPr>
        <w:ind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br w:type="page"/>
      </w:r>
    </w:p>
    <w:p w:rsidR="00AF26F4" w:rsidRPr="00AF26F4" w:rsidRDefault="00AF26F4" w:rsidP="0056338C">
      <w:pPr>
        <w:widowControl w:val="0"/>
        <w:spacing w:after="0" w:line="293"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lastRenderedPageBreak/>
        <w:t>На підтвердження досвіду професійної діяльності адвоката, в тому числі щодо здійснення представництва в суді та/або захисту від кримінального обвинувачення</w:t>
      </w:r>
      <w:r w:rsidR="00BB009F">
        <w:rPr>
          <w:rFonts w:ascii="Times New Roman" w:eastAsia="Times New Roman" w:hAnsi="Times New Roman"/>
          <w:color w:val="000000"/>
          <w:sz w:val="24"/>
          <w:szCs w:val="24"/>
          <w:lang w:eastAsia="uk-UA"/>
        </w:rPr>
        <w:t xml:space="preserve"> </w:t>
      </w:r>
      <w:r w:rsidRPr="00460218">
        <w:rPr>
          <w:rFonts w:ascii="Times New Roman" w:eastAsia="Times New Roman" w:hAnsi="Times New Roman"/>
          <w:color w:val="000000"/>
          <w:sz w:val="24"/>
          <w:szCs w:val="24"/>
          <w:lang w:eastAsia="uk-UA"/>
        </w:rPr>
        <w:t>щонайменше сім років кандидатом додано:</w:t>
      </w:r>
    </w:p>
    <w:p w:rsidR="00AF26F4" w:rsidRPr="00AF26F4" w:rsidRDefault="00AF26F4" w:rsidP="0056338C">
      <w:pPr>
        <w:widowControl w:val="0"/>
        <w:numPr>
          <w:ilvl w:val="0"/>
          <w:numId w:val="2"/>
        </w:numPr>
        <w:tabs>
          <w:tab w:val="left" w:pos="755"/>
        </w:tabs>
        <w:spacing w:after="0" w:line="27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довіреність на представництво інтересів суб’єкта підприємницької діяльності - фізичної особи </w:t>
      </w:r>
      <w:proofErr w:type="spellStart"/>
      <w:r w:rsidRPr="00460218">
        <w:rPr>
          <w:rFonts w:ascii="Times New Roman" w:eastAsia="Times New Roman" w:hAnsi="Times New Roman"/>
          <w:color w:val="000000"/>
          <w:sz w:val="24"/>
          <w:szCs w:val="24"/>
          <w:lang w:eastAsia="uk-UA"/>
        </w:rPr>
        <w:t>Кунинець</w:t>
      </w:r>
      <w:proofErr w:type="spellEnd"/>
      <w:r w:rsidRPr="00460218">
        <w:rPr>
          <w:rFonts w:ascii="Times New Roman" w:eastAsia="Times New Roman" w:hAnsi="Times New Roman"/>
          <w:color w:val="000000"/>
          <w:sz w:val="24"/>
          <w:szCs w:val="24"/>
          <w:lang w:eastAsia="uk-UA"/>
        </w:rPr>
        <w:t xml:space="preserve"> М.І. від 21 листопада 2006 року, постанову господарського суду Львівської області від 30 липня 2007 року у справі № 3/385-27/359а, в якій Писаренка К.Ю. зазначено представником позивача;</w:t>
      </w:r>
    </w:p>
    <w:p w:rsidR="00AF26F4" w:rsidRPr="00AF26F4" w:rsidRDefault="00AF26F4" w:rsidP="0056338C">
      <w:pPr>
        <w:widowControl w:val="0"/>
        <w:numPr>
          <w:ilvl w:val="0"/>
          <w:numId w:val="2"/>
        </w:numPr>
        <w:tabs>
          <w:tab w:val="left" w:pos="755"/>
        </w:tabs>
        <w:spacing w:after="0" w:line="27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довіреність на представлення інтересів </w:t>
      </w:r>
      <w:proofErr w:type="spellStart"/>
      <w:r w:rsidRPr="00460218">
        <w:rPr>
          <w:rFonts w:ascii="Times New Roman" w:eastAsia="Times New Roman" w:hAnsi="Times New Roman"/>
          <w:color w:val="000000"/>
          <w:sz w:val="24"/>
          <w:szCs w:val="24"/>
          <w:lang w:eastAsia="uk-UA"/>
        </w:rPr>
        <w:t>Пастернака</w:t>
      </w:r>
      <w:proofErr w:type="spellEnd"/>
      <w:r w:rsidRPr="00460218">
        <w:rPr>
          <w:rFonts w:ascii="Times New Roman" w:eastAsia="Times New Roman" w:hAnsi="Times New Roman"/>
          <w:color w:val="000000"/>
          <w:sz w:val="24"/>
          <w:szCs w:val="24"/>
          <w:lang w:eastAsia="uk-UA"/>
        </w:rPr>
        <w:t xml:space="preserve"> Г.І. від 16 квітня 2008 року, постанову від 26 травня 2008 року у справі № 2а-118/2008, в якій Писаренка К.Ю. зазначено представником позивача;</w:t>
      </w:r>
    </w:p>
    <w:p w:rsidR="00AF26F4" w:rsidRPr="00AF26F4" w:rsidRDefault="00AF26F4" w:rsidP="00F56A1C">
      <w:pPr>
        <w:widowControl w:val="0"/>
        <w:numPr>
          <w:ilvl w:val="0"/>
          <w:numId w:val="2"/>
        </w:numPr>
        <w:tabs>
          <w:tab w:val="left" w:pos="760"/>
        </w:tabs>
        <w:spacing w:after="0" w:line="302"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довіреність на представництво інтересів ТОВ «</w:t>
      </w:r>
      <w:proofErr w:type="spellStart"/>
      <w:r w:rsidRPr="00460218">
        <w:rPr>
          <w:rFonts w:ascii="Times New Roman" w:eastAsia="Times New Roman" w:hAnsi="Times New Roman"/>
          <w:color w:val="000000"/>
          <w:sz w:val="24"/>
          <w:szCs w:val="24"/>
          <w:lang w:eastAsia="uk-UA"/>
        </w:rPr>
        <w:t>Екстрім</w:t>
      </w:r>
      <w:proofErr w:type="spellEnd"/>
      <w:r w:rsidRPr="00460218">
        <w:rPr>
          <w:rFonts w:ascii="Times New Roman" w:eastAsia="Times New Roman" w:hAnsi="Times New Roman"/>
          <w:color w:val="000000"/>
          <w:sz w:val="24"/>
          <w:szCs w:val="24"/>
          <w:lang w:eastAsia="uk-UA"/>
        </w:rPr>
        <w:t xml:space="preserve"> </w:t>
      </w:r>
      <w:proofErr w:type="spellStart"/>
      <w:r w:rsidRPr="00460218">
        <w:rPr>
          <w:rFonts w:ascii="Times New Roman" w:eastAsia="Times New Roman" w:hAnsi="Times New Roman"/>
          <w:color w:val="000000"/>
          <w:sz w:val="24"/>
          <w:szCs w:val="24"/>
          <w:lang w:eastAsia="uk-UA"/>
        </w:rPr>
        <w:t>Вікенд</w:t>
      </w:r>
      <w:proofErr w:type="spellEnd"/>
      <w:r w:rsidRPr="00460218">
        <w:rPr>
          <w:rFonts w:ascii="Times New Roman" w:eastAsia="Times New Roman" w:hAnsi="Times New Roman"/>
          <w:color w:val="000000"/>
          <w:sz w:val="24"/>
          <w:szCs w:val="24"/>
          <w:lang w:eastAsia="uk-UA"/>
        </w:rPr>
        <w:t>» від 24 вересня 2008 року;</w:t>
      </w:r>
    </w:p>
    <w:p w:rsidR="00AF26F4" w:rsidRPr="00AF26F4" w:rsidRDefault="00AF26F4" w:rsidP="00F56A1C">
      <w:pPr>
        <w:widowControl w:val="0"/>
        <w:numPr>
          <w:ilvl w:val="0"/>
          <w:numId w:val="2"/>
        </w:numPr>
        <w:tabs>
          <w:tab w:val="left" w:pos="755"/>
        </w:tabs>
        <w:spacing w:after="0" w:line="269"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рішення</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господарського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суду</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Львівської</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області</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від</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27</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жовтня 2008 року у справі № 3/241, в якому Писаренко К.Ю. зазначено представником позивача;</w:t>
      </w:r>
    </w:p>
    <w:p w:rsidR="00AF26F4" w:rsidRPr="00AF26F4" w:rsidRDefault="00AF26F4" w:rsidP="00F56A1C">
      <w:pPr>
        <w:widowControl w:val="0"/>
        <w:numPr>
          <w:ilvl w:val="0"/>
          <w:numId w:val="2"/>
        </w:numPr>
        <w:tabs>
          <w:tab w:val="left" w:pos="760"/>
        </w:tabs>
        <w:spacing w:after="0" w:line="269"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ухвалу</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Львівського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апеляційного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адміністративного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суду</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від</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10</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листопада</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2008</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року у справі № 22-а-12655/08, в якій Писаренка К.Ю. зазначено представником позивача;</w:t>
      </w:r>
    </w:p>
    <w:p w:rsidR="00AF26F4" w:rsidRPr="00AF26F4" w:rsidRDefault="00AF26F4" w:rsidP="00F56A1C">
      <w:pPr>
        <w:widowControl w:val="0"/>
        <w:numPr>
          <w:ilvl w:val="0"/>
          <w:numId w:val="2"/>
        </w:numPr>
        <w:tabs>
          <w:tab w:val="left" w:pos="760"/>
        </w:tabs>
        <w:spacing w:after="0" w:line="28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договір</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про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надання</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правової</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допомоги № 29/09-10 від 29 вересня 2010 року між Говірко В.І. та адвокатом Писаренком К.Ю.;</w:t>
      </w:r>
    </w:p>
    <w:p w:rsidR="00AF26F4" w:rsidRPr="00AF26F4" w:rsidRDefault="00AF26F4" w:rsidP="00F56A1C">
      <w:pPr>
        <w:widowControl w:val="0"/>
        <w:numPr>
          <w:ilvl w:val="0"/>
          <w:numId w:val="2"/>
        </w:numPr>
        <w:tabs>
          <w:tab w:val="left" w:pos="760"/>
        </w:tabs>
        <w:spacing w:after="0" w:line="28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договір</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про</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надання</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правової</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допомоги</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від</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02</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вересня</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2012</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року</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між</w:t>
      </w:r>
      <w:r w:rsidRPr="00F56A1C">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Сахаровим</w:t>
      </w:r>
      <w:r w:rsidRPr="00F56A1C">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В.О. та адвокатом Писаренком К.Ю.;</w:t>
      </w:r>
    </w:p>
    <w:p w:rsidR="00AF26F4" w:rsidRPr="00AF26F4" w:rsidRDefault="00AF26F4" w:rsidP="005C4022">
      <w:pPr>
        <w:widowControl w:val="0"/>
        <w:numPr>
          <w:ilvl w:val="0"/>
          <w:numId w:val="2"/>
        </w:numPr>
        <w:tabs>
          <w:tab w:val="left" w:pos="755"/>
        </w:tabs>
        <w:spacing w:after="0" w:line="293"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договір</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про</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надання</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правової</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допомоги</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від</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26</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серпня</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2015</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року</w:t>
      </w:r>
      <w:r w:rsidRPr="00F56A1C">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між</w:t>
      </w:r>
      <w:r w:rsidRPr="00F56A1C">
        <w:rPr>
          <w:rFonts w:ascii="Times New Roman" w:eastAsia="Times New Roman" w:hAnsi="Times New Roman"/>
          <w:color w:val="000000"/>
          <w:sz w:val="10"/>
          <w:szCs w:val="10"/>
          <w:lang w:eastAsia="uk-UA"/>
        </w:rPr>
        <w:t xml:space="preserve"> </w:t>
      </w:r>
      <w:proofErr w:type="spellStart"/>
      <w:r w:rsidRPr="00460218">
        <w:rPr>
          <w:rFonts w:ascii="Times New Roman" w:eastAsia="Times New Roman" w:hAnsi="Times New Roman"/>
          <w:color w:val="000000"/>
          <w:sz w:val="24"/>
          <w:szCs w:val="24"/>
          <w:lang w:eastAsia="uk-UA"/>
        </w:rPr>
        <w:t>Пнєвським</w:t>
      </w:r>
      <w:proofErr w:type="spellEnd"/>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О.С. та адвокатом Писаренком К.Ю.;</w:t>
      </w:r>
    </w:p>
    <w:p w:rsidR="00AF26F4" w:rsidRPr="00AF26F4" w:rsidRDefault="00AF26F4" w:rsidP="005C4022">
      <w:pPr>
        <w:widowControl w:val="0"/>
        <w:numPr>
          <w:ilvl w:val="0"/>
          <w:numId w:val="2"/>
        </w:numPr>
        <w:tabs>
          <w:tab w:val="left" w:pos="760"/>
        </w:tabs>
        <w:spacing w:after="0" w:line="283"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договір про надання правової допомоги від 25 квітня 2016 року між </w:t>
      </w:r>
      <w:proofErr w:type="spellStart"/>
      <w:r w:rsidRPr="00460218">
        <w:rPr>
          <w:rFonts w:ascii="Times New Roman" w:eastAsia="Times New Roman" w:hAnsi="Times New Roman"/>
          <w:color w:val="000000"/>
          <w:sz w:val="24"/>
          <w:szCs w:val="24"/>
          <w:lang w:eastAsia="uk-UA"/>
        </w:rPr>
        <w:t>Несмяновичем</w:t>
      </w:r>
      <w:proofErr w:type="spellEnd"/>
      <w:r w:rsidRPr="00460218">
        <w:rPr>
          <w:rFonts w:ascii="Times New Roman" w:eastAsia="Times New Roman" w:hAnsi="Times New Roman"/>
          <w:color w:val="000000"/>
          <w:sz w:val="24"/>
          <w:szCs w:val="24"/>
          <w:lang w:eastAsia="uk-UA"/>
        </w:rPr>
        <w:t xml:space="preserve"> О.Р. та адвокатом Писаренком К.Ю.;</w:t>
      </w:r>
    </w:p>
    <w:p w:rsidR="00AF26F4" w:rsidRPr="00AF26F4" w:rsidRDefault="00AF26F4" w:rsidP="005C4022">
      <w:pPr>
        <w:widowControl w:val="0"/>
        <w:numPr>
          <w:ilvl w:val="0"/>
          <w:numId w:val="2"/>
        </w:numPr>
        <w:tabs>
          <w:tab w:val="left" w:pos="755"/>
        </w:tabs>
        <w:spacing w:after="0" w:line="283"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 xml:space="preserve">договір про надання правової допомоги від 01 лютого 2018 року між </w:t>
      </w:r>
      <w:r w:rsidR="00BB009F">
        <w:rPr>
          <w:rFonts w:ascii="Times New Roman" w:eastAsia="Times New Roman" w:hAnsi="Times New Roman"/>
          <w:color w:val="000000"/>
          <w:sz w:val="24"/>
          <w:szCs w:val="24"/>
          <w:lang w:eastAsia="uk-UA"/>
        </w:rPr>
        <w:br/>
      </w:r>
      <w:r w:rsidRPr="00460218">
        <w:rPr>
          <w:rFonts w:ascii="Times New Roman" w:eastAsia="Times New Roman" w:hAnsi="Times New Roman"/>
          <w:color w:val="000000"/>
          <w:sz w:val="24"/>
          <w:szCs w:val="24"/>
          <w:lang w:eastAsia="uk-UA"/>
        </w:rPr>
        <w:t>Петровським Ю.І. та адвокатом Писаренком К.Ю.;</w:t>
      </w:r>
    </w:p>
    <w:p w:rsidR="00AF26F4" w:rsidRPr="00AF26F4" w:rsidRDefault="00AF26F4" w:rsidP="005C4022">
      <w:pPr>
        <w:widowControl w:val="0"/>
        <w:numPr>
          <w:ilvl w:val="0"/>
          <w:numId w:val="2"/>
        </w:numPr>
        <w:tabs>
          <w:tab w:val="left" w:pos="760"/>
        </w:tabs>
        <w:spacing w:after="0" w:line="283"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клопотання</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про</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відкладення</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розгляду</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справи</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w:t>
      </w:r>
      <w:r w:rsidRPr="005C4022">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903/1180/15</w:t>
      </w:r>
      <w:r w:rsidRPr="005C4022">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від</w:t>
      </w:r>
      <w:r w:rsidRPr="005C4022">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02</w:t>
      </w:r>
      <w:r w:rsidRPr="005C4022">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травня</w:t>
      </w:r>
      <w:r w:rsidRPr="005C4022">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2018</w:t>
      </w:r>
      <w:r w:rsidRPr="005C4022">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року адвоката Писаренка К.Ю.;</w:t>
      </w:r>
    </w:p>
    <w:p w:rsidR="00AF26F4" w:rsidRPr="00AF26F4" w:rsidRDefault="00AF26F4" w:rsidP="00931734">
      <w:pPr>
        <w:widowControl w:val="0"/>
        <w:numPr>
          <w:ilvl w:val="0"/>
          <w:numId w:val="2"/>
        </w:numPr>
        <w:tabs>
          <w:tab w:val="left" w:pos="760"/>
        </w:tabs>
        <w:spacing w:after="0" w:line="27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виписку</w:t>
      </w:r>
      <w:r w:rsidRPr="00931734">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з</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Єдиного</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державного</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реєстру</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юридичних</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осіб,</w:t>
      </w:r>
      <w:r w:rsidRPr="00931734">
        <w:rPr>
          <w:rFonts w:ascii="Times New Roman" w:eastAsia="Times New Roman" w:hAnsi="Times New Roman"/>
          <w:color w:val="000000"/>
          <w:sz w:val="8"/>
          <w:szCs w:val="8"/>
          <w:lang w:eastAsia="uk-UA"/>
        </w:rPr>
        <w:t xml:space="preserve"> </w:t>
      </w:r>
      <w:r w:rsidRPr="00460218">
        <w:rPr>
          <w:rFonts w:ascii="Times New Roman" w:eastAsia="Times New Roman" w:hAnsi="Times New Roman"/>
          <w:color w:val="000000"/>
          <w:sz w:val="24"/>
          <w:szCs w:val="24"/>
          <w:lang w:eastAsia="uk-UA"/>
        </w:rPr>
        <w:t>фізичних</w:t>
      </w:r>
      <w:r w:rsidRPr="00931734">
        <w:rPr>
          <w:rFonts w:ascii="Times New Roman" w:eastAsia="Times New Roman" w:hAnsi="Times New Roman"/>
          <w:color w:val="000000"/>
          <w:sz w:val="12"/>
          <w:szCs w:val="12"/>
          <w:lang w:eastAsia="uk-UA"/>
        </w:rPr>
        <w:t xml:space="preserve"> </w:t>
      </w:r>
      <w:r w:rsidRPr="00460218">
        <w:rPr>
          <w:rFonts w:ascii="Times New Roman" w:eastAsia="Times New Roman" w:hAnsi="Times New Roman"/>
          <w:color w:val="000000"/>
          <w:sz w:val="24"/>
          <w:szCs w:val="24"/>
          <w:lang w:eastAsia="uk-UA"/>
        </w:rPr>
        <w:t>осіб-підприємців та громадських формувань від 23 березня 2017 року;</w:t>
      </w:r>
    </w:p>
    <w:p w:rsidR="00AF26F4" w:rsidRPr="00AF26F4" w:rsidRDefault="00AF26F4" w:rsidP="00931734">
      <w:pPr>
        <w:widowControl w:val="0"/>
        <w:numPr>
          <w:ilvl w:val="0"/>
          <w:numId w:val="2"/>
        </w:numPr>
        <w:tabs>
          <w:tab w:val="left" w:pos="760"/>
        </w:tabs>
        <w:spacing w:after="0" w:line="278" w:lineRule="exact"/>
        <w:ind w:left="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податкову декларацію про майновий стан і доходи платника податку Писаренка К.Ю. за IV квартал 2017 року.</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bCs/>
          <w:color w:val="000000"/>
          <w:sz w:val="24"/>
          <w:szCs w:val="24"/>
          <w:lang w:eastAsia="uk-UA"/>
        </w:rPr>
        <w:t xml:space="preserve">Підпунктом 4 </w:t>
      </w:r>
      <w:r w:rsidRPr="00460218">
        <w:rPr>
          <w:rFonts w:ascii="Times New Roman" w:eastAsia="Times New Roman" w:hAnsi="Times New Roman"/>
          <w:color w:val="000000"/>
          <w:sz w:val="24"/>
          <w:szCs w:val="24"/>
          <w:lang w:eastAsia="uk-UA"/>
        </w:rPr>
        <w:t xml:space="preserve">пункту </w:t>
      </w:r>
      <w:r w:rsidRPr="00460218">
        <w:rPr>
          <w:rFonts w:ascii="Times New Roman" w:eastAsia="Times New Roman" w:hAnsi="Times New Roman"/>
          <w:bCs/>
          <w:color w:val="000000"/>
          <w:sz w:val="24"/>
          <w:szCs w:val="24"/>
          <w:lang w:eastAsia="uk-UA"/>
        </w:rPr>
        <w:t xml:space="preserve">19 </w:t>
      </w:r>
      <w:r w:rsidRPr="00460218">
        <w:rPr>
          <w:rFonts w:ascii="Times New Roman" w:eastAsia="Times New Roman" w:hAnsi="Times New Roman"/>
          <w:color w:val="000000"/>
          <w:sz w:val="24"/>
          <w:szCs w:val="24"/>
          <w:lang w:eastAsia="uk-UA"/>
        </w:rPr>
        <w:t>Умов передбачено, що для підтвердження досвіду професійної діяльності адвоката щодо здійснення представництва в суді та/або захисту від кримінального обвинувачення, крім копії свідоцтва на право заняття адвокатською діяльністю, витягу з реєстру адвокатів, необхідно подати такі документи:</w:t>
      </w:r>
    </w:p>
    <w:p w:rsidR="00AF26F4" w:rsidRPr="00AF26F4" w:rsidRDefault="00AF26F4" w:rsidP="002D38E1">
      <w:pPr>
        <w:widowControl w:val="0"/>
        <w:tabs>
          <w:tab w:val="left" w:pos="995"/>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а)</w:t>
      </w:r>
      <w:r w:rsidRPr="00460218">
        <w:rPr>
          <w:rFonts w:ascii="Times New Roman" w:eastAsia="Times New Roman" w:hAnsi="Times New Roman"/>
          <w:color w:val="000000"/>
          <w:sz w:val="24"/>
          <w:szCs w:val="24"/>
          <w:lang w:eastAsia="uk-UA"/>
        </w:rPr>
        <w:tab/>
        <w:t>договори, ордери або інші документи, які посвідчували повноваження адвоката на надання правової допомоги під час здійснення професійної діяльності;</w:t>
      </w:r>
    </w:p>
    <w:p w:rsidR="00AF26F4" w:rsidRPr="00AF26F4" w:rsidRDefault="00AF26F4" w:rsidP="002D38E1">
      <w:pPr>
        <w:widowControl w:val="0"/>
        <w:tabs>
          <w:tab w:val="left" w:pos="1010"/>
        </w:tabs>
        <w:spacing w:after="0" w:line="307"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б)</w:t>
      </w:r>
      <w:r w:rsidRPr="00460218">
        <w:rPr>
          <w:rFonts w:ascii="Times New Roman" w:eastAsia="Times New Roman" w:hAnsi="Times New Roman"/>
          <w:color w:val="000000"/>
          <w:sz w:val="24"/>
          <w:szCs w:val="24"/>
          <w:lang w:eastAsia="uk-UA"/>
        </w:rPr>
        <w:tab/>
        <w:t xml:space="preserve">декларації про доходи від професійної діяльності для </w:t>
      </w:r>
      <w:proofErr w:type="spellStart"/>
      <w:r w:rsidRPr="00460218">
        <w:rPr>
          <w:rFonts w:ascii="Times New Roman" w:eastAsia="Times New Roman" w:hAnsi="Times New Roman"/>
          <w:color w:val="000000"/>
          <w:sz w:val="24"/>
          <w:szCs w:val="24"/>
          <w:lang w:eastAsia="uk-UA"/>
        </w:rPr>
        <w:t>самозайнятої</w:t>
      </w:r>
      <w:proofErr w:type="spellEnd"/>
      <w:r w:rsidRPr="00460218">
        <w:rPr>
          <w:rFonts w:ascii="Times New Roman" w:eastAsia="Times New Roman" w:hAnsi="Times New Roman"/>
          <w:color w:val="000000"/>
          <w:sz w:val="24"/>
          <w:szCs w:val="24"/>
          <w:lang w:eastAsia="uk-UA"/>
        </w:rPr>
        <w:t xml:space="preserve"> особи або фізичної особи-підприємця;</w:t>
      </w:r>
    </w:p>
    <w:p w:rsidR="00AF26F4" w:rsidRPr="00AF26F4" w:rsidRDefault="00AF26F4" w:rsidP="002D38E1">
      <w:pPr>
        <w:widowControl w:val="0"/>
        <w:tabs>
          <w:tab w:val="left" w:pos="1000"/>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w:t>
      </w:r>
      <w:r w:rsidRPr="00460218">
        <w:rPr>
          <w:rFonts w:ascii="Times New Roman" w:eastAsia="Times New Roman" w:hAnsi="Times New Roman"/>
          <w:color w:val="000000"/>
          <w:sz w:val="24"/>
          <w:szCs w:val="24"/>
          <w:lang w:eastAsia="uk-UA"/>
        </w:rPr>
        <w:tab/>
        <w:t>дові</w:t>
      </w:r>
      <w:r w:rsidRPr="006D08A6">
        <w:rPr>
          <w:rFonts w:ascii="Times New Roman" w:eastAsia="Times New Roman" w:hAnsi="Times New Roman"/>
          <w:color w:val="000000"/>
          <w:sz w:val="24"/>
          <w:szCs w:val="24"/>
          <w:lang w:eastAsia="uk-UA"/>
        </w:rPr>
        <w:t>дк</w:t>
      </w:r>
      <w:r w:rsidRPr="00460218">
        <w:rPr>
          <w:rFonts w:ascii="Times New Roman" w:eastAsia="Times New Roman" w:hAnsi="Times New Roman"/>
          <w:color w:val="000000"/>
          <w:sz w:val="24"/>
          <w:szCs w:val="24"/>
          <w:lang w:eastAsia="uk-UA"/>
        </w:rPr>
        <w:t>и з місця роботи та про заробітну плату, трудова книжка - для осіб, що здійснюють адвокатську діяльність у складі юридичної особи чи адвокатського об’єднання;</w:t>
      </w:r>
    </w:p>
    <w:p w:rsidR="00AF26F4" w:rsidRPr="00AF26F4" w:rsidRDefault="00AF26F4" w:rsidP="002D38E1">
      <w:pPr>
        <w:widowControl w:val="0"/>
        <w:tabs>
          <w:tab w:val="left" w:pos="1067"/>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г)</w:t>
      </w:r>
      <w:r w:rsidRPr="00460218">
        <w:rPr>
          <w:rFonts w:ascii="Times New Roman" w:eastAsia="Times New Roman" w:hAnsi="Times New Roman"/>
          <w:color w:val="000000"/>
          <w:sz w:val="24"/>
          <w:szCs w:val="24"/>
          <w:lang w:eastAsia="uk-UA"/>
        </w:rPr>
        <w:tab/>
        <w:t>інші документи про доходи за період здійснення професійної діяльності адвоката у разі відсутності документів, передбачених підпунктами б-в цього абзацу;</w:t>
      </w:r>
    </w:p>
    <w:p w:rsidR="00AF26F4" w:rsidRPr="00AF26F4" w:rsidRDefault="00AF26F4" w:rsidP="002D38E1">
      <w:pPr>
        <w:widowControl w:val="0"/>
        <w:tabs>
          <w:tab w:val="left" w:pos="1168"/>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г)</w:t>
      </w:r>
      <w:r w:rsidRPr="00460218">
        <w:rPr>
          <w:rFonts w:ascii="Times New Roman" w:eastAsia="Times New Roman" w:hAnsi="Times New Roman"/>
          <w:color w:val="000000"/>
          <w:sz w:val="24"/>
          <w:szCs w:val="24"/>
          <w:lang w:eastAsia="uk-UA"/>
        </w:rPr>
        <w:tab/>
        <w:t>належним чином засвідчені копії судових рішень та інших процесуальних документів, які у сукупності дозволяють встановити участь адвоката у справі (провадженні);</w:t>
      </w:r>
    </w:p>
    <w:p w:rsidR="00AF26F4" w:rsidRPr="00AF26F4" w:rsidRDefault="00AF26F4" w:rsidP="002D38E1">
      <w:pPr>
        <w:widowControl w:val="0"/>
        <w:tabs>
          <w:tab w:val="left" w:pos="1029"/>
        </w:tabs>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д)</w:t>
      </w:r>
      <w:r w:rsidRPr="00460218">
        <w:rPr>
          <w:rFonts w:ascii="Times New Roman" w:eastAsia="Times New Roman" w:hAnsi="Times New Roman"/>
          <w:color w:val="000000"/>
          <w:sz w:val="24"/>
          <w:szCs w:val="24"/>
          <w:lang w:eastAsia="uk-UA"/>
        </w:rPr>
        <w:tab/>
        <w:t>інші документи, які підтверджують здійснення професійної діяльності.</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Оскільки надані Писаренком К.Ю. документи не підтверджують здійснення</w:t>
      </w:r>
      <w:r w:rsidR="00BB009F">
        <w:rPr>
          <w:rFonts w:ascii="Times New Roman" w:eastAsia="Times New Roman" w:hAnsi="Times New Roman"/>
          <w:color w:val="000000"/>
          <w:sz w:val="24"/>
          <w:szCs w:val="24"/>
          <w:lang w:eastAsia="uk-UA"/>
        </w:rPr>
        <w:t xml:space="preserve"> </w:t>
      </w:r>
      <w:r w:rsidRPr="00460218">
        <w:rPr>
          <w:rFonts w:ascii="Times New Roman" w:eastAsia="Times New Roman" w:hAnsi="Times New Roman"/>
          <w:color w:val="000000"/>
          <w:sz w:val="24"/>
          <w:szCs w:val="24"/>
          <w:lang w:eastAsia="uk-UA"/>
        </w:rPr>
        <w:t>представництва в суді та/або захисту від кримінального обвинувачення щонайменше 7 років, він не довів наявності у нього досвіду професійної діяльності адвоката щодо здійснення представництва в суді та/або захисту від кримінального обвинувачення.</w:t>
      </w:r>
    </w:p>
    <w:p w:rsidR="00AF26F4" w:rsidRPr="00AF26F4" w:rsidRDefault="00AF26F4" w:rsidP="002D38E1">
      <w:pPr>
        <w:widowControl w:val="0"/>
        <w:spacing w:after="0" w:line="240" w:lineRule="exact"/>
        <w:ind w:firstLine="709"/>
        <w:jc w:val="both"/>
        <w:rPr>
          <w:rFonts w:ascii="Times New Roman" w:eastAsia="Times New Roman" w:hAnsi="Times New Roman"/>
          <w:color w:val="000000"/>
          <w:sz w:val="24"/>
          <w:szCs w:val="24"/>
          <w:lang w:eastAsia="uk-UA"/>
        </w:rPr>
        <w:sectPr w:rsidR="00AF26F4" w:rsidRPr="00AF26F4" w:rsidSect="002D38E1">
          <w:pgSz w:w="11909" w:h="16838"/>
          <w:pgMar w:top="1134" w:right="569" w:bottom="567" w:left="1701" w:header="0" w:footer="3" w:gutter="0"/>
          <w:cols w:space="720"/>
          <w:noEndnote/>
          <w:docGrid w:linePitch="360"/>
        </w:sectPr>
      </w:pPr>
      <w:r w:rsidRPr="00460218">
        <w:rPr>
          <w:rFonts w:ascii="Times New Roman" w:eastAsia="Times New Roman" w:hAnsi="Times New Roman"/>
          <w:color w:val="000000"/>
          <w:sz w:val="24"/>
          <w:szCs w:val="24"/>
          <w:lang w:eastAsia="uk-UA"/>
        </w:rPr>
        <w:t xml:space="preserve">Отже, на день звернення до Комісії Писаренко К.Ю. не відповідає вимогам до </w:t>
      </w:r>
    </w:p>
    <w:p w:rsidR="00AF26F4" w:rsidRPr="00AF26F4" w:rsidRDefault="00931734" w:rsidP="00931734">
      <w:pPr>
        <w:widowControl w:val="0"/>
        <w:spacing w:after="0" w:line="240"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к</w:t>
      </w:r>
      <w:r w:rsidR="00AF26F4" w:rsidRPr="00460218">
        <w:rPr>
          <w:rFonts w:ascii="Times New Roman" w:eastAsia="Times New Roman" w:hAnsi="Times New Roman"/>
          <w:color w:val="000000"/>
          <w:sz w:val="24"/>
          <w:szCs w:val="24"/>
          <w:lang w:eastAsia="uk-UA"/>
        </w:rPr>
        <w:t>андидата на посаду судді Вищого антикорупційного суду, передбаченим статтею 7 Закону України «Про Вищий антикорупційний суд».</w:t>
      </w:r>
    </w:p>
    <w:p w:rsidR="00AF26F4" w:rsidRPr="00AF26F4" w:rsidRDefault="00AF26F4" w:rsidP="002D38E1">
      <w:pPr>
        <w:widowControl w:val="0"/>
        <w:spacing w:after="0"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Зазначені</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обставини</w:t>
      </w:r>
      <w:r w:rsidRPr="00931734">
        <w:rPr>
          <w:rFonts w:ascii="Times New Roman" w:eastAsia="Times New Roman" w:hAnsi="Times New Roman"/>
          <w:color w:val="000000"/>
          <w:sz w:val="10"/>
          <w:szCs w:val="10"/>
          <w:lang w:eastAsia="uk-UA"/>
        </w:rPr>
        <w:t xml:space="preserve"> </w:t>
      </w:r>
      <w:r w:rsidRPr="00460218">
        <w:rPr>
          <w:rFonts w:ascii="Times New Roman" w:eastAsia="Times New Roman" w:hAnsi="Times New Roman"/>
          <w:color w:val="000000"/>
          <w:sz w:val="24"/>
          <w:szCs w:val="24"/>
          <w:lang w:eastAsia="uk-UA"/>
        </w:rPr>
        <w:t>є підставою для відмови кандидату у допуску до участі у конкурсі на посаду судді Вищого антикорупційного суду, оголошеному Комісією 02 серпня 2018</w:t>
      </w:r>
      <w:r w:rsidR="00931734">
        <w:rPr>
          <w:rFonts w:ascii="Times New Roman" w:eastAsia="Times New Roman" w:hAnsi="Times New Roman"/>
          <w:color w:val="000000"/>
          <w:sz w:val="24"/>
          <w:szCs w:val="24"/>
          <w:lang w:eastAsia="uk-UA"/>
        </w:rPr>
        <w:t> </w:t>
      </w:r>
      <w:r w:rsidRPr="00460218">
        <w:rPr>
          <w:rFonts w:ascii="Times New Roman" w:eastAsia="Times New Roman" w:hAnsi="Times New Roman"/>
          <w:color w:val="000000"/>
          <w:sz w:val="24"/>
          <w:szCs w:val="24"/>
          <w:lang w:eastAsia="uk-UA"/>
        </w:rPr>
        <w:t>року.</w:t>
      </w:r>
    </w:p>
    <w:p w:rsidR="00AF26F4" w:rsidRPr="00AF26F4" w:rsidRDefault="00AF26F4" w:rsidP="002D38E1">
      <w:pPr>
        <w:widowControl w:val="0"/>
        <w:spacing w:after="279" w:line="278" w:lineRule="exact"/>
        <w:ind w:firstLine="709"/>
        <w:jc w:val="both"/>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AF26F4" w:rsidRPr="00AF26F4" w:rsidRDefault="00AF26F4" w:rsidP="002D38E1">
      <w:pPr>
        <w:widowControl w:val="0"/>
        <w:spacing w:after="221" w:line="230" w:lineRule="exact"/>
        <w:ind w:firstLine="709"/>
        <w:jc w:val="center"/>
        <w:rPr>
          <w:rFonts w:ascii="Times New Roman" w:eastAsia="Times New Roman" w:hAnsi="Times New Roman"/>
          <w:color w:val="000000"/>
          <w:sz w:val="24"/>
          <w:szCs w:val="24"/>
          <w:lang w:eastAsia="uk-UA"/>
        </w:rPr>
      </w:pPr>
      <w:r w:rsidRPr="00460218">
        <w:rPr>
          <w:rFonts w:ascii="Times New Roman" w:eastAsia="Times New Roman" w:hAnsi="Times New Roman"/>
          <w:color w:val="000000"/>
          <w:sz w:val="24"/>
          <w:szCs w:val="24"/>
          <w:lang w:eastAsia="uk-UA"/>
        </w:rPr>
        <w:t>вирішила:</w:t>
      </w:r>
    </w:p>
    <w:p w:rsidR="002D5CC7" w:rsidRPr="00460218" w:rsidRDefault="00AF26F4" w:rsidP="00931734">
      <w:pPr>
        <w:widowControl w:val="0"/>
        <w:spacing w:after="0" w:line="230" w:lineRule="exact"/>
        <w:jc w:val="both"/>
        <w:rPr>
          <w:rFonts w:ascii="Times New Roman" w:eastAsia="Times New Roman" w:hAnsi="Times New Roman"/>
          <w:sz w:val="24"/>
          <w:szCs w:val="24"/>
          <w:lang w:eastAsia="uk-UA"/>
        </w:rPr>
      </w:pPr>
      <w:r w:rsidRPr="00460218">
        <w:rPr>
          <w:rFonts w:ascii="Times New Roman" w:eastAsia="Courier New" w:hAnsi="Times New Roman"/>
          <w:color w:val="000000"/>
          <w:sz w:val="24"/>
          <w:szCs w:val="24"/>
          <w:lang w:eastAsia="uk-UA"/>
        </w:rPr>
        <w:t>відмовити Писаренку Костянтину Юхимовичу у допуску до участі у конкурсі на посаду судді Вищого антикорупційного суду, оголошеному Комісією 02 серпня 2018 року</w:t>
      </w:r>
    </w:p>
    <w:p w:rsidR="002D5CC7" w:rsidRPr="00650342" w:rsidRDefault="002D5CC7" w:rsidP="002D38E1">
      <w:pPr>
        <w:widowControl w:val="0"/>
        <w:spacing w:after="0" w:line="230" w:lineRule="exact"/>
        <w:ind w:firstLine="709"/>
        <w:jc w:val="both"/>
        <w:rPr>
          <w:rFonts w:ascii="Times New Roman" w:eastAsia="Times New Roman" w:hAnsi="Times New Roman"/>
          <w:sz w:val="24"/>
          <w:szCs w:val="24"/>
          <w:lang w:eastAsia="uk-UA"/>
        </w:rPr>
      </w:pPr>
    </w:p>
    <w:p w:rsidR="00312B07" w:rsidRDefault="00312B07" w:rsidP="002D38E1">
      <w:pPr>
        <w:widowControl w:val="0"/>
        <w:spacing w:after="20" w:line="230" w:lineRule="exact"/>
        <w:ind w:firstLine="709"/>
        <w:jc w:val="both"/>
        <w:rPr>
          <w:rFonts w:ascii="Times New Roman" w:eastAsia="Times New Roman" w:hAnsi="Times New Roman"/>
          <w:sz w:val="24"/>
          <w:szCs w:val="24"/>
          <w:lang w:eastAsia="uk-UA"/>
        </w:rPr>
      </w:pPr>
    </w:p>
    <w:p w:rsidR="00EF13F6" w:rsidRPr="00260A65" w:rsidRDefault="00EF13F6" w:rsidP="002D38E1">
      <w:pPr>
        <w:widowControl w:val="0"/>
        <w:spacing w:after="20" w:line="230" w:lineRule="exact"/>
        <w:ind w:firstLine="709"/>
        <w:jc w:val="both"/>
        <w:rPr>
          <w:rFonts w:ascii="Times New Roman" w:eastAsia="Times New Roman" w:hAnsi="Times New Roman"/>
          <w:sz w:val="24"/>
          <w:szCs w:val="24"/>
          <w:lang w:eastAsia="uk-UA"/>
        </w:rPr>
      </w:pPr>
    </w:p>
    <w:p w:rsidR="00A07EAB" w:rsidRDefault="00A07EAB" w:rsidP="002D38E1">
      <w:pPr>
        <w:widowControl w:val="0"/>
        <w:spacing w:before="20" w:afterLines="20" w:after="48" w:line="230" w:lineRule="exact"/>
        <w:ind w:firstLine="709"/>
        <w:jc w:val="both"/>
        <w:rPr>
          <w:rFonts w:ascii="Times New Roman" w:eastAsia="Times New Roman" w:hAnsi="Times New Roman"/>
          <w:sz w:val="24"/>
          <w:szCs w:val="24"/>
          <w:lang w:eastAsia="uk-UA"/>
        </w:rPr>
      </w:pPr>
    </w:p>
    <w:p w:rsidR="00A87245" w:rsidRPr="007A6712" w:rsidRDefault="00A87245" w:rsidP="00931734">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С.</w:t>
      </w:r>
      <w:r w:rsidR="00BB009F">
        <w:rPr>
          <w:rFonts w:ascii="Times New Roman" w:eastAsia="Times New Roman" w:hAnsi="Times New Roman"/>
          <w:sz w:val="25"/>
          <w:szCs w:val="25"/>
          <w:lang w:eastAsia="uk-UA"/>
        </w:rPr>
        <w:t>В. Гладій</w:t>
      </w:r>
    </w:p>
    <w:p w:rsidR="00A87245" w:rsidRPr="007A6712" w:rsidRDefault="00A87245" w:rsidP="002D38E1">
      <w:pPr>
        <w:widowControl w:val="0"/>
        <w:spacing w:before="20" w:afterLines="20" w:after="48" w:line="230" w:lineRule="exact"/>
        <w:ind w:firstLine="709"/>
        <w:jc w:val="both"/>
        <w:rPr>
          <w:rFonts w:ascii="Times New Roman" w:eastAsia="Times New Roman" w:hAnsi="Times New Roman"/>
          <w:sz w:val="25"/>
          <w:szCs w:val="25"/>
          <w:lang w:eastAsia="uk-UA"/>
        </w:rPr>
      </w:pPr>
    </w:p>
    <w:p w:rsidR="00A87245" w:rsidRPr="007A6712" w:rsidRDefault="00A87245" w:rsidP="00931734">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BB009F">
        <w:rPr>
          <w:rFonts w:ascii="Times New Roman" w:eastAsia="Times New Roman" w:hAnsi="Times New Roman"/>
          <w:sz w:val="25"/>
          <w:szCs w:val="25"/>
          <w:lang w:eastAsia="uk-UA"/>
        </w:rPr>
        <w:t xml:space="preserve">Т.Ф. </w:t>
      </w:r>
      <w:proofErr w:type="spellStart"/>
      <w:r w:rsidR="00BB009F">
        <w:rPr>
          <w:rFonts w:ascii="Times New Roman" w:eastAsia="Times New Roman" w:hAnsi="Times New Roman"/>
          <w:sz w:val="25"/>
          <w:szCs w:val="25"/>
          <w:lang w:eastAsia="uk-UA"/>
        </w:rPr>
        <w:t>Весельська</w:t>
      </w:r>
      <w:proofErr w:type="spellEnd"/>
    </w:p>
    <w:p w:rsidR="00A87245" w:rsidRPr="007A6712" w:rsidRDefault="00A87245" w:rsidP="002D38E1">
      <w:pPr>
        <w:widowControl w:val="0"/>
        <w:spacing w:before="20" w:afterLines="20" w:after="48" w:line="230" w:lineRule="exact"/>
        <w:ind w:firstLine="709"/>
        <w:jc w:val="both"/>
        <w:rPr>
          <w:rFonts w:ascii="Times New Roman" w:eastAsia="Times New Roman" w:hAnsi="Times New Roman"/>
          <w:sz w:val="25"/>
          <w:szCs w:val="25"/>
          <w:lang w:eastAsia="uk-UA"/>
        </w:rPr>
      </w:pPr>
    </w:p>
    <w:p w:rsidR="00A87245" w:rsidRPr="006D08A6" w:rsidRDefault="00BB009F" w:rsidP="00931734">
      <w:pPr>
        <w:widowControl w:val="0"/>
        <w:spacing w:before="20" w:afterLines="20" w:after="48" w:line="230" w:lineRule="exact"/>
        <w:ind w:left="7090" w:firstLine="709"/>
        <w:jc w:val="both"/>
        <w:rPr>
          <w:rFonts w:ascii="Times New Roman" w:eastAsia="Times New Roman" w:hAnsi="Times New Roman"/>
          <w:sz w:val="25"/>
          <w:szCs w:val="25"/>
          <w:lang w:eastAsia="uk-UA"/>
        </w:rPr>
      </w:pPr>
      <w:bookmarkStart w:id="0" w:name="_GoBack"/>
      <w:bookmarkEnd w:id="0"/>
      <w:r>
        <w:rPr>
          <w:rFonts w:ascii="Times New Roman" w:eastAsia="Times New Roman" w:hAnsi="Times New Roman"/>
          <w:sz w:val="25"/>
          <w:szCs w:val="25"/>
          <w:lang w:eastAsia="uk-UA"/>
        </w:rPr>
        <w:t>Т.В. Лукаш</w:t>
      </w:r>
    </w:p>
    <w:sectPr w:rsidR="00A87245" w:rsidRPr="006D08A6" w:rsidSect="002D38E1">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022" w:rsidRDefault="005C4022" w:rsidP="002F156E">
      <w:pPr>
        <w:spacing w:after="0" w:line="240" w:lineRule="auto"/>
      </w:pPr>
      <w:r>
        <w:separator/>
      </w:r>
    </w:p>
  </w:endnote>
  <w:endnote w:type="continuationSeparator" w:id="0">
    <w:p w:rsidR="005C4022" w:rsidRDefault="005C402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022" w:rsidRDefault="005C4022" w:rsidP="002F156E">
      <w:pPr>
        <w:spacing w:after="0" w:line="240" w:lineRule="auto"/>
      </w:pPr>
      <w:r>
        <w:separator/>
      </w:r>
    </w:p>
  </w:footnote>
  <w:footnote w:type="continuationSeparator" w:id="0">
    <w:p w:rsidR="005C4022" w:rsidRDefault="005C402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5C4022" w:rsidRDefault="005C4022">
        <w:pPr>
          <w:pStyle w:val="a4"/>
          <w:jc w:val="center"/>
        </w:pPr>
        <w:r>
          <w:fldChar w:fldCharType="begin"/>
        </w:r>
        <w:r>
          <w:instrText>PAGE   \* MERGEFORMAT</w:instrText>
        </w:r>
        <w:r>
          <w:fldChar w:fldCharType="separate"/>
        </w:r>
        <w:r>
          <w:rPr>
            <w:noProof/>
          </w:rPr>
          <w:t>2</w:t>
        </w:r>
        <w:r>
          <w:fldChar w:fldCharType="end"/>
        </w:r>
      </w:p>
    </w:sdtContent>
  </w:sdt>
  <w:p w:rsidR="005C4022" w:rsidRDefault="005C402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17453A"/>
    <w:multiLevelType w:val="multilevel"/>
    <w:tmpl w:val="19589C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38E1"/>
    <w:rsid w:val="002D5CC7"/>
    <w:rsid w:val="002E248F"/>
    <w:rsid w:val="002E3DD4"/>
    <w:rsid w:val="002E7746"/>
    <w:rsid w:val="002F04E9"/>
    <w:rsid w:val="002F13D1"/>
    <w:rsid w:val="002F156E"/>
    <w:rsid w:val="002F23C7"/>
    <w:rsid w:val="00312B07"/>
    <w:rsid w:val="0031388F"/>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B540D"/>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0218"/>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6338C"/>
    <w:rsid w:val="005806E6"/>
    <w:rsid w:val="00581EB4"/>
    <w:rsid w:val="00583221"/>
    <w:rsid w:val="00590311"/>
    <w:rsid w:val="005929EF"/>
    <w:rsid w:val="005979E5"/>
    <w:rsid w:val="005B58CE"/>
    <w:rsid w:val="005C4022"/>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08A6"/>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34"/>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F26F4"/>
    <w:rsid w:val="00B058CB"/>
    <w:rsid w:val="00B13DED"/>
    <w:rsid w:val="00B15A3E"/>
    <w:rsid w:val="00B21992"/>
    <w:rsid w:val="00B21C2E"/>
    <w:rsid w:val="00B30D80"/>
    <w:rsid w:val="00B35585"/>
    <w:rsid w:val="00B40AF2"/>
    <w:rsid w:val="00B53399"/>
    <w:rsid w:val="00B57026"/>
    <w:rsid w:val="00B570AF"/>
    <w:rsid w:val="00B70C98"/>
    <w:rsid w:val="00BB009F"/>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4683"/>
    <w:rsid w:val="00CC716A"/>
    <w:rsid w:val="00CD05FD"/>
    <w:rsid w:val="00CD31AD"/>
    <w:rsid w:val="00CE465E"/>
    <w:rsid w:val="00CE73D0"/>
    <w:rsid w:val="00CF2433"/>
    <w:rsid w:val="00CF58F2"/>
    <w:rsid w:val="00D020ED"/>
    <w:rsid w:val="00D02927"/>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EF13F6"/>
    <w:rsid w:val="00F12B3B"/>
    <w:rsid w:val="00F16892"/>
    <w:rsid w:val="00F275C6"/>
    <w:rsid w:val="00F3222F"/>
    <w:rsid w:val="00F4150D"/>
    <w:rsid w:val="00F45162"/>
    <w:rsid w:val="00F54BAE"/>
    <w:rsid w:val="00F56A1C"/>
    <w:rsid w:val="00F61EB4"/>
    <w:rsid w:val="00F62366"/>
    <w:rsid w:val="00F64410"/>
    <w:rsid w:val="00F71C94"/>
    <w:rsid w:val="00F72C3B"/>
    <w:rsid w:val="00F745A2"/>
    <w:rsid w:val="00F87A91"/>
    <w:rsid w:val="00F90452"/>
    <w:rsid w:val="00F90849"/>
    <w:rsid w:val="00FA1E54"/>
    <w:rsid w:val="00FC57BC"/>
    <w:rsid w:val="00FE16D4"/>
    <w:rsid w:val="00FE4B02"/>
    <w:rsid w:val="00FE51C3"/>
    <w:rsid w:val="00FE586F"/>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6800</Words>
  <Characters>3877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Мельничук Тетяна Олександрівна</dc:creator>
  <cp:lastModifiedBy>Власенко Наталія Євгеніївна</cp:lastModifiedBy>
  <cp:revision>10</cp:revision>
  <dcterms:created xsi:type="dcterms:W3CDTF">2020-11-30T06:55:00Z</dcterms:created>
  <dcterms:modified xsi:type="dcterms:W3CDTF">2021-01-18T14:03:00Z</dcterms:modified>
</cp:coreProperties>
</file>