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6C" w:rsidRPr="00FE4E6C" w:rsidRDefault="00FE4E6C" w:rsidP="006510A2">
      <w:pPr>
        <w:jc w:val="center"/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9333E9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333E9" w:rsidRDefault="00FE4E6C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33E9">
        <w:rPr>
          <w:rFonts w:ascii="Times New Roman" w:eastAsia="Times New Roman" w:hAnsi="Times New Roman"/>
          <w:sz w:val="26"/>
          <w:szCs w:val="26"/>
          <w:lang w:eastAsia="ru-RU"/>
        </w:rPr>
        <w:t>03</w:t>
      </w:r>
      <w:r w:rsidR="00B35585" w:rsidRPr="009333E9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9333E9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33E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9333E9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6510A2" w:rsidRPr="009333E9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9333E9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9333E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9333E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333E9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9333E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E4E6C" w:rsidRPr="009333E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58</w:t>
      </w:r>
      <w:r w:rsidR="0067535E" w:rsidRPr="009333E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FE4E6C" w:rsidRPr="009333E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9333E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9333E9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FE4E6C" w:rsidRPr="009333E9" w:rsidRDefault="00FE4E6C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8173D" w:rsidRPr="009333E9" w:rsidRDefault="0008173D" w:rsidP="009333E9">
      <w:pPr>
        <w:widowControl w:val="0"/>
        <w:spacing w:after="0" w:line="24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Вища кваліфікаційна комісія суд</w:t>
      </w:r>
      <w:r w:rsidR="00FE4E6C"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ів України у складі колегії:</w:t>
      </w:r>
    </w:p>
    <w:p w:rsidR="00FE4E6C" w:rsidRPr="009333E9" w:rsidRDefault="00FE4E6C" w:rsidP="0008173D">
      <w:pPr>
        <w:widowControl w:val="0"/>
        <w:spacing w:after="0" w:line="240" w:lineRule="auto"/>
        <w:ind w:firstLine="544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08173D" w:rsidRPr="009333E9" w:rsidRDefault="0008173D" w:rsidP="009333E9">
      <w:pPr>
        <w:widowControl w:val="0"/>
        <w:spacing w:after="0" w:line="24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В.І.,</w:t>
      </w:r>
    </w:p>
    <w:p w:rsidR="00FE4E6C" w:rsidRPr="009333E9" w:rsidRDefault="00FE4E6C" w:rsidP="0008173D">
      <w:pPr>
        <w:widowControl w:val="0"/>
        <w:spacing w:after="0" w:line="240" w:lineRule="auto"/>
        <w:ind w:firstLine="544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08173D" w:rsidRPr="009333E9" w:rsidRDefault="0008173D" w:rsidP="009333E9">
      <w:pPr>
        <w:widowControl w:val="0"/>
        <w:spacing w:after="0" w:line="24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М.І.,</w:t>
      </w:r>
    </w:p>
    <w:p w:rsidR="00FE4E6C" w:rsidRPr="009333E9" w:rsidRDefault="00FE4E6C" w:rsidP="0008173D">
      <w:pPr>
        <w:widowControl w:val="0"/>
        <w:spacing w:after="0" w:line="240" w:lineRule="auto"/>
        <w:ind w:firstLine="544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08173D" w:rsidRPr="009333E9" w:rsidRDefault="0008173D" w:rsidP="009333E9">
      <w:pPr>
        <w:widowControl w:val="0"/>
        <w:spacing w:after="0" w:line="240" w:lineRule="auto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кандидатів на посади суддів</w:t>
      </w:r>
      <w:r w:rsidRPr="009333E9">
        <w:rPr>
          <w:rFonts w:ascii="Times New Roman" w:eastAsia="Sylfaen" w:hAnsi="Times New Roman"/>
          <w:color w:val="000000"/>
          <w:sz w:val="12"/>
          <w:szCs w:val="12"/>
          <w:lang w:eastAsia="uk-UA"/>
        </w:rPr>
        <w:t xml:space="preserve"> 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FE4E6C" w:rsidRPr="009333E9" w:rsidRDefault="00FE4E6C" w:rsidP="0008173D">
      <w:pPr>
        <w:widowControl w:val="0"/>
        <w:spacing w:after="0" w:line="240" w:lineRule="auto"/>
        <w:ind w:firstLine="544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08173D" w:rsidRPr="009333E9" w:rsidRDefault="0008173D" w:rsidP="0008173D">
      <w:pPr>
        <w:widowControl w:val="0"/>
        <w:spacing w:after="0" w:line="240" w:lineRule="auto"/>
        <w:ind w:firstLine="544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встановила:</w:t>
      </w:r>
    </w:p>
    <w:p w:rsidR="00FE4E6C" w:rsidRPr="009333E9" w:rsidRDefault="00FE4E6C" w:rsidP="0008173D">
      <w:pPr>
        <w:widowControl w:val="0"/>
        <w:spacing w:after="0" w:line="240" w:lineRule="auto"/>
        <w:ind w:firstLine="544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Частиною одинадцятою статті 79 Закону України «Про судоустрій і статус суддів» від 02 червня 2016 року № 1402-VIII (далі - Закон) передбачено, що Комісія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оцінювання.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Згідно з пунктом 16 розділу XII «Прикінцеві та перехідні положення» Закону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Вищий антикорупційний суд утворюється та проведення конкурсу на посади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Верховною Радою України 07 червня 2018 року прийнято Закон України «Про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Вищ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ий антикорупційний суд» № 2447-</w:t>
      </w:r>
      <w:r w:rsidR="009333E9">
        <w:rPr>
          <w:rFonts w:ascii="Times New Roman" w:eastAsia="Sylfaen" w:hAnsi="Times New Roman"/>
          <w:color w:val="000000"/>
          <w:sz w:val="26"/>
          <w:szCs w:val="26"/>
          <w:lang w:val="en-US" w:eastAsia="uk-UA"/>
        </w:rPr>
        <w:t>V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ІІІ, який визначає засади організації та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діяльності Вищого антикорупційного суду, спеціальні вимоги до суддів цього суду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та гарантії їх діяльності.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Рішенням Комісії від 02 серпня 2018 року № 186/зп-18 оголошено конкурс на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зайняття 39 вакантних посад суддів Вищого антикорупційного суду, затверджено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Умови проведення конкурсу на зайняття вакантних посад суддів Вищого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антикорупційного суду (далі - Умови) та визначено, що питання допуску кандидата на посаду судді до проходження кваліфікаційного оцінювання вирішується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Комісією у складі колегій.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 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br w:type="page"/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lastRenderedPageBreak/>
        <w:t>здійснювати правосуддя у Вищому антикорупційному суді, а також відповідає іншим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вимогам, установленим законом.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визначених частиною другою статті 33 Закону.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кандидат посаду судді подає до Комісії документи, передбачені частиною четвертою статті 81 Закону.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Крім того, відповідно до частини третьої статті 8 Закону України «Про Вищий антикорупційний суд» від 07 червня 2018 року № 2447-VIII кандидат на посаду судді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Вищого антикорупційного суду подає до Комісії крім документів, визначених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Законом, документи, які підтверджують дотримання вимог, передбачених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частиною другою статті 7 цього закону, а також заяву про відсутність</w:t>
      </w:r>
      <w:r w:rsid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обставин, зазначених у частині четвертій статті 7 цього закону.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08173D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</w:t>
      </w:r>
      <w:proofErr w:type="spellStart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статтею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proofErr w:type="spellEnd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7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Закону України «Про Вищий антикорупційний суд». Крім того, передбачено строк подання документів для участі у конкурсі - 38 календарних 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br/>
      </w:r>
      <w:proofErr w:type="spellStart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днів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–</w:t>
      </w:r>
      <w:proofErr w:type="spellEnd"/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з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08 серпня по 14 вересня 2018 року (включно) (пункти 3-4 Умов).</w:t>
      </w:r>
    </w:p>
    <w:p w:rsidR="002D5CC7" w:rsidRPr="009333E9" w:rsidRDefault="0008173D" w:rsidP="009333E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p w:rsidR="0008173D" w:rsidRPr="009333E9" w:rsidRDefault="0008173D" w:rsidP="0008173D">
      <w:pPr>
        <w:widowControl w:val="0"/>
        <w:spacing w:after="0" w:line="240" w:lineRule="auto"/>
        <w:ind w:firstLine="544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4501"/>
      </w:tblGrid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Ахтирська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Наталія Миколаївна</w:t>
            </w:r>
          </w:p>
        </w:tc>
        <w:tc>
          <w:tcPr>
            <w:tcW w:w="4501" w:type="dxa"/>
          </w:tcPr>
          <w:p w:rsidR="0008173D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Апеляційної палат</w:t>
            </w:r>
            <w:r w:rsidR="00A040BA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и Вищого антикорупційного суду;</w:t>
            </w:r>
          </w:p>
          <w:p w:rsidR="00A040BA" w:rsidRPr="009333E9" w:rsidRDefault="00A040BA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Буцмак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Юрій Євгенович</w:t>
            </w:r>
          </w:p>
        </w:tc>
        <w:tc>
          <w:tcPr>
            <w:tcW w:w="4501" w:type="dxa"/>
          </w:tcPr>
          <w:p w:rsidR="0008173D" w:rsidRDefault="0008173D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Апеляційної палат</w:t>
            </w:r>
            <w:r w:rsidR="00A040BA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и Вищого антикорупційного суду;</w:t>
            </w:r>
          </w:p>
          <w:p w:rsidR="00A040BA" w:rsidRPr="009333E9" w:rsidRDefault="00A040BA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Каневський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Вячеслав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Олександрович</w:t>
            </w:r>
          </w:p>
        </w:tc>
        <w:tc>
          <w:tcPr>
            <w:tcW w:w="4501" w:type="dxa"/>
          </w:tcPr>
          <w:p w:rsidR="0008173D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</w:t>
            </w:r>
            <w:r w:rsidR="00A040BA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і Вищого антикорупційного суду;</w:t>
            </w:r>
          </w:p>
          <w:p w:rsidR="00A040BA" w:rsidRPr="009333E9" w:rsidRDefault="00A040BA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Коряк Артур Васильович</w:t>
            </w:r>
          </w:p>
        </w:tc>
        <w:tc>
          <w:tcPr>
            <w:tcW w:w="4501" w:type="dxa"/>
          </w:tcPr>
          <w:p w:rsidR="0008173D" w:rsidRDefault="0008173D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Апеляційної палат</w:t>
            </w:r>
            <w:r w:rsidR="00A040BA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и Вищого антикорупційного суду;</w:t>
            </w:r>
          </w:p>
          <w:p w:rsidR="00A040BA" w:rsidRPr="009333E9" w:rsidRDefault="00A040BA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Мандриченко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Жанна Василівна</w:t>
            </w:r>
          </w:p>
        </w:tc>
        <w:tc>
          <w:tcPr>
            <w:tcW w:w="4501" w:type="dxa"/>
          </w:tcPr>
          <w:p w:rsidR="0008173D" w:rsidRPr="009333E9" w:rsidRDefault="0008173D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Апеляційної палати Вищого антикорупційного суду;</w:t>
            </w: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lastRenderedPageBreak/>
              <w:t>6)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Мащук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Віталій Юрійович</w:t>
            </w:r>
          </w:p>
        </w:tc>
        <w:tc>
          <w:tcPr>
            <w:tcW w:w="4501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  <w:p w:rsidR="00193A4E" w:rsidRPr="009333E9" w:rsidRDefault="00193A4E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Рунов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Володимир Юрійович</w:t>
            </w:r>
          </w:p>
        </w:tc>
        <w:tc>
          <w:tcPr>
            <w:tcW w:w="4501" w:type="dxa"/>
          </w:tcPr>
          <w:p w:rsidR="0008173D" w:rsidRPr="009333E9" w:rsidRDefault="0008173D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Апеляційної палати Вищого антикорупційного суду;</w:t>
            </w:r>
          </w:p>
          <w:p w:rsidR="00193A4E" w:rsidRPr="009333E9" w:rsidRDefault="00193A4E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8)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Сарафанюк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Олександр Петрович</w:t>
            </w:r>
          </w:p>
        </w:tc>
        <w:tc>
          <w:tcPr>
            <w:tcW w:w="4501" w:type="dxa"/>
          </w:tcPr>
          <w:p w:rsidR="0008173D" w:rsidRPr="009333E9" w:rsidRDefault="0008173D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  <w:p w:rsidR="00193A4E" w:rsidRPr="009333E9" w:rsidRDefault="00193A4E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08173D" w:rsidRPr="009333E9" w:rsidTr="00A040BA">
        <w:tc>
          <w:tcPr>
            <w:tcW w:w="534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9)</w:t>
            </w:r>
          </w:p>
        </w:tc>
        <w:tc>
          <w:tcPr>
            <w:tcW w:w="4819" w:type="dxa"/>
          </w:tcPr>
          <w:p w:rsidR="0008173D" w:rsidRPr="009333E9" w:rsidRDefault="0008173D" w:rsidP="0008173D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Товстолужський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Олег Володимирович</w:t>
            </w:r>
          </w:p>
        </w:tc>
        <w:tc>
          <w:tcPr>
            <w:tcW w:w="4501" w:type="dxa"/>
          </w:tcPr>
          <w:p w:rsidR="0008173D" w:rsidRPr="009333E9" w:rsidRDefault="0008173D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Вищого антикорупційного суду.</w:t>
            </w:r>
          </w:p>
        </w:tc>
      </w:tr>
    </w:tbl>
    <w:p w:rsidR="0008173D" w:rsidRPr="009333E9" w:rsidRDefault="0008173D" w:rsidP="0008173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8173D" w:rsidRPr="009333E9" w:rsidRDefault="0008173D" w:rsidP="0008173D">
      <w:pPr>
        <w:widowControl w:val="0"/>
        <w:spacing w:after="0" w:line="312" w:lineRule="exact"/>
        <w:ind w:left="40" w:right="20" w:firstLine="56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Дослідивши подані документи кандидатів, Комісія дійшла висновку, що вказані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</w:t>
      </w:r>
      <w:proofErr w:type="spellStart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кандидата</w:t>
      </w:r>
      <w:proofErr w:type="spellEnd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м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у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допуску до проходження кваліфікаційного оцінювання для участі у конкурсах на посаду суддів Вищого антикорупційного суду та Апеляційної палати Вищого антикорупційного суду, не встановлено.</w:t>
      </w:r>
    </w:p>
    <w:p w:rsidR="0008173D" w:rsidRPr="009333E9" w:rsidRDefault="0008173D" w:rsidP="0008173D">
      <w:pPr>
        <w:widowControl w:val="0"/>
        <w:spacing w:after="414" w:line="317" w:lineRule="exact"/>
        <w:ind w:left="40" w:right="20" w:firstLine="560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</w:t>
      </w:r>
      <w:r w:rsidR="00A040BA">
        <w:rPr>
          <w:rFonts w:ascii="Times New Roman" w:eastAsia="Sylfaen" w:hAnsi="Times New Roman"/>
          <w:color w:val="000000"/>
          <w:sz w:val="26"/>
          <w:szCs w:val="26"/>
          <w:lang w:eastAsia="uk-UA"/>
        </w:rPr>
        <w:t> </w:t>
      </w:r>
      <w:bookmarkStart w:id="0" w:name="_GoBack"/>
      <w:bookmarkEnd w:id="0"/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Комісія</w:t>
      </w:r>
    </w:p>
    <w:p w:rsidR="0008173D" w:rsidRPr="009333E9" w:rsidRDefault="0008173D" w:rsidP="0008173D">
      <w:pPr>
        <w:widowControl w:val="0"/>
        <w:spacing w:after="270" w:line="250" w:lineRule="exact"/>
        <w:ind w:right="100"/>
        <w:jc w:val="center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вирішила:</w:t>
      </w:r>
    </w:p>
    <w:p w:rsidR="0008173D" w:rsidRPr="009333E9" w:rsidRDefault="00FE39CB" w:rsidP="00FE39CB">
      <w:pPr>
        <w:widowControl w:val="0"/>
        <w:tabs>
          <w:tab w:val="left" w:pos="942"/>
        </w:tabs>
        <w:spacing w:after="0" w:line="307" w:lineRule="exact"/>
        <w:ind w:right="20" w:firstLine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 xml:space="preserve">1. </w:t>
      </w:r>
      <w:r w:rsidR="0008173D"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Допустити до проходження кваліфікаційного оцінювання для участі у конкурсі на зайняття вакантних посад суддів Вищого антикорупційного суду:</w:t>
      </w:r>
    </w:p>
    <w:p w:rsidR="002D5CC7" w:rsidRPr="009333E9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D5CC7" w:rsidRPr="009333E9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359"/>
      </w:tblGrid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961" w:type="dxa"/>
          </w:tcPr>
          <w:p w:rsidR="00FE39CB" w:rsidRPr="009333E9" w:rsidRDefault="00FE39CB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Каневськ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ого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Вячеслав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Олександрович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а;</w:t>
            </w: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961" w:type="dxa"/>
          </w:tcPr>
          <w:p w:rsidR="00FE39CB" w:rsidRPr="009333E9" w:rsidRDefault="00FE39CB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Мащук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Віталі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Юрійович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а;</w:t>
            </w: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961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Сарафанюк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Олександр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Петрович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а;</w:t>
            </w: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961" w:type="dxa"/>
          </w:tcPr>
          <w:p w:rsidR="00FE39CB" w:rsidRPr="009333E9" w:rsidRDefault="00FE39CB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Товстолужськ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ого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Олег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Володимирович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а.</w:t>
            </w: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</w:tbl>
    <w:p w:rsidR="00312B07" w:rsidRPr="009333E9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FE39CB" w:rsidRPr="009333E9" w:rsidRDefault="00FE39CB" w:rsidP="00FE39CB">
      <w:pPr>
        <w:widowControl w:val="0"/>
        <w:tabs>
          <w:tab w:val="left" w:pos="938"/>
        </w:tabs>
        <w:spacing w:after="406" w:line="307" w:lineRule="exact"/>
        <w:ind w:right="20" w:firstLine="567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9333E9">
        <w:rPr>
          <w:rFonts w:ascii="Times New Roman" w:eastAsia="Sylfaen" w:hAnsi="Times New Roman"/>
          <w:color w:val="000000"/>
          <w:sz w:val="26"/>
          <w:szCs w:val="26"/>
          <w:lang w:eastAsia="uk-UA"/>
        </w:rPr>
        <w:t>2. Допустити до проходження кваліфікаційного оцінювання для участі у конкурсі на зайняття вакантних посад суддів Апеляційної палати Вищого антикорупційного суду: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4359"/>
      </w:tblGrid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961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Ахтирськ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Наталі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ю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Миколаївн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у;</w:t>
            </w: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961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Буцмак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Юрі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Євгенович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а;</w:t>
            </w: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lastRenderedPageBreak/>
              <w:t>3)</w:t>
            </w:r>
          </w:p>
        </w:tc>
        <w:tc>
          <w:tcPr>
            <w:tcW w:w="4961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Коряк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Артур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Васильович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а;</w:t>
            </w: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FE4E6C" w:rsidRPr="009333E9" w:rsidRDefault="00FE4E6C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961" w:type="dxa"/>
          </w:tcPr>
          <w:p w:rsidR="00FE39CB" w:rsidRPr="009333E9" w:rsidRDefault="00FE39CB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Мандриченко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Жанн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Василівн</w:t>
            </w:r>
            <w:r w:rsidR="00FE4E6C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у;</w:t>
            </w: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FE4E6C" w:rsidRPr="009333E9" w:rsidRDefault="00FE4E6C" w:rsidP="00FE4E6C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E39CB" w:rsidRPr="009333E9" w:rsidTr="009333E9">
        <w:tc>
          <w:tcPr>
            <w:tcW w:w="534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961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Рунов</w:t>
            </w:r>
            <w:r w:rsidR="00193A4E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proofErr w:type="spellEnd"/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Володимир</w:t>
            </w:r>
            <w:r w:rsidR="00193A4E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r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Юрійович</w:t>
            </w:r>
            <w:r w:rsidR="00193A4E" w:rsidRPr="009333E9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а.</w:t>
            </w:r>
          </w:p>
          <w:p w:rsidR="00193A4E" w:rsidRPr="009333E9" w:rsidRDefault="00193A4E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360" w:type="dxa"/>
          </w:tcPr>
          <w:p w:rsidR="00FE39CB" w:rsidRPr="009333E9" w:rsidRDefault="00FE39CB" w:rsidP="009333E9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</w:tbl>
    <w:p w:rsidR="00FE39CB" w:rsidRPr="009333E9" w:rsidRDefault="00FE39CB" w:rsidP="00FE39CB">
      <w:pPr>
        <w:widowControl w:val="0"/>
        <w:tabs>
          <w:tab w:val="left" w:pos="938"/>
        </w:tabs>
        <w:spacing w:after="406" w:line="307" w:lineRule="exact"/>
        <w:ind w:right="20" w:firstLine="567"/>
        <w:jc w:val="both"/>
        <w:rPr>
          <w:rFonts w:ascii="Times New Roman" w:eastAsia="Sylfaen" w:hAnsi="Times New Roman"/>
          <w:sz w:val="26"/>
          <w:szCs w:val="26"/>
          <w:lang w:eastAsia="uk-UA"/>
        </w:rPr>
      </w:pPr>
    </w:p>
    <w:p w:rsidR="00FE39CB" w:rsidRPr="009333E9" w:rsidRDefault="00FE39CB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9333E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9333E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E39CB" w:rsidRPr="009333E9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FE39CB" w:rsidRPr="009333E9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A87245" w:rsidRPr="009333E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9333E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E39CB" w:rsidRPr="009333E9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FE39CB" w:rsidRPr="009333E9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A87245" w:rsidRPr="009333E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9333E9" w:rsidRDefault="00FE39C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9333E9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FE39CB" w:rsidRPr="009333E9" w:rsidRDefault="00FE39C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9333E9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p w:rsidR="006F76D3" w:rsidRPr="009333E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9333E9" w:rsidSect="009333E9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0BA" w:rsidRDefault="00A040BA" w:rsidP="002F156E">
      <w:pPr>
        <w:spacing w:after="0" w:line="240" w:lineRule="auto"/>
      </w:pPr>
      <w:r>
        <w:separator/>
      </w:r>
    </w:p>
  </w:endnote>
  <w:endnote w:type="continuationSeparator" w:id="0">
    <w:p w:rsidR="00A040BA" w:rsidRDefault="00A040B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0BA" w:rsidRDefault="00A040BA" w:rsidP="002F156E">
      <w:pPr>
        <w:spacing w:after="0" w:line="240" w:lineRule="auto"/>
      </w:pPr>
      <w:r>
        <w:separator/>
      </w:r>
    </w:p>
  </w:footnote>
  <w:footnote w:type="continuationSeparator" w:id="0">
    <w:p w:rsidR="00A040BA" w:rsidRDefault="00A040B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A040BA" w:rsidRDefault="00A040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D37">
          <w:rPr>
            <w:noProof/>
          </w:rPr>
          <w:t>4</w:t>
        </w:r>
        <w:r>
          <w:fldChar w:fldCharType="end"/>
        </w:r>
      </w:p>
    </w:sdtContent>
  </w:sdt>
  <w:p w:rsidR="00A040BA" w:rsidRDefault="00A040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00CC"/>
    <w:multiLevelType w:val="multilevel"/>
    <w:tmpl w:val="8B70E2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DE4103"/>
    <w:multiLevelType w:val="multilevel"/>
    <w:tmpl w:val="97D0B6D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173D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3A4E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4415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3B0F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2D37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33E9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0BA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39CB"/>
    <w:rsid w:val="00FE4B02"/>
    <w:rsid w:val="00FE4E6C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81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81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81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81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4217</Words>
  <Characters>2404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7</cp:revision>
  <dcterms:created xsi:type="dcterms:W3CDTF">2020-11-30T06:55:00Z</dcterms:created>
  <dcterms:modified xsi:type="dcterms:W3CDTF">2020-12-14T09:01:00Z</dcterms:modified>
</cp:coreProperties>
</file>