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4B7" w:rsidRPr="00434F30" w:rsidRDefault="001F7F36" w:rsidP="002064B7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>
        <w:t>І</w:t>
      </w:r>
      <w:r w:rsidR="002064B7" w:rsidRPr="0043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9E0B9B" wp14:editId="64302940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4B7" w:rsidRPr="00434F30" w:rsidRDefault="002064B7" w:rsidP="002064B7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434F3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2064B7" w:rsidRPr="00F00BA8" w:rsidRDefault="002064B7" w:rsidP="002064B7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</w:p>
    <w:p w:rsidR="002064B7" w:rsidRPr="00F00BA8" w:rsidRDefault="002064B7" w:rsidP="002064B7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3"/>
          <w:szCs w:val="23"/>
        </w:rPr>
      </w:pPr>
      <w:r w:rsidRPr="00F00BA8">
        <w:rPr>
          <w:rFonts w:ascii="Times New Roman" w:hAnsi="Times New Roman" w:cs="Times New Roman"/>
          <w:sz w:val="23"/>
          <w:szCs w:val="23"/>
        </w:rPr>
        <w:t xml:space="preserve">07 травня 2019 року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</w:t>
      </w:r>
      <w:r w:rsidRPr="00F00BA8">
        <w:rPr>
          <w:rFonts w:ascii="Times New Roman" w:hAnsi="Times New Roman" w:cs="Times New Roman"/>
          <w:sz w:val="23"/>
          <w:szCs w:val="23"/>
        </w:rPr>
        <w:t xml:space="preserve">    м. Київ</w:t>
      </w:r>
    </w:p>
    <w:p w:rsidR="002064B7" w:rsidRPr="00F00BA8" w:rsidRDefault="002064B7" w:rsidP="002064B7">
      <w:pPr>
        <w:keepNext/>
        <w:keepLines/>
        <w:ind w:right="20"/>
        <w:jc w:val="both"/>
        <w:rPr>
          <w:rStyle w:val="3pt0"/>
          <w:rFonts w:eastAsia="Courier New"/>
          <w:sz w:val="23"/>
          <w:szCs w:val="23"/>
        </w:rPr>
      </w:pPr>
    </w:p>
    <w:p w:rsidR="002064B7" w:rsidRDefault="002064B7" w:rsidP="002064B7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F00BA8">
        <w:rPr>
          <w:rStyle w:val="3pt0"/>
          <w:rFonts w:eastAsia="Courier New"/>
          <w:sz w:val="23"/>
          <w:szCs w:val="23"/>
        </w:rPr>
        <w:t>РІШЕННЯ</w:t>
      </w:r>
      <w:r w:rsidRPr="00F00BA8">
        <w:rPr>
          <w:rFonts w:ascii="Times New Roman" w:hAnsi="Times New Roman" w:cs="Times New Roman"/>
          <w:sz w:val="23"/>
          <w:szCs w:val="23"/>
        </w:rPr>
        <w:t xml:space="preserve"> №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 xml:space="preserve">  3</w:t>
      </w:r>
      <w:r w:rsidR="00CD4E50">
        <w:rPr>
          <w:rFonts w:ascii="Times New Roman" w:hAnsi="Times New Roman" w:cs="Times New Roman"/>
          <w:sz w:val="23"/>
          <w:szCs w:val="23"/>
          <w:u w:val="single"/>
        </w:rPr>
        <w:t>4</w:t>
      </w:r>
      <w:r w:rsidRPr="00F00BA8">
        <w:rPr>
          <w:rFonts w:ascii="Times New Roman" w:hAnsi="Times New Roman" w:cs="Times New Roman"/>
          <w:sz w:val="23"/>
          <w:szCs w:val="23"/>
          <w:u w:val="single"/>
        </w:rPr>
        <w:t>/пс-19</w:t>
      </w:r>
    </w:p>
    <w:p w:rsidR="00CD4E50" w:rsidRPr="00F00BA8" w:rsidRDefault="00CD4E50" w:rsidP="002064B7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</w:p>
    <w:p w:rsidR="00FB64EE" w:rsidRDefault="00FB64EE">
      <w:pPr>
        <w:rPr>
          <w:sz w:val="2"/>
          <w:szCs w:val="2"/>
        </w:rPr>
      </w:pPr>
    </w:p>
    <w:p w:rsidR="00FB64EE" w:rsidRDefault="001F7F36" w:rsidP="00CD4E50">
      <w:pPr>
        <w:pStyle w:val="11"/>
        <w:shd w:val="clear" w:color="auto" w:fill="auto"/>
        <w:spacing w:before="0" w:after="409" w:line="322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FB64EE" w:rsidRDefault="001F7F36">
      <w:pPr>
        <w:pStyle w:val="11"/>
        <w:shd w:val="clear" w:color="auto" w:fill="auto"/>
        <w:spacing w:before="0" w:after="417" w:line="260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FB64EE" w:rsidRDefault="001F7F36">
      <w:pPr>
        <w:pStyle w:val="11"/>
        <w:shd w:val="clear" w:color="auto" w:fill="auto"/>
        <w:spacing w:before="0" w:after="368" w:line="260" w:lineRule="exact"/>
        <w:ind w:left="40"/>
      </w:pPr>
      <w:r>
        <w:t xml:space="preserve">членів Комісії: Василенка А.В.,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FB64EE" w:rsidRDefault="001F7F36">
      <w:pPr>
        <w:pStyle w:val="11"/>
        <w:shd w:val="clear" w:color="auto" w:fill="auto"/>
        <w:spacing w:before="0" w:after="409" w:line="322" w:lineRule="exact"/>
        <w:ind w:left="40" w:right="20"/>
      </w:pPr>
      <w:r>
        <w:t xml:space="preserve">розглянувши питання щодо внесення подання про відрядження судді до </w:t>
      </w:r>
      <w:r w:rsidR="00CD4E50">
        <w:t xml:space="preserve">                   </w:t>
      </w:r>
      <w:r>
        <w:t>Ленінського районного суду міста Кіровограда для здійснення правосуддя,</w:t>
      </w:r>
    </w:p>
    <w:p w:rsidR="00FB64EE" w:rsidRDefault="001F7F36">
      <w:pPr>
        <w:pStyle w:val="11"/>
        <w:shd w:val="clear" w:color="auto" w:fill="auto"/>
        <w:spacing w:before="0" w:after="368" w:line="260" w:lineRule="exact"/>
        <w:ind w:right="20"/>
        <w:jc w:val="center"/>
      </w:pPr>
      <w:r>
        <w:t>встановила: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Відповідно до частини першої статті 55 Закону України «Про судоустрій і статус суддів» у зв’язку з неможливістю здійснення правосуддя у відповідному </w:t>
      </w:r>
      <w:r w:rsidR="00CD4E50">
        <w:t xml:space="preserve">             </w:t>
      </w:r>
      <w:r>
        <w:t xml:space="preserve">суді, виявленням надмірного рівня судового навантаження у відповідному суді, припиненням роботи суду у зв’язку зі стихійним лихом, військовими діями, </w:t>
      </w:r>
      <w:r w:rsidR="00CD4E50">
        <w:t xml:space="preserve"> </w:t>
      </w:r>
      <w:r>
        <w:t xml:space="preserve">заходами щодо боротьби з тероризмом або іншими надзвичайними </w:t>
      </w:r>
      <w:r w:rsidR="00967790">
        <w:t xml:space="preserve">                    </w:t>
      </w:r>
      <w:r>
        <w:t xml:space="preserve">обставинами, за рішенням Вищої ради правосуддя, ухваленим на підставі </w:t>
      </w:r>
      <w:r w:rsidR="00967790">
        <w:t xml:space="preserve">                       </w:t>
      </w:r>
      <w:r>
        <w:t xml:space="preserve">подання Вищої кваліфікаційної комісії суддів України, суддя може бути, за </w:t>
      </w:r>
      <w:r w:rsidR="00967790">
        <w:t xml:space="preserve">                      </w:t>
      </w:r>
      <w:r>
        <w:t>його згодою, відряджений до іншого суду того самого рівня і спеціалізації для здійснення правосуддя.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Частиною другою статті 55 Закону України «Про судоустрій і статус </w:t>
      </w:r>
      <w:r w:rsidR="00967790">
        <w:t xml:space="preserve">                 </w:t>
      </w:r>
      <w:r>
        <w:t xml:space="preserve">суддів» визначено, що відрядження судді до іншого суду того самого рівня і спеціалізації здійснюється на строк, який визначається Вищою радою </w:t>
      </w:r>
      <w:r w:rsidR="00967790">
        <w:t xml:space="preserve">                     </w:t>
      </w:r>
      <w:r>
        <w:t>правосуддя, але не більше ніж на один рік. Суддя, строк відрядження якого закінчився, повертається на роботу до суду, з якого був відряджений.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До Комісії 05 квітня 2019 року надійшло повідомлення Державної судової адміністрації України (далі </w:t>
      </w:r>
      <w:r w:rsidR="00967790">
        <w:t>–</w:t>
      </w:r>
      <w:r>
        <w:t xml:space="preserve"> ДСА України) про необхідність розгляду питання щодо відрядження суддів до Ленінського районного суду міста Кіровограда у зв’язку з надмірним рівнем судового навантаження в цьому суді.</w:t>
      </w:r>
    </w:p>
    <w:p w:rsidR="00967790" w:rsidRDefault="00967790">
      <w:pPr>
        <w:pStyle w:val="11"/>
        <w:shd w:val="clear" w:color="auto" w:fill="auto"/>
        <w:spacing w:before="0" w:after="0" w:line="322" w:lineRule="exact"/>
        <w:ind w:left="40" w:right="20" w:firstLine="700"/>
      </w:pPr>
    </w:p>
    <w:p w:rsidR="00967790" w:rsidRDefault="00967790">
      <w:pPr>
        <w:pStyle w:val="11"/>
        <w:shd w:val="clear" w:color="auto" w:fill="auto"/>
        <w:spacing w:before="0" w:after="0" w:line="322" w:lineRule="exact"/>
        <w:ind w:left="40" w:right="20" w:firstLine="700"/>
      </w:pPr>
    </w:p>
    <w:p w:rsidR="00967790" w:rsidRDefault="00967790">
      <w:pPr>
        <w:pStyle w:val="11"/>
        <w:shd w:val="clear" w:color="auto" w:fill="auto"/>
        <w:spacing w:before="0" w:after="0" w:line="322" w:lineRule="exact"/>
        <w:ind w:left="40" w:right="20" w:firstLine="700"/>
      </w:pPr>
    </w:p>
    <w:p w:rsidR="00967790" w:rsidRDefault="00967790" w:rsidP="009503D9">
      <w:pPr>
        <w:pStyle w:val="11"/>
        <w:shd w:val="clear" w:color="auto" w:fill="auto"/>
        <w:spacing w:before="0" w:after="0" w:line="322" w:lineRule="exact"/>
        <w:ind w:right="20"/>
      </w:pP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>Наказом ДСА України від 08 серпня 2017 року № 843 «Про визначення кількості суддів у місцевих загальних судах, апеляційних судах областей, міста Києва» у Ленінському районному суді міста Кіровограда визначено 14</w:t>
      </w:r>
      <w:r w:rsidR="009503D9">
        <w:t xml:space="preserve">                       </w:t>
      </w:r>
      <w:r>
        <w:t xml:space="preserve"> штатних посад суддів.</w:t>
      </w:r>
    </w:p>
    <w:p w:rsidR="00FB64EE" w:rsidRDefault="001F7F36" w:rsidP="009503D9">
      <w:pPr>
        <w:pStyle w:val="11"/>
        <w:shd w:val="clear" w:color="auto" w:fill="auto"/>
        <w:spacing w:before="0" w:after="0" w:line="322" w:lineRule="exact"/>
        <w:ind w:left="20" w:right="2" w:firstLine="700"/>
      </w:pPr>
      <w:r>
        <w:t xml:space="preserve">Станом на 01 березня 2019 року в Ленінському районному суді </w:t>
      </w:r>
      <w:r w:rsidR="00967790">
        <w:t xml:space="preserve">                                   </w:t>
      </w:r>
      <w:r>
        <w:t xml:space="preserve">міста Кіровограда фактично перебуває на посадах 9 суддів, 5 посад є </w:t>
      </w:r>
      <w:r w:rsidR="009503D9">
        <w:t xml:space="preserve">                     </w:t>
      </w:r>
      <w:r>
        <w:t>вакантними.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firstLine="700"/>
      </w:pPr>
      <w:r>
        <w:t>Окрім того, у трьох суддів припинилися повноваження.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Отже, здійснює правосуддя у Ленінському районному суді міста </w:t>
      </w:r>
      <w:r w:rsidR="00967790">
        <w:t xml:space="preserve">                           </w:t>
      </w:r>
      <w:r>
        <w:t>Кіровограда 6 суддів.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Оптимальна (нормативна, модельна) кількість суддів Ленінського </w:t>
      </w:r>
      <w:r w:rsidR="00967790">
        <w:t xml:space="preserve">                  </w:t>
      </w:r>
      <w:r>
        <w:t>районного суду міста Кіровограда становить 11 посад суддів з урахуванням</w:t>
      </w:r>
      <w:r w:rsidR="00967790">
        <w:t xml:space="preserve">                 </w:t>
      </w:r>
      <w:r>
        <w:t xml:space="preserve"> судового навантаження у 2018 році.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повідомленням ДСА України відрядження 2 суддів до Ленінського районного суду міста Кіровограда строком на один рік дозволить врегулювати навантаження в цьому суді.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вимог пункту 1 розділу III Порядку відрядження судді до</w:t>
      </w:r>
      <w:r w:rsidR="00967790">
        <w:t xml:space="preserve">   </w:t>
      </w:r>
      <w:r>
        <w:t xml:space="preserve">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967790">
        <w:t xml:space="preserve">                               </w:t>
      </w:r>
      <w:r>
        <w:t xml:space="preserve">№ 54/0/15-17 (далі </w:t>
      </w:r>
      <w:r w:rsidR="00967790">
        <w:t>–</w:t>
      </w:r>
      <w:r>
        <w:t xml:space="preserve"> Порядок), Комісією призначено до розгляду питання щодо внесення подання про відрядження судді до Ленінського районного суду міста Кіровограда для здійснення правосуддя.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вимогами пункту 2 розділу III Порядку на офіційному веб-сайті Комісії розміщено оголошення про призначення до розгляду зазначеного питання на 07 травня 2019 року.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До Комісії зі згодою на відрядження до Ленінського районного суду міста Кіровограда звернулися:</w:t>
      </w:r>
    </w:p>
    <w:p w:rsidR="00FB64EE" w:rsidRDefault="001F7F36">
      <w:pPr>
        <w:pStyle w:val="11"/>
        <w:numPr>
          <w:ilvl w:val="0"/>
          <w:numId w:val="1"/>
        </w:numPr>
        <w:shd w:val="clear" w:color="auto" w:fill="auto"/>
        <w:tabs>
          <w:tab w:val="left" w:pos="903"/>
        </w:tabs>
        <w:spacing w:before="0" w:after="0" w:line="322" w:lineRule="exact"/>
        <w:ind w:left="20" w:right="20" w:firstLine="700"/>
      </w:pPr>
      <w:r>
        <w:t xml:space="preserve">суддя </w:t>
      </w:r>
      <w:proofErr w:type="spellStart"/>
      <w:r>
        <w:t>Знам’янського</w:t>
      </w:r>
      <w:proofErr w:type="spellEnd"/>
      <w:r>
        <w:t xml:space="preserve"> міськрайонного суду Кіровоградської області </w:t>
      </w:r>
      <w:proofErr w:type="spellStart"/>
      <w:r>
        <w:t>Тьор</w:t>
      </w:r>
      <w:proofErr w:type="spellEnd"/>
      <w:r>
        <w:t xml:space="preserve"> Євгеній Миколайович;</w:t>
      </w:r>
    </w:p>
    <w:p w:rsidR="00FB64EE" w:rsidRDefault="001F7F36">
      <w:pPr>
        <w:pStyle w:val="11"/>
        <w:numPr>
          <w:ilvl w:val="0"/>
          <w:numId w:val="1"/>
        </w:numPr>
        <w:shd w:val="clear" w:color="auto" w:fill="auto"/>
        <w:tabs>
          <w:tab w:val="left" w:pos="985"/>
        </w:tabs>
        <w:spacing w:before="0" w:after="0" w:line="322" w:lineRule="exact"/>
        <w:ind w:left="20" w:right="20" w:firstLine="700"/>
      </w:pPr>
      <w:r>
        <w:t xml:space="preserve">суддя </w:t>
      </w:r>
      <w:proofErr w:type="spellStart"/>
      <w:r>
        <w:t>Краснолиманського</w:t>
      </w:r>
      <w:proofErr w:type="spellEnd"/>
      <w:r>
        <w:t xml:space="preserve"> міського суду Донецької області Сердюк </w:t>
      </w:r>
      <w:r w:rsidR="00967790">
        <w:t xml:space="preserve">                      </w:t>
      </w:r>
      <w:r>
        <w:t>Наталія Володимирівна.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Зазначені судді подали документи, передбачені пунктом 5 розділу III </w:t>
      </w:r>
      <w:r w:rsidR="00967790">
        <w:t xml:space="preserve">                    </w:t>
      </w:r>
      <w:r>
        <w:t>Порядку.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Судді повідомлені про час і місце засідання шляхом розміщення </w:t>
      </w:r>
      <w:r w:rsidR="00967790">
        <w:t xml:space="preserve">                </w:t>
      </w:r>
      <w:r>
        <w:t xml:space="preserve">оголошення на офіційному веб-сайті Комісії. Суддя Сердюк Н.В. прибула на засідання Комісії, а суддя </w:t>
      </w:r>
      <w:proofErr w:type="spellStart"/>
      <w:r>
        <w:t>Тьор</w:t>
      </w:r>
      <w:proofErr w:type="spellEnd"/>
      <w:r>
        <w:t xml:space="preserve"> С.М. не з’явився. Відповідно до пункту 8 </w:t>
      </w:r>
      <w:r w:rsidR="00967790">
        <w:t xml:space="preserve">                       </w:t>
      </w:r>
      <w:r>
        <w:t xml:space="preserve">розділу III Порядку неявка судді не перешкоджає розгляду питання щодо </w:t>
      </w:r>
      <w:r w:rsidR="00967790">
        <w:t xml:space="preserve">                    </w:t>
      </w:r>
      <w:r>
        <w:t>внесення подання про відрядження судді за його відсутності.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від 24 вересня 2016 року № 410/2016 </w:t>
      </w:r>
      <w:r w:rsidR="00967790">
        <w:t xml:space="preserve">                      </w:t>
      </w:r>
      <w:proofErr w:type="spellStart"/>
      <w:r>
        <w:t>Тьора</w:t>
      </w:r>
      <w:proofErr w:type="spellEnd"/>
      <w:r>
        <w:t xml:space="preserve"> С.М. призначено на посаду судді </w:t>
      </w:r>
      <w:proofErr w:type="spellStart"/>
      <w:r>
        <w:t>Знам’янського</w:t>
      </w:r>
      <w:proofErr w:type="spellEnd"/>
      <w:r>
        <w:t xml:space="preserve"> міськрайонного суду Кіровоградської області строком на п’ять років.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firstLine="700"/>
      </w:pPr>
      <w:r>
        <w:t>Стаж роботи на посаді судді становить 2 роки 7 місяців.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наданої Комісії довідки за підписом голови </w:t>
      </w:r>
      <w:proofErr w:type="spellStart"/>
      <w:r>
        <w:t>Знам’янського</w:t>
      </w:r>
      <w:proofErr w:type="spellEnd"/>
      <w:r>
        <w:t xml:space="preserve"> міськрайонного суду Кіровоградської області штатна чисельність суддів у суді становить 9, фактична чисельність </w:t>
      </w:r>
      <w:r w:rsidR="00967790">
        <w:t>–</w:t>
      </w:r>
      <w:r>
        <w:t xml:space="preserve"> 9 суддів, правосуддя здійснюють 7 суддів.</w:t>
      </w:r>
    </w:p>
    <w:p w:rsidR="00FB64EE" w:rsidRPr="00967790" w:rsidRDefault="00967790" w:rsidP="00967790">
      <w:pPr>
        <w:pStyle w:val="30"/>
        <w:shd w:val="clear" w:color="auto" w:fill="auto"/>
        <w:spacing w:after="320" w:line="200" w:lineRule="exact"/>
        <w:ind w:hanging="1134"/>
        <w:rPr>
          <w:rFonts w:ascii="Times New Roman" w:hAnsi="Times New Roman" w:cs="Times New Roman"/>
          <w:color w:val="808080" w:themeColor="background1" w:themeShade="80"/>
        </w:rPr>
      </w:pPr>
      <w:r w:rsidRPr="00967790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Загальна кількість справ, що перебувають у провадженні суддів </w:t>
      </w:r>
      <w:r w:rsidR="00967790">
        <w:t xml:space="preserve">                           </w:t>
      </w:r>
      <w:proofErr w:type="spellStart"/>
      <w:r>
        <w:t>Знам’янського</w:t>
      </w:r>
      <w:proofErr w:type="spellEnd"/>
      <w:r>
        <w:t xml:space="preserve"> міськрайонного суду Кіровоградської області, становить: </w:t>
      </w:r>
      <w:r w:rsidR="00967790">
        <w:t xml:space="preserve">                </w:t>
      </w:r>
      <w:r>
        <w:t xml:space="preserve">кримінальні справи </w:t>
      </w:r>
      <w:r w:rsidR="00967790">
        <w:t>–</w:t>
      </w:r>
      <w:r>
        <w:t xml:space="preserve"> 291, цивільні справи </w:t>
      </w:r>
      <w:r w:rsidR="00967790">
        <w:t xml:space="preserve">– </w:t>
      </w:r>
      <w:r>
        <w:t xml:space="preserve"> 286, адміністративні справи </w:t>
      </w:r>
      <w:r w:rsidR="00967790">
        <w:t>–</w:t>
      </w:r>
      <w:r>
        <w:t xml:space="preserve"> 19, </w:t>
      </w:r>
      <w:r w:rsidR="009503D9">
        <w:t xml:space="preserve">         </w:t>
      </w:r>
      <w:r>
        <w:t xml:space="preserve">справи про адміністративні правопорушення </w:t>
      </w:r>
      <w:r w:rsidR="00967790">
        <w:t xml:space="preserve">– </w:t>
      </w:r>
      <w:r>
        <w:t xml:space="preserve"> 118.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запит Комісії головою </w:t>
      </w:r>
      <w:proofErr w:type="spellStart"/>
      <w:r>
        <w:t>Знам’янського</w:t>
      </w:r>
      <w:proofErr w:type="spellEnd"/>
      <w:r>
        <w:t xml:space="preserve"> міськрайонного суду </w:t>
      </w:r>
      <w:r w:rsidR="002619F6">
        <w:t xml:space="preserve">                                 </w:t>
      </w:r>
      <w:r>
        <w:t xml:space="preserve">Кіровоградської області листом від 02 травня 2019 року № 01-03/10/19 повідомлено, що відрядження судді </w:t>
      </w:r>
      <w:proofErr w:type="spellStart"/>
      <w:r>
        <w:t>Тьора</w:t>
      </w:r>
      <w:proofErr w:type="spellEnd"/>
      <w:r>
        <w:t xml:space="preserve"> Є.М. до Ленінського районного суду міста Кіровограда не призведе до неможливості утворення колегії суддів для </w:t>
      </w:r>
      <w:r w:rsidR="002619F6">
        <w:t xml:space="preserve">                                            </w:t>
      </w:r>
      <w:r>
        <w:t>розгляду окремих категорій справ.</w:t>
      </w:r>
      <w:bookmarkStart w:id="1" w:name="_GoBack"/>
      <w:bookmarkEnd w:id="1"/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Урахувавши зазначені обставини, а також рівень судового навантаження </w:t>
      </w:r>
      <w:r w:rsidR="002619F6">
        <w:t xml:space="preserve">                  </w:t>
      </w:r>
      <w:r>
        <w:t xml:space="preserve">та кількість суддів, які фактично здійснюють правосуддя в </w:t>
      </w:r>
      <w:proofErr w:type="spellStart"/>
      <w:r>
        <w:t>Знам’янському</w:t>
      </w:r>
      <w:proofErr w:type="spellEnd"/>
      <w:r>
        <w:t xml:space="preserve"> міськрайонному суді Кіровоградської області, відрядження судді </w:t>
      </w:r>
      <w:proofErr w:type="spellStart"/>
      <w:r>
        <w:t>Тьора</w:t>
      </w:r>
      <w:proofErr w:type="spellEnd"/>
      <w:r>
        <w:t xml:space="preserve"> Є.М. </w:t>
      </w:r>
      <w:r w:rsidR="002619F6">
        <w:t xml:space="preserve">                              </w:t>
      </w:r>
      <w:r>
        <w:t xml:space="preserve">суттєво не вплине на середній рівень навантаження та доступ до правосуддя в </w:t>
      </w:r>
      <w:proofErr w:type="spellStart"/>
      <w:r>
        <w:t>Знам’янському</w:t>
      </w:r>
      <w:proofErr w:type="spellEnd"/>
      <w:r>
        <w:t xml:space="preserve"> міськрайонному суді Кіровоградської області, натомість </w:t>
      </w:r>
      <w:r w:rsidR="002619F6">
        <w:t xml:space="preserve">                     </w:t>
      </w:r>
      <w:r>
        <w:t>дозволить врегулювати навантаження в Ленінському районному суді міста Кіровограда.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від 29 вересня 2016 року № 425/2016 </w:t>
      </w:r>
      <w:r w:rsidR="002619F6">
        <w:t xml:space="preserve">                            </w:t>
      </w:r>
      <w:r>
        <w:t xml:space="preserve">Сердюк Н.В. призначено на посаду судді </w:t>
      </w:r>
      <w:proofErr w:type="spellStart"/>
      <w:r>
        <w:t>Краснолиманського</w:t>
      </w:r>
      <w:proofErr w:type="spellEnd"/>
      <w:r>
        <w:t xml:space="preserve"> міського суду Донецької області строком на п’ять років.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firstLine="700"/>
      </w:pPr>
      <w:r>
        <w:t>Стаж роботи на посаді судді становить 2 роки 7 місяців.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наданої Комісії довідки за підписом голови </w:t>
      </w:r>
      <w:r w:rsidR="002619F6">
        <w:t xml:space="preserve">                        </w:t>
      </w:r>
      <w:proofErr w:type="spellStart"/>
      <w:r>
        <w:t>Краснолиманського</w:t>
      </w:r>
      <w:proofErr w:type="spellEnd"/>
      <w:r>
        <w:t xml:space="preserve"> міського суду Донецької області штатна чисельність суддів </w:t>
      </w:r>
      <w:r w:rsidR="002619F6">
        <w:t xml:space="preserve">                  </w:t>
      </w:r>
      <w:r>
        <w:t xml:space="preserve">у суді становить 8, фактична чисельність - 7 суддів, правосуддя здійснюють </w:t>
      </w:r>
      <w:r w:rsidR="002619F6">
        <w:t xml:space="preserve">                         </w:t>
      </w:r>
      <w:r>
        <w:t>2 суддів.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Загальна кількість справ, що перебувають у провадженні суддів </w:t>
      </w:r>
      <w:proofErr w:type="spellStart"/>
      <w:r>
        <w:t>Краснолиманського</w:t>
      </w:r>
      <w:proofErr w:type="spellEnd"/>
      <w:r>
        <w:t xml:space="preserve"> міського суду Донецької області, становить: кримінальні </w:t>
      </w:r>
      <w:r w:rsidR="002619F6">
        <w:t xml:space="preserve">                  </w:t>
      </w:r>
      <w:r>
        <w:t xml:space="preserve">справи </w:t>
      </w:r>
      <w:r w:rsidR="002619F6">
        <w:t>–</w:t>
      </w:r>
      <w:r>
        <w:t xml:space="preserve"> 607, цивільні справи </w:t>
      </w:r>
      <w:r w:rsidR="002619F6">
        <w:t xml:space="preserve">– </w:t>
      </w:r>
      <w:r>
        <w:t xml:space="preserve">842, адміністративні справи </w:t>
      </w:r>
      <w:r w:rsidR="002619F6">
        <w:t xml:space="preserve">– </w:t>
      </w:r>
      <w:r w:rsidR="002619F6">
        <w:rPr>
          <w:rStyle w:val="2pt"/>
        </w:rPr>
        <w:t>11</w:t>
      </w:r>
      <w:r>
        <w:rPr>
          <w:rStyle w:val="2pt"/>
        </w:rPr>
        <w:t>,</w:t>
      </w:r>
      <w:r>
        <w:t xml:space="preserve"> справи про адміністративні правопорушення - 307.</w:t>
      </w:r>
    </w:p>
    <w:p w:rsidR="00FB64EE" w:rsidRDefault="001F7F36">
      <w:pPr>
        <w:pStyle w:val="11"/>
        <w:shd w:val="clear" w:color="auto" w:fill="auto"/>
        <w:spacing w:before="0" w:after="300" w:line="322" w:lineRule="exact"/>
        <w:ind w:left="20" w:right="20" w:firstLine="700"/>
      </w:pPr>
      <w:r>
        <w:t xml:space="preserve">На запит Комісії головою </w:t>
      </w:r>
      <w:proofErr w:type="spellStart"/>
      <w:r>
        <w:t>Краснолиманського</w:t>
      </w:r>
      <w:proofErr w:type="spellEnd"/>
      <w:r>
        <w:t xml:space="preserve"> міського суду Донецької області листом від 26 квітня 2019 року № 03-38/59/2019 повідомлено, що суддя Сердюк Н.В. перебуває у відпустці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наявні в розпорядженні Комісії матеріали, урахувавши інформацію про стан здійснення правосуддя в судах, у </w:t>
      </w:r>
      <w:r w:rsidR="002619F6">
        <w:t xml:space="preserve">                                  </w:t>
      </w:r>
      <w:r>
        <w:t xml:space="preserve">яких судді обіймають штатні посади, якість розгляду справ суддями, їх стаж роботи на посаді судді, а також обставини, встановлені під час розгляду </w:t>
      </w:r>
      <w:r w:rsidR="002619F6">
        <w:t xml:space="preserve">                                     </w:t>
      </w:r>
      <w:r>
        <w:t xml:space="preserve">питання щодо відрядження суддів, Комісія дійшла висновку про наявність </w:t>
      </w:r>
      <w:r w:rsidR="002619F6">
        <w:t xml:space="preserve">                    </w:t>
      </w:r>
      <w:r>
        <w:t xml:space="preserve">підстав для внесення до Вищої ради правосуддя подання з рекомендацією на відрядження судді </w:t>
      </w:r>
      <w:proofErr w:type="spellStart"/>
      <w:r>
        <w:t>Знам’янського</w:t>
      </w:r>
      <w:proofErr w:type="spellEnd"/>
      <w:r>
        <w:t xml:space="preserve"> міськрайонного суду Кіровоградської області </w:t>
      </w:r>
      <w:r w:rsidR="002619F6">
        <w:t xml:space="preserve">                  </w:t>
      </w:r>
      <w:proofErr w:type="spellStart"/>
      <w:r>
        <w:t>Тьора</w:t>
      </w:r>
      <w:proofErr w:type="spellEnd"/>
      <w:r>
        <w:t xml:space="preserve"> Є.М. до Ленінського районного суду міста Кіровограда для здійснення правосуддя та відмови у внесенні такого подання щодо судді </w:t>
      </w:r>
      <w:r w:rsidR="002619F6">
        <w:t xml:space="preserve">                       </w:t>
      </w:r>
      <w:proofErr w:type="spellStart"/>
      <w:r>
        <w:t>Краснолиманського</w:t>
      </w:r>
      <w:proofErr w:type="spellEnd"/>
      <w:r>
        <w:t xml:space="preserve"> міського суду Донецької області Сердюк Н.В.</w:t>
      </w:r>
      <w:r>
        <w:br w:type="page"/>
      </w:r>
    </w:p>
    <w:p w:rsidR="00FB64EE" w:rsidRDefault="001F7F36">
      <w:pPr>
        <w:pStyle w:val="11"/>
        <w:shd w:val="clear" w:color="auto" w:fill="auto"/>
        <w:spacing w:before="0" w:after="293" w:line="326" w:lineRule="exact"/>
        <w:ind w:right="20" w:firstLine="700"/>
      </w:pPr>
      <w:r>
        <w:lastRenderedPageBreak/>
        <w:t>Керуючись статтями 55, 82, 93 Закону України «Про судоустрій і статус суддів», Порядком, Комісія</w:t>
      </w:r>
    </w:p>
    <w:p w:rsidR="00FB64EE" w:rsidRDefault="001F7F36">
      <w:pPr>
        <w:pStyle w:val="11"/>
        <w:shd w:val="clear" w:color="auto" w:fill="auto"/>
        <w:spacing w:before="0" w:after="308" w:line="260" w:lineRule="exact"/>
        <w:jc w:val="center"/>
      </w:pPr>
      <w:r>
        <w:t>вирішила: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right="20"/>
      </w:pPr>
      <w:proofErr w:type="spellStart"/>
      <w:r>
        <w:t>внести</w:t>
      </w:r>
      <w:proofErr w:type="spellEnd"/>
      <w:r>
        <w:t xml:space="preserve"> до Вищої ради правосуддя подання з рекомендацією на відрядження до Ленінського районного суду міста Кіровограда для здійснення правосуддя судді </w:t>
      </w:r>
      <w:proofErr w:type="spellStart"/>
      <w:r>
        <w:t>Знам’янського</w:t>
      </w:r>
      <w:proofErr w:type="spellEnd"/>
      <w:r>
        <w:t xml:space="preserve"> міськрайонного суду Кіровоградської області </w:t>
      </w:r>
      <w:proofErr w:type="spellStart"/>
      <w:r>
        <w:t>Тьора</w:t>
      </w:r>
      <w:proofErr w:type="spellEnd"/>
      <w:r>
        <w:t xml:space="preserve"> Євгенія Миколайовича строком на 1 (один) рік.</w:t>
      </w:r>
    </w:p>
    <w:p w:rsidR="00FB64EE" w:rsidRDefault="001F7F36">
      <w:pPr>
        <w:pStyle w:val="11"/>
        <w:shd w:val="clear" w:color="auto" w:fill="auto"/>
        <w:spacing w:before="0" w:after="0" w:line="322" w:lineRule="exact"/>
        <w:ind w:right="20" w:firstLine="700"/>
      </w:pPr>
      <w:r>
        <w:t xml:space="preserve">Відмовити у внесенні подання щодо відрядження до Ленінського </w:t>
      </w:r>
      <w:r w:rsidR="002619F6">
        <w:t xml:space="preserve">                  </w:t>
      </w:r>
      <w:r>
        <w:t xml:space="preserve">районного суду міста Кіровограда судді </w:t>
      </w:r>
      <w:proofErr w:type="spellStart"/>
      <w:r>
        <w:t>Краснолиманського</w:t>
      </w:r>
      <w:proofErr w:type="spellEnd"/>
      <w:r>
        <w:t xml:space="preserve"> міського суду </w:t>
      </w:r>
      <w:r w:rsidR="002619F6">
        <w:t xml:space="preserve">                       </w:t>
      </w:r>
      <w:r>
        <w:t>Донецької області Сердюк Наталії Володимирівни.</w:t>
      </w:r>
    </w:p>
    <w:p w:rsidR="002064B7" w:rsidRDefault="002064B7">
      <w:pPr>
        <w:pStyle w:val="11"/>
        <w:shd w:val="clear" w:color="auto" w:fill="auto"/>
        <w:spacing w:before="0" w:after="0" w:line="322" w:lineRule="exact"/>
        <w:ind w:right="20" w:firstLine="700"/>
      </w:pPr>
    </w:p>
    <w:p w:rsidR="00CD4E50" w:rsidRDefault="00CD4E50">
      <w:pPr>
        <w:pStyle w:val="11"/>
        <w:shd w:val="clear" w:color="auto" w:fill="auto"/>
        <w:spacing w:before="0" w:after="0" w:line="322" w:lineRule="exact"/>
        <w:ind w:right="20" w:firstLine="700"/>
      </w:pPr>
    </w:p>
    <w:p w:rsidR="002064B7" w:rsidRPr="00CD4E50" w:rsidRDefault="002064B7" w:rsidP="002064B7">
      <w:pPr>
        <w:pStyle w:val="21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 xml:space="preserve">Головуючий </w:t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  <w:t xml:space="preserve">В.І. </w:t>
      </w:r>
      <w:proofErr w:type="spellStart"/>
      <w:r w:rsidRPr="00CD4E50">
        <w:rPr>
          <w:sz w:val="26"/>
          <w:szCs w:val="26"/>
        </w:rPr>
        <w:t>Бутенко</w:t>
      </w:r>
      <w:proofErr w:type="spellEnd"/>
    </w:p>
    <w:p w:rsidR="002064B7" w:rsidRPr="00CD4E50" w:rsidRDefault="002064B7" w:rsidP="002064B7">
      <w:pPr>
        <w:pStyle w:val="21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>Члени Комісії:</w:t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="00CD4E50">
        <w:rPr>
          <w:sz w:val="26"/>
          <w:szCs w:val="26"/>
        </w:rPr>
        <w:tab/>
      </w:r>
      <w:r w:rsidRPr="00CD4E50">
        <w:rPr>
          <w:sz w:val="26"/>
          <w:szCs w:val="26"/>
        </w:rPr>
        <w:t>А.В. Василенко</w:t>
      </w:r>
    </w:p>
    <w:p w:rsidR="002064B7" w:rsidRPr="00CD4E50" w:rsidRDefault="002064B7" w:rsidP="002064B7">
      <w:pPr>
        <w:pStyle w:val="21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="00CD4E50">
        <w:rPr>
          <w:sz w:val="26"/>
          <w:szCs w:val="26"/>
        </w:rPr>
        <w:tab/>
      </w:r>
      <w:r w:rsidRPr="00CD4E50">
        <w:rPr>
          <w:sz w:val="26"/>
          <w:szCs w:val="26"/>
        </w:rPr>
        <w:t xml:space="preserve">А.О. </w:t>
      </w:r>
      <w:proofErr w:type="spellStart"/>
      <w:r w:rsidRPr="00CD4E50">
        <w:rPr>
          <w:sz w:val="26"/>
          <w:szCs w:val="26"/>
        </w:rPr>
        <w:t>Заріцька</w:t>
      </w:r>
      <w:proofErr w:type="spellEnd"/>
    </w:p>
    <w:p w:rsidR="002064B7" w:rsidRPr="00CD4E50" w:rsidRDefault="002064B7" w:rsidP="002064B7">
      <w:pPr>
        <w:pStyle w:val="21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="00CD4E50">
        <w:rPr>
          <w:sz w:val="26"/>
          <w:szCs w:val="26"/>
        </w:rPr>
        <w:tab/>
      </w:r>
      <w:r w:rsidRPr="00CD4E50">
        <w:rPr>
          <w:sz w:val="26"/>
          <w:szCs w:val="26"/>
        </w:rPr>
        <w:t>Т.В. Лукаш</w:t>
      </w:r>
    </w:p>
    <w:p w:rsidR="002064B7" w:rsidRPr="00CD4E50" w:rsidRDefault="002064B7" w:rsidP="002064B7">
      <w:pPr>
        <w:pStyle w:val="21"/>
        <w:shd w:val="clear" w:color="auto" w:fill="auto"/>
        <w:spacing w:before="0" w:after="635" w:line="240" w:lineRule="auto"/>
        <w:ind w:left="20" w:right="20"/>
        <w:rPr>
          <w:sz w:val="26"/>
          <w:szCs w:val="26"/>
        </w:rPr>
      </w:pP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Pr="00CD4E50">
        <w:rPr>
          <w:sz w:val="26"/>
          <w:szCs w:val="26"/>
        </w:rPr>
        <w:tab/>
      </w:r>
      <w:r w:rsidR="00CD4E50">
        <w:rPr>
          <w:sz w:val="26"/>
          <w:szCs w:val="26"/>
        </w:rPr>
        <w:tab/>
      </w:r>
      <w:r w:rsidRPr="00CD4E50">
        <w:rPr>
          <w:sz w:val="26"/>
          <w:szCs w:val="26"/>
        </w:rPr>
        <w:t xml:space="preserve">М.А. </w:t>
      </w:r>
      <w:proofErr w:type="spellStart"/>
      <w:r w:rsidRPr="00CD4E50">
        <w:rPr>
          <w:sz w:val="26"/>
          <w:szCs w:val="26"/>
        </w:rPr>
        <w:t>Макарчук</w:t>
      </w:r>
      <w:proofErr w:type="spellEnd"/>
    </w:p>
    <w:p w:rsidR="002064B7" w:rsidRDefault="002064B7">
      <w:pPr>
        <w:pStyle w:val="11"/>
        <w:shd w:val="clear" w:color="auto" w:fill="auto"/>
        <w:spacing w:before="0" w:after="0" w:line="322" w:lineRule="exact"/>
        <w:ind w:right="20" w:firstLine="700"/>
        <w:sectPr w:rsidR="002064B7" w:rsidSect="00CD4E50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FB64EE" w:rsidRDefault="00FB64EE">
      <w:pPr>
        <w:spacing w:line="240" w:lineRule="exact"/>
        <w:rPr>
          <w:sz w:val="19"/>
          <w:szCs w:val="19"/>
        </w:rPr>
      </w:pPr>
    </w:p>
    <w:p w:rsidR="00FB64EE" w:rsidRDefault="00FB64EE">
      <w:pPr>
        <w:spacing w:line="240" w:lineRule="exact"/>
        <w:rPr>
          <w:sz w:val="19"/>
          <w:szCs w:val="19"/>
        </w:rPr>
      </w:pPr>
    </w:p>
    <w:p w:rsidR="00FB64EE" w:rsidRDefault="00FB64EE">
      <w:pPr>
        <w:pStyle w:val="11"/>
        <w:shd w:val="clear" w:color="auto" w:fill="auto"/>
        <w:spacing w:before="0" w:after="0" w:line="260" w:lineRule="exact"/>
        <w:jc w:val="left"/>
      </w:pPr>
    </w:p>
    <w:sectPr w:rsidR="00FB64EE">
      <w:type w:val="continuous"/>
      <w:pgSz w:w="11909" w:h="16838"/>
      <w:pgMar w:top="4105" w:right="8672" w:bottom="6865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8A2" w:rsidRDefault="00B878A2">
      <w:r>
        <w:separator/>
      </w:r>
    </w:p>
  </w:endnote>
  <w:endnote w:type="continuationSeparator" w:id="0">
    <w:p w:rsidR="00B878A2" w:rsidRDefault="00B8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8A2" w:rsidRDefault="00B878A2"/>
  </w:footnote>
  <w:footnote w:type="continuationSeparator" w:id="0">
    <w:p w:rsidR="00B878A2" w:rsidRDefault="00B878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4EE" w:rsidRDefault="00B878A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3.4pt;width:4.1pt;height:6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B64EE" w:rsidRDefault="001F7F36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503D9" w:rsidRPr="009503D9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024"/>
    <w:multiLevelType w:val="multilevel"/>
    <w:tmpl w:val="538C72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64EE"/>
    <w:rsid w:val="001F7F36"/>
    <w:rsid w:val="002064B7"/>
    <w:rsid w:val="002619F6"/>
    <w:rsid w:val="009503D9"/>
    <w:rsid w:val="00967790"/>
    <w:rsid w:val="00B878A2"/>
    <w:rsid w:val="00CD4E50"/>
    <w:rsid w:val="00FB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9">
    <w:name w:val="Колонтитул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0"/>
      <w:szCs w:val="20"/>
    </w:rPr>
  </w:style>
  <w:style w:type="character" w:customStyle="1" w:styleId="3pt0">
    <w:name w:val="Основной текст + Интервал 3 pt"/>
    <w:basedOn w:val="a4"/>
    <w:rsid w:val="00206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2064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64B7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2064B7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5482</Words>
  <Characters>3126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2020-09-11T09:38:00Z</dcterms:created>
  <dcterms:modified xsi:type="dcterms:W3CDTF">2020-09-14T06:42:00Z</dcterms:modified>
</cp:coreProperties>
</file>