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95" w:rsidRDefault="00A75E95" w:rsidP="0080488B">
      <w:pPr>
        <w:jc w:val="both"/>
        <w:rPr>
          <w:sz w:val="2"/>
          <w:szCs w:val="2"/>
        </w:rPr>
      </w:pPr>
    </w:p>
    <w:p w:rsidR="003A0E48" w:rsidRPr="009D094B" w:rsidRDefault="003A0E48" w:rsidP="0080488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094B">
        <w:rPr>
          <w:rFonts w:ascii="Times New Roman" w:eastAsia="Times New Roman" w:hAnsi="Times New Roman" w:cs="Times New Roman"/>
          <w:noProof/>
          <w:sz w:val="27"/>
          <w:szCs w:val="27"/>
          <w:lang w:val="ru-RU" w:eastAsia="ru-RU"/>
        </w:rPr>
        <w:drawing>
          <wp:inline distT="0" distB="0" distL="0" distR="0" wp14:anchorId="0EDCB614" wp14:editId="4441C38E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E48" w:rsidRPr="009D094B" w:rsidRDefault="003A0E48" w:rsidP="0080488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0E48" w:rsidRPr="009D094B" w:rsidRDefault="003A0E48" w:rsidP="0080488B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9D094B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3A0E48" w:rsidRPr="009D094B" w:rsidRDefault="003A0E48" w:rsidP="0080488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0E48" w:rsidRPr="009D094B" w:rsidRDefault="003A0E48" w:rsidP="0080488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>19 листопада 2018 року</w:t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3A0E48" w:rsidRPr="009D094B" w:rsidRDefault="003A0E48" w:rsidP="0080488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0E48" w:rsidRPr="009D094B" w:rsidRDefault="003A0E48" w:rsidP="0080488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0E48" w:rsidRDefault="003A0E48" w:rsidP="0080488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en-US" w:eastAsia="ru-RU"/>
        </w:rPr>
      </w:pPr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 № </w:t>
      </w:r>
      <w:r w:rsidRPr="009D094B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</w:t>
      </w:r>
      <w:r w:rsidRPr="0099796F"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ru-RU" w:eastAsia="ru-RU"/>
        </w:rPr>
        <w:t>71</w:t>
      </w:r>
      <w:r w:rsidR="0080488B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/зп-1</w:t>
      </w:r>
      <w:r w:rsidR="0099796F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8</w:t>
      </w:r>
    </w:p>
    <w:p w:rsidR="0080488B" w:rsidRPr="0080488B" w:rsidRDefault="0080488B" w:rsidP="0080488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val="en-US" w:eastAsia="ru-RU"/>
        </w:rPr>
      </w:pPr>
    </w:p>
    <w:p w:rsidR="0080488B" w:rsidRPr="0099796F" w:rsidRDefault="002F0A56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  <w:r>
        <w:t xml:space="preserve">Вища кваліфікаційна комісія суддів України у пленарному складі: </w:t>
      </w:r>
    </w:p>
    <w:p w:rsidR="0080488B" w:rsidRPr="0099796F" w:rsidRDefault="0080488B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</w:p>
    <w:p w:rsidR="00A75E95" w:rsidRPr="0099796F" w:rsidRDefault="002F0A56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  <w:r>
        <w:t xml:space="preserve">головуючого </w:t>
      </w:r>
      <w:r w:rsidR="0080488B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80488B" w:rsidRPr="0099796F" w:rsidRDefault="0080488B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</w:p>
    <w:p w:rsidR="00A75E95" w:rsidRDefault="002F0A56" w:rsidP="0080488B">
      <w:pPr>
        <w:pStyle w:val="11"/>
        <w:shd w:val="clear" w:color="auto" w:fill="auto"/>
        <w:spacing w:before="0" w:after="244" w:line="240" w:lineRule="auto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Щотки</w:t>
      </w:r>
      <w:proofErr w:type="spellEnd"/>
      <w:r>
        <w:t xml:space="preserve"> С.О.,</w:t>
      </w:r>
    </w:p>
    <w:p w:rsidR="00A75E95" w:rsidRDefault="002F0A56" w:rsidP="0080488B">
      <w:pPr>
        <w:pStyle w:val="11"/>
        <w:shd w:val="clear" w:color="auto" w:fill="auto"/>
        <w:spacing w:before="0" w:after="270" w:line="240" w:lineRule="auto"/>
      </w:pPr>
      <w:r>
        <w:t>розглянувши питання про відповідність громадської організації «ПРАВНИЧЕ ПАРТНЕРСТВО УКРАЇНИ» вимогам до участі у зборах представників громадських об’єднань для створення Громадської ради доброчесності,</w:t>
      </w:r>
    </w:p>
    <w:p w:rsidR="00A75E95" w:rsidRDefault="002F0A56" w:rsidP="0080488B">
      <w:pPr>
        <w:pStyle w:val="11"/>
        <w:shd w:val="clear" w:color="auto" w:fill="auto"/>
        <w:spacing w:before="0" w:after="262" w:line="240" w:lineRule="auto"/>
        <w:jc w:val="center"/>
      </w:pPr>
      <w:r>
        <w:t>встановила: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00"/>
      </w:pPr>
      <w:r>
        <w:t xml:space="preserve">Відповідно до статті 87 Закону України «Про судоустрій і статус суддів» </w:t>
      </w:r>
      <w:r w:rsidR="00255DBE">
        <w:br/>
      </w:r>
      <w:r>
        <w:t xml:space="preserve">від 02 червня 2016 року № 1402-VIII (далі </w:t>
      </w:r>
      <w:r w:rsidR="0080488B">
        <w:t>–</w:t>
      </w:r>
      <w: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00"/>
      </w:pPr>
      <w: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00"/>
      </w:pPr>
      <w:r>
        <w:t>Збори представників громадських об’єднань скликаються Головою Комісії. Оголошення про скликання зборів оприлюднюється на офіційному веб-сайті Комісії.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00"/>
      </w:pPr>
      <w: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00"/>
      </w:pPr>
      <w:r>
        <w:t>Для участі у зборах громадські об’єднання у п’ятнадцятиденний строк з дня оприлюднення оголошення про скликання зборів представників громадських об’єднань подають до Комісії: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firstLine="700"/>
      </w:pPr>
      <w:r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  <w:r>
        <w:br w:type="page"/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40" w:lineRule="auto"/>
        <w:ind w:firstLine="720"/>
      </w:pPr>
      <w:r>
        <w:lastRenderedPageBreak/>
        <w:t>копію статуту та виписку з Єдиного державного реєстру юридичних осіб та фізичних осіб-підприємців;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40" w:lineRule="auto"/>
        <w:ind w:firstLine="720"/>
      </w:pPr>
      <w:r>
        <w:t>копії звітів за результатами виконання проектів із залученням міжнародної технічної допомоги (за наявності);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40" w:lineRule="auto"/>
        <w:ind w:firstLine="720"/>
      </w:pPr>
      <w: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40" w:lineRule="auto"/>
        <w:ind w:firstLine="720"/>
      </w:pPr>
      <w: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40" w:lineRule="auto"/>
        <w:ind w:firstLine="720"/>
      </w:pPr>
      <w:r>
        <w:t>біографічну довідку представника громадського об’єднання;</w:t>
      </w:r>
    </w:p>
    <w:p w:rsidR="00A75E95" w:rsidRDefault="002F0A56" w:rsidP="0080488B">
      <w:pPr>
        <w:pStyle w:val="11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</w:pPr>
      <w: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>Комісією 09 листопада 2018 року отримано документи громадської організації «ПРАВНИЧЕ ПАРТНЕРСТВО УКРАЇНИ».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 xml:space="preserve">Згідно з поданою заявою щодо участі у зборах представників громадських об’єднань особою, уповноваженою представляти цю громадську організацію на зборах, визначено </w:t>
      </w:r>
      <w:proofErr w:type="spellStart"/>
      <w:r>
        <w:t>Касьяненка</w:t>
      </w:r>
      <w:proofErr w:type="spellEnd"/>
      <w:r>
        <w:t xml:space="preserve"> Дмитра Леонідовича. Відповідну особу вказано також як кандидата до складу Громадської ради доброчесності.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>Комісією встановлено, що подані зазначеною громадською організацією документи не відповідають вимогам частини тринадцятої статті 87 Закону.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 xml:space="preserve">Так, всупереч пунктам </w:t>
      </w:r>
      <w:r w:rsidRPr="0080488B">
        <w:rPr>
          <w:iCs/>
        </w:rPr>
        <w:t>4,</w:t>
      </w:r>
      <w:r>
        <w:t xml:space="preserve"> 5, 6 частини тринадцятої статті 87 Закону громадською організацією не подано:</w:t>
      </w:r>
    </w:p>
    <w:p w:rsidR="00A75E95" w:rsidRDefault="002F0A56" w:rsidP="0080488B">
      <w:pPr>
        <w:pStyle w:val="11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40" w:lineRule="auto"/>
        <w:ind w:firstLine="720"/>
      </w:pPr>
      <w:r>
        <w:t>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A75E95" w:rsidRDefault="002F0A56" w:rsidP="0080488B">
      <w:pPr>
        <w:pStyle w:val="11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40" w:lineRule="auto"/>
        <w:ind w:firstLine="720"/>
      </w:pPr>
      <w:r>
        <w:t>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об’єднання;</w:t>
      </w:r>
    </w:p>
    <w:p w:rsidR="00A75E95" w:rsidRDefault="002F0A56" w:rsidP="0080488B">
      <w:pPr>
        <w:pStyle w:val="11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40" w:lineRule="auto"/>
        <w:ind w:firstLine="720"/>
      </w:pPr>
      <w:r>
        <w:t>біографічної довідки представника громадського об’єднання.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 xml:space="preserve">Не зважаючи на вимогу пункту 7 частини тринадцятої статті 87 Закону, згідно з якою громадські об’єднання для участі у зборах представників громадських об’єднань подають, зокрема, декларацію особи, уповноваженої на виконання функцій держави або місцевого самоврядування, щодо такого кандидата за його підписом, громадською організацією подано до Комісії декларацію </w:t>
      </w:r>
      <w:proofErr w:type="spellStart"/>
      <w:r>
        <w:t>Касьяненка</w:t>
      </w:r>
      <w:proofErr w:type="spellEnd"/>
      <w:r>
        <w:t xml:space="preserve"> Д.Л. за 2016 рік, яка подана ним як </w:t>
      </w:r>
      <w:proofErr w:type="spellStart"/>
      <w:r>
        <w:t>кандидом</w:t>
      </w:r>
      <w:proofErr w:type="spellEnd"/>
      <w:r>
        <w:t xml:space="preserve"> на посаду директора Координаційного центру з надання правової допомоги, без його підпису.</w:t>
      </w:r>
      <w:r>
        <w:br w:type="page"/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lastRenderedPageBreak/>
        <w:t>Зазначені обставини є підставою для визнання вказаних документів такими, що подані без додержання вимог, визначених частиною тринадцятою статті 87 Закону.</w:t>
      </w:r>
    </w:p>
    <w:p w:rsidR="00A75E95" w:rsidRDefault="002F0A56" w:rsidP="0080488B">
      <w:pPr>
        <w:pStyle w:val="11"/>
        <w:shd w:val="clear" w:color="auto" w:fill="auto"/>
        <w:spacing w:before="0" w:after="0" w:line="240" w:lineRule="auto"/>
        <w:ind w:firstLine="720"/>
      </w:pPr>
      <w:r>
        <w:t>Членом Комісії-доповідачем запропоновано встановити громадській організації «ПРАВНИЧЕ ПАРТНЕРСТВО УКРАЇНИ»</w:t>
      </w:r>
      <w:r w:rsidR="0080488B">
        <w:t xml:space="preserve"> строк до 01 грудня 2018</w:t>
      </w:r>
      <w:r w:rsidR="0080488B">
        <w:rPr>
          <w:lang w:val="en-US"/>
        </w:rPr>
        <w:t> </w:t>
      </w:r>
      <w:r>
        <w:t>року для усунення недоліків у документах із метою подальшого вирішення питання щодо відповідності цієї громадської організації вимогам до участі у зборах представників громадських об’єднань для створення Громадської ради доброчесності.</w:t>
      </w:r>
    </w:p>
    <w:p w:rsidR="00A75E95" w:rsidRDefault="002F0A56" w:rsidP="0080488B">
      <w:pPr>
        <w:pStyle w:val="11"/>
        <w:shd w:val="clear" w:color="auto" w:fill="auto"/>
        <w:spacing w:before="0" w:after="330" w:line="240" w:lineRule="auto"/>
        <w:ind w:firstLine="720"/>
      </w:pPr>
      <w:r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A75E95" w:rsidRDefault="002F0A56" w:rsidP="0080488B">
      <w:pPr>
        <w:pStyle w:val="11"/>
        <w:shd w:val="clear" w:color="auto" w:fill="auto"/>
        <w:spacing w:before="0" w:after="226" w:line="240" w:lineRule="auto"/>
        <w:jc w:val="center"/>
      </w:pPr>
      <w:r>
        <w:t>вирішила:</w:t>
      </w:r>
    </w:p>
    <w:p w:rsidR="00A75E95" w:rsidRPr="0099796F" w:rsidRDefault="002F0A56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  <w:r>
        <w:t xml:space="preserve">установити громадській організації «ПРАВНИЧЕ ПАРТНЕРСТВО УКРАЇНИ» строк до 01 грудня 2018 року для усунення недоліків у документах, поданих нею для участі у зборах представників громадських об’єднань з </w:t>
      </w:r>
      <w:bookmarkStart w:id="0" w:name="_GoBack"/>
      <w:bookmarkEnd w:id="0"/>
      <w:r>
        <w:t>метою створення Громадської ради доброчесності.</w:t>
      </w:r>
    </w:p>
    <w:p w:rsidR="003A0E48" w:rsidRPr="0099796F" w:rsidRDefault="003A0E48" w:rsidP="0080488B">
      <w:pPr>
        <w:pStyle w:val="11"/>
        <w:shd w:val="clear" w:color="auto" w:fill="auto"/>
        <w:spacing w:before="0" w:after="0" w:line="240" w:lineRule="auto"/>
        <w:rPr>
          <w:lang w:val="ru-RU"/>
        </w:rPr>
      </w:pPr>
    </w:p>
    <w:p w:rsidR="003A0E48" w:rsidRPr="009D094B" w:rsidRDefault="003A0E48" w:rsidP="0080488B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3A0E48" w:rsidRPr="009D094B" w:rsidRDefault="003A0E48" w:rsidP="0080488B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</w:p>
    <w:p w:rsidR="003A0E48" w:rsidRPr="009D094B" w:rsidRDefault="003A0E48" w:rsidP="0080488B">
      <w:pPr>
        <w:shd w:val="clear" w:color="auto" w:fill="FFFFFF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>Члени Комісії:</w:t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>А.В. Василенко</w:t>
      </w:r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3A0E48" w:rsidRPr="009D094B" w:rsidRDefault="003A0E48" w:rsidP="0080488B">
      <w:pPr>
        <w:shd w:val="clear" w:color="auto" w:fill="FFFFFF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A75E95" w:rsidRDefault="00A75E95" w:rsidP="0080488B">
      <w:pPr>
        <w:jc w:val="both"/>
        <w:rPr>
          <w:sz w:val="2"/>
          <w:szCs w:val="2"/>
        </w:rPr>
      </w:pPr>
    </w:p>
    <w:p w:rsidR="0080488B" w:rsidRDefault="0080488B">
      <w:pPr>
        <w:jc w:val="both"/>
        <w:rPr>
          <w:sz w:val="2"/>
          <w:szCs w:val="2"/>
        </w:rPr>
      </w:pPr>
    </w:p>
    <w:sectPr w:rsidR="0080488B" w:rsidSect="004E6F36">
      <w:headerReference w:type="even" r:id="rId10"/>
      <w:headerReference w:type="default" r:id="rId11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56" w:rsidRDefault="002F0A56">
      <w:r>
        <w:separator/>
      </w:r>
    </w:p>
  </w:endnote>
  <w:endnote w:type="continuationSeparator" w:id="0">
    <w:p w:rsidR="002F0A56" w:rsidRDefault="002F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56" w:rsidRDefault="002F0A56"/>
  </w:footnote>
  <w:footnote w:type="continuationSeparator" w:id="0">
    <w:p w:rsidR="002F0A56" w:rsidRDefault="002F0A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95" w:rsidRDefault="00255DB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52.4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5E95" w:rsidRDefault="002F0A5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86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6F36" w:rsidRDefault="004E6F36">
        <w:pPr>
          <w:pStyle w:val="ab"/>
          <w:jc w:val="center"/>
          <w:rPr>
            <w:lang w:val="en-US"/>
          </w:rPr>
        </w:pPr>
      </w:p>
      <w:p w:rsidR="004E6F36" w:rsidRPr="004E6F36" w:rsidRDefault="004E6F36">
        <w:pPr>
          <w:pStyle w:val="ab"/>
          <w:jc w:val="center"/>
          <w:rPr>
            <w:lang w:val="en-US"/>
          </w:rPr>
        </w:pPr>
      </w:p>
      <w:p w:rsidR="004E6F36" w:rsidRPr="004E6F36" w:rsidRDefault="004E6F36">
        <w:pPr>
          <w:pStyle w:val="ab"/>
          <w:jc w:val="center"/>
          <w:rPr>
            <w:rFonts w:ascii="Times New Roman" w:hAnsi="Times New Roman" w:cs="Times New Roman"/>
          </w:rPr>
        </w:pPr>
        <w:r w:rsidRPr="004E6F36">
          <w:rPr>
            <w:rFonts w:ascii="Times New Roman" w:hAnsi="Times New Roman" w:cs="Times New Roman"/>
          </w:rPr>
          <w:fldChar w:fldCharType="begin"/>
        </w:r>
        <w:r w:rsidRPr="004E6F36">
          <w:rPr>
            <w:rFonts w:ascii="Times New Roman" w:hAnsi="Times New Roman" w:cs="Times New Roman"/>
          </w:rPr>
          <w:instrText>PAGE   \* MERGEFORMAT</w:instrText>
        </w:r>
        <w:r w:rsidRPr="004E6F36">
          <w:rPr>
            <w:rFonts w:ascii="Times New Roman" w:hAnsi="Times New Roman" w:cs="Times New Roman"/>
          </w:rPr>
          <w:fldChar w:fldCharType="separate"/>
        </w:r>
        <w:r w:rsidR="00255DBE" w:rsidRPr="00255DBE">
          <w:rPr>
            <w:rFonts w:ascii="Times New Roman" w:hAnsi="Times New Roman" w:cs="Times New Roman"/>
            <w:noProof/>
            <w:lang w:val="ru-RU"/>
          </w:rPr>
          <w:t>3</w:t>
        </w:r>
        <w:r w:rsidRPr="004E6F36">
          <w:rPr>
            <w:rFonts w:ascii="Times New Roman" w:hAnsi="Times New Roman" w:cs="Times New Roman"/>
          </w:rPr>
          <w:fldChar w:fldCharType="end"/>
        </w:r>
      </w:p>
    </w:sdtContent>
  </w:sdt>
  <w:p w:rsidR="004E6F36" w:rsidRDefault="004E6F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7D5D"/>
    <w:multiLevelType w:val="multilevel"/>
    <w:tmpl w:val="5894AD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015B31"/>
    <w:multiLevelType w:val="multilevel"/>
    <w:tmpl w:val="5A641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5E95"/>
    <w:rsid w:val="00255DBE"/>
    <w:rsid w:val="002F0A56"/>
    <w:rsid w:val="003A0E48"/>
    <w:rsid w:val="004E6F36"/>
    <w:rsid w:val="00643681"/>
    <w:rsid w:val="0080488B"/>
    <w:rsid w:val="0099796F"/>
    <w:rsid w:val="00A7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5pt">
    <w:name w:val="Основной текст + 1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A0E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E48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E6F3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E6F36"/>
    <w:rPr>
      <w:color w:val="000000"/>
    </w:rPr>
  </w:style>
  <w:style w:type="paragraph" w:styleId="ad">
    <w:name w:val="footer"/>
    <w:basedOn w:val="a"/>
    <w:link w:val="ae"/>
    <w:uiPriority w:val="99"/>
    <w:unhideWhenUsed/>
    <w:rsid w:val="004E6F3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E6F3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C926-5DA2-4714-A0C4-FB8B0AFC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2021-01-19T07:07:00Z</dcterms:created>
  <dcterms:modified xsi:type="dcterms:W3CDTF">2021-02-16T12:52:00Z</dcterms:modified>
</cp:coreProperties>
</file>