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Ind w:w="132" w:type="dxa"/>
        <w:tblCellMar>
          <w:left w:w="0" w:type="dxa"/>
          <w:right w:w="0" w:type="dxa"/>
        </w:tblCellMar>
        <w:tblLook w:val="04A0" w:firstRow="1" w:lastRow="0" w:firstColumn="1" w:lastColumn="0" w:noHBand="0" w:noVBand="1"/>
      </w:tblPr>
      <w:tblGrid>
        <w:gridCol w:w="2403"/>
        <w:gridCol w:w="885"/>
        <w:gridCol w:w="1026"/>
        <w:gridCol w:w="1186"/>
        <w:gridCol w:w="965"/>
        <w:gridCol w:w="160"/>
        <w:gridCol w:w="643"/>
        <w:gridCol w:w="702"/>
        <w:gridCol w:w="352"/>
        <w:gridCol w:w="329"/>
        <w:gridCol w:w="685"/>
        <w:gridCol w:w="456"/>
        <w:gridCol w:w="272"/>
      </w:tblGrid>
      <w:tr w:rsidR="005C7597" w:rsidRPr="00FB79F8" w:rsidTr="00FB79F8">
        <w:trPr>
          <w:trHeight w:hRule="exact" w:val="329"/>
        </w:trPr>
        <w:tc>
          <w:tcPr>
            <w:tcW w:w="5500" w:type="dxa"/>
            <w:gridSpan w:val="4"/>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rsidR="005C7597" w:rsidRPr="00FB79F8" w:rsidRDefault="007C1496">
            <w:pPr>
              <w:spacing w:after="0" w:line="150" w:lineRule="auto"/>
              <w:jc w:val="center"/>
              <w:rPr>
                <w:sz w:val="12"/>
                <w:szCs w:val="12"/>
                <w:lang w:val="uk-UA"/>
              </w:rPr>
            </w:pPr>
            <w:r w:rsidRPr="00FB79F8">
              <w:rPr>
                <w:rFonts w:ascii="Times New Roman" w:hAnsi="Times New Roman" w:cs="Times New Roman"/>
                <w:b/>
                <w:color w:val="000000"/>
                <w:sz w:val="12"/>
                <w:szCs w:val="12"/>
                <w:lang w:val="uk-UA"/>
              </w:rPr>
              <w:t>Короткий опис основної діяльності установи</w:t>
            </w:r>
          </w:p>
        </w:tc>
        <w:tc>
          <w:tcPr>
            <w:tcW w:w="2822" w:type="dxa"/>
            <w:gridSpan w:val="5"/>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rsidR="005C7597" w:rsidRPr="00FB79F8" w:rsidRDefault="007C1496">
            <w:pPr>
              <w:spacing w:after="0" w:line="150" w:lineRule="auto"/>
              <w:jc w:val="center"/>
              <w:rPr>
                <w:sz w:val="12"/>
                <w:szCs w:val="12"/>
                <w:lang w:val="uk-UA"/>
              </w:rPr>
            </w:pPr>
            <w:r w:rsidRPr="00FB79F8">
              <w:rPr>
                <w:rFonts w:ascii="Times New Roman" w:hAnsi="Times New Roman" w:cs="Times New Roman"/>
                <w:b/>
                <w:color w:val="000000"/>
                <w:sz w:val="12"/>
                <w:szCs w:val="12"/>
                <w:lang w:val="uk-UA"/>
              </w:rPr>
              <w:t>Найменування органу, якому підпорядкована установа</w:t>
            </w:r>
          </w:p>
        </w:tc>
        <w:tc>
          <w:tcPr>
            <w:tcW w:w="1742" w:type="dxa"/>
            <w:gridSpan w:val="4"/>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rsidR="005C7597" w:rsidRPr="00FB79F8" w:rsidRDefault="007C1496">
            <w:pPr>
              <w:spacing w:after="0" w:line="150" w:lineRule="auto"/>
              <w:jc w:val="center"/>
              <w:rPr>
                <w:sz w:val="12"/>
                <w:szCs w:val="12"/>
                <w:lang w:val="uk-UA"/>
              </w:rPr>
            </w:pPr>
            <w:r w:rsidRPr="00FB79F8">
              <w:rPr>
                <w:rFonts w:ascii="Times New Roman" w:hAnsi="Times New Roman" w:cs="Times New Roman"/>
                <w:b/>
                <w:color w:val="000000"/>
                <w:sz w:val="12"/>
                <w:szCs w:val="12"/>
                <w:lang w:val="uk-UA"/>
              </w:rPr>
              <w:t>Середня чисельність працівників</w:t>
            </w:r>
          </w:p>
        </w:tc>
      </w:tr>
      <w:tr w:rsidR="005C7597" w:rsidRPr="00FB79F8" w:rsidTr="00FB79F8">
        <w:trPr>
          <w:trHeight w:hRule="exact" w:val="166"/>
        </w:trPr>
        <w:tc>
          <w:tcPr>
            <w:tcW w:w="5500" w:type="dxa"/>
            <w:gridSpan w:val="4"/>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rsidR="005C7597" w:rsidRPr="00FB79F8" w:rsidRDefault="007C1496">
            <w:pPr>
              <w:spacing w:after="0" w:line="120" w:lineRule="auto"/>
              <w:jc w:val="center"/>
              <w:rPr>
                <w:sz w:val="10"/>
                <w:szCs w:val="10"/>
                <w:lang w:val="uk-UA"/>
              </w:rPr>
            </w:pPr>
            <w:r w:rsidRPr="00FB79F8">
              <w:rPr>
                <w:rFonts w:ascii="Times New Roman" w:hAnsi="Times New Roman" w:cs="Times New Roman"/>
                <w:color w:val="000000"/>
                <w:sz w:val="10"/>
                <w:szCs w:val="10"/>
                <w:lang w:val="uk-UA"/>
              </w:rPr>
              <w:t>1</w:t>
            </w:r>
          </w:p>
        </w:tc>
        <w:tc>
          <w:tcPr>
            <w:tcW w:w="2822" w:type="dxa"/>
            <w:gridSpan w:val="5"/>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rsidR="005C7597" w:rsidRPr="00FB79F8" w:rsidRDefault="007C1496">
            <w:pPr>
              <w:spacing w:after="0" w:line="120" w:lineRule="auto"/>
              <w:jc w:val="center"/>
              <w:rPr>
                <w:sz w:val="10"/>
                <w:szCs w:val="10"/>
                <w:lang w:val="uk-UA"/>
              </w:rPr>
            </w:pPr>
            <w:r w:rsidRPr="00FB79F8">
              <w:rPr>
                <w:rFonts w:ascii="Times New Roman" w:hAnsi="Times New Roman" w:cs="Times New Roman"/>
                <w:color w:val="000000"/>
                <w:sz w:val="10"/>
                <w:szCs w:val="10"/>
                <w:lang w:val="uk-UA"/>
              </w:rPr>
              <w:t>2</w:t>
            </w:r>
          </w:p>
        </w:tc>
        <w:tc>
          <w:tcPr>
            <w:tcW w:w="1742" w:type="dxa"/>
            <w:gridSpan w:val="4"/>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rsidR="005C7597" w:rsidRPr="00FB79F8" w:rsidRDefault="007C1496">
            <w:pPr>
              <w:spacing w:after="0" w:line="120" w:lineRule="auto"/>
              <w:jc w:val="center"/>
              <w:rPr>
                <w:sz w:val="10"/>
                <w:szCs w:val="10"/>
                <w:lang w:val="uk-UA"/>
              </w:rPr>
            </w:pPr>
            <w:r w:rsidRPr="00FB79F8">
              <w:rPr>
                <w:rFonts w:ascii="Times New Roman" w:hAnsi="Times New Roman" w:cs="Times New Roman"/>
                <w:color w:val="000000"/>
                <w:sz w:val="10"/>
                <w:szCs w:val="10"/>
                <w:lang w:val="uk-UA"/>
              </w:rPr>
              <w:t>3</w:t>
            </w:r>
          </w:p>
        </w:tc>
      </w:tr>
      <w:tr w:rsidR="005C7597" w:rsidRPr="00FB79F8" w:rsidTr="00FB79F8">
        <w:trPr>
          <w:trHeight w:hRule="exact" w:val="3033"/>
        </w:trPr>
        <w:tc>
          <w:tcPr>
            <w:tcW w:w="5500" w:type="dxa"/>
            <w:gridSpan w:val="4"/>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tcPr>
          <w:p w:rsidR="005C7597" w:rsidRPr="00FB79F8" w:rsidRDefault="007C1496">
            <w:pPr>
              <w:spacing w:after="0" w:line="150" w:lineRule="auto"/>
              <w:rPr>
                <w:sz w:val="16"/>
                <w:szCs w:val="16"/>
                <w:lang w:val="uk-UA"/>
              </w:rPr>
            </w:pPr>
            <w:r w:rsidRPr="00FB79F8">
              <w:rPr>
                <w:rFonts w:ascii="Times New Roman" w:hAnsi="Times New Roman" w:cs="Times New Roman"/>
                <w:color w:val="000000"/>
                <w:sz w:val="16"/>
                <w:szCs w:val="16"/>
                <w:lang w:val="uk-UA"/>
              </w:rPr>
              <w:t>Відповідно до Закону України «Про місцеві державні адміністрації» Дарницька районна в  місті Києві державна адміністрація в межах своїх повноважень здійснює виконавчу владу в Дарницькому районі м. Києва.</w:t>
            </w:r>
          </w:p>
          <w:p w:rsidR="005C7597" w:rsidRPr="00FB79F8" w:rsidRDefault="007C1496">
            <w:pPr>
              <w:spacing w:after="0" w:line="150" w:lineRule="auto"/>
              <w:rPr>
                <w:sz w:val="16"/>
                <w:szCs w:val="16"/>
                <w:lang w:val="uk-UA"/>
              </w:rPr>
            </w:pPr>
            <w:r w:rsidRPr="00FB79F8">
              <w:rPr>
                <w:rFonts w:ascii="Times New Roman" w:hAnsi="Times New Roman" w:cs="Times New Roman"/>
                <w:color w:val="000000"/>
                <w:sz w:val="16"/>
                <w:szCs w:val="16"/>
                <w:lang w:val="uk-UA"/>
              </w:rPr>
              <w:t>Дарницька районна в  м. Києві державна адміністрація є місцевим органом виконавчої влади і входить до системи органів виконавчої влади.</w:t>
            </w:r>
          </w:p>
          <w:p w:rsidR="005C7597" w:rsidRPr="00FB79F8" w:rsidRDefault="007C1496">
            <w:pPr>
              <w:spacing w:after="0" w:line="150" w:lineRule="auto"/>
              <w:rPr>
                <w:sz w:val="16"/>
                <w:szCs w:val="16"/>
                <w:lang w:val="uk-UA"/>
              </w:rPr>
            </w:pPr>
            <w:r w:rsidRPr="00FB79F8">
              <w:rPr>
                <w:rFonts w:ascii="Times New Roman" w:hAnsi="Times New Roman" w:cs="Times New Roman"/>
                <w:color w:val="000000"/>
                <w:sz w:val="16"/>
                <w:szCs w:val="16"/>
                <w:lang w:val="uk-UA"/>
              </w:rPr>
              <w:t>Дарницька районна в  м. Києві державна адміністрація забезпечує:</w:t>
            </w:r>
          </w:p>
          <w:p w:rsidR="005C7597" w:rsidRPr="00FB79F8" w:rsidRDefault="007C1496">
            <w:pPr>
              <w:spacing w:after="0" w:line="150" w:lineRule="auto"/>
              <w:rPr>
                <w:sz w:val="16"/>
                <w:szCs w:val="16"/>
                <w:lang w:val="uk-UA"/>
              </w:rPr>
            </w:pPr>
            <w:r w:rsidRPr="00FB79F8">
              <w:rPr>
                <w:rFonts w:ascii="Times New Roman" w:hAnsi="Times New Roman" w:cs="Times New Roman"/>
                <w:color w:val="000000"/>
                <w:sz w:val="16"/>
                <w:szCs w:val="16"/>
                <w:lang w:val="uk-UA"/>
              </w:rPr>
              <w:t>1) виконання Конституції, законів України, актів Президента України, Кабінету Міністрів України, інших органів виконавчої влади вищого рівня;</w:t>
            </w:r>
          </w:p>
          <w:p w:rsidR="005C7597" w:rsidRPr="00FB79F8" w:rsidRDefault="007C1496">
            <w:pPr>
              <w:spacing w:after="0" w:line="150" w:lineRule="auto"/>
              <w:rPr>
                <w:sz w:val="16"/>
                <w:szCs w:val="16"/>
                <w:lang w:val="uk-UA"/>
              </w:rPr>
            </w:pPr>
            <w:r w:rsidRPr="00FB79F8">
              <w:rPr>
                <w:rFonts w:ascii="Times New Roman" w:hAnsi="Times New Roman" w:cs="Times New Roman"/>
                <w:color w:val="000000"/>
                <w:sz w:val="16"/>
                <w:szCs w:val="16"/>
                <w:lang w:val="uk-UA"/>
              </w:rPr>
              <w:t>2) законність і правопорядок, додержання прав і свобод громадян;</w:t>
            </w:r>
          </w:p>
          <w:p w:rsidR="005C7597" w:rsidRPr="00FB79F8" w:rsidRDefault="007C1496">
            <w:pPr>
              <w:spacing w:after="0" w:line="150" w:lineRule="auto"/>
              <w:rPr>
                <w:sz w:val="16"/>
                <w:szCs w:val="16"/>
                <w:lang w:val="uk-UA"/>
              </w:rPr>
            </w:pPr>
            <w:r w:rsidRPr="00FB79F8">
              <w:rPr>
                <w:rFonts w:ascii="Times New Roman" w:hAnsi="Times New Roman" w:cs="Times New Roman"/>
                <w:color w:val="000000"/>
                <w:sz w:val="16"/>
                <w:szCs w:val="16"/>
                <w:lang w:val="uk-UA"/>
              </w:rPr>
              <w:t>3) виконання державних і регіональних програм соціально-економічного та культурного розвитку, програм охорони довкілля;</w:t>
            </w:r>
          </w:p>
          <w:p w:rsidR="005C7597" w:rsidRPr="00FB79F8" w:rsidRDefault="007C1496">
            <w:pPr>
              <w:spacing w:after="0" w:line="150" w:lineRule="auto"/>
              <w:rPr>
                <w:sz w:val="16"/>
                <w:szCs w:val="16"/>
                <w:lang w:val="uk-UA"/>
              </w:rPr>
            </w:pPr>
            <w:r w:rsidRPr="00FB79F8">
              <w:rPr>
                <w:rFonts w:ascii="Times New Roman" w:hAnsi="Times New Roman" w:cs="Times New Roman"/>
                <w:color w:val="000000"/>
                <w:sz w:val="16"/>
                <w:szCs w:val="16"/>
                <w:lang w:val="uk-UA"/>
              </w:rPr>
              <w:t>4) реалізацію інших наданих  державою, а також делегованих Київською міською радою повноважень.</w:t>
            </w:r>
          </w:p>
          <w:p w:rsidR="005C7597" w:rsidRPr="00FB79F8" w:rsidRDefault="007C1496">
            <w:pPr>
              <w:spacing w:after="0" w:line="150" w:lineRule="auto"/>
              <w:rPr>
                <w:sz w:val="16"/>
                <w:szCs w:val="16"/>
                <w:lang w:val="uk-UA"/>
              </w:rPr>
            </w:pPr>
            <w:r w:rsidRPr="00FB79F8">
              <w:rPr>
                <w:rFonts w:ascii="Times New Roman" w:hAnsi="Times New Roman" w:cs="Times New Roman"/>
                <w:color w:val="000000"/>
                <w:sz w:val="16"/>
                <w:szCs w:val="16"/>
                <w:lang w:val="uk-UA"/>
              </w:rPr>
              <w:t>Дарницька районна в  м. Києві державна адміністрація діє на засадах:</w:t>
            </w:r>
          </w:p>
          <w:p w:rsidR="005C7597" w:rsidRPr="00FB79F8" w:rsidRDefault="007C1496">
            <w:pPr>
              <w:spacing w:after="0" w:line="150" w:lineRule="auto"/>
              <w:rPr>
                <w:sz w:val="16"/>
                <w:szCs w:val="16"/>
                <w:lang w:val="uk-UA"/>
              </w:rPr>
            </w:pPr>
            <w:r w:rsidRPr="00FB79F8">
              <w:rPr>
                <w:rFonts w:ascii="Times New Roman" w:hAnsi="Times New Roman" w:cs="Times New Roman"/>
                <w:color w:val="000000"/>
                <w:sz w:val="16"/>
                <w:szCs w:val="16"/>
                <w:lang w:val="uk-UA"/>
              </w:rPr>
              <w:t>- відповідальності перед людиною і державою за свою діяльність;</w:t>
            </w:r>
          </w:p>
          <w:p w:rsidR="005C7597" w:rsidRPr="00FB79F8" w:rsidRDefault="007C1496">
            <w:pPr>
              <w:spacing w:after="0" w:line="150" w:lineRule="auto"/>
              <w:rPr>
                <w:sz w:val="16"/>
                <w:szCs w:val="16"/>
                <w:lang w:val="uk-UA"/>
              </w:rPr>
            </w:pPr>
            <w:r w:rsidRPr="00FB79F8">
              <w:rPr>
                <w:rFonts w:ascii="Times New Roman" w:hAnsi="Times New Roman" w:cs="Times New Roman"/>
                <w:color w:val="000000"/>
                <w:sz w:val="16"/>
                <w:szCs w:val="16"/>
                <w:lang w:val="uk-UA"/>
              </w:rPr>
              <w:t>- верховенства права;</w:t>
            </w:r>
          </w:p>
          <w:p w:rsidR="005C7597" w:rsidRPr="00FB79F8" w:rsidRDefault="007C1496">
            <w:pPr>
              <w:spacing w:after="0" w:line="150" w:lineRule="auto"/>
              <w:rPr>
                <w:sz w:val="16"/>
                <w:szCs w:val="16"/>
                <w:lang w:val="uk-UA"/>
              </w:rPr>
            </w:pPr>
            <w:r w:rsidRPr="00FB79F8">
              <w:rPr>
                <w:rFonts w:ascii="Times New Roman" w:hAnsi="Times New Roman" w:cs="Times New Roman"/>
                <w:color w:val="000000"/>
                <w:sz w:val="16"/>
                <w:szCs w:val="16"/>
                <w:lang w:val="uk-UA"/>
              </w:rPr>
              <w:t>- законності;</w:t>
            </w:r>
          </w:p>
          <w:p w:rsidR="005C7597" w:rsidRPr="00FB79F8" w:rsidRDefault="007C1496">
            <w:pPr>
              <w:spacing w:after="0" w:line="150" w:lineRule="auto"/>
              <w:rPr>
                <w:sz w:val="16"/>
                <w:szCs w:val="16"/>
                <w:lang w:val="uk-UA"/>
              </w:rPr>
            </w:pPr>
            <w:r w:rsidRPr="00FB79F8">
              <w:rPr>
                <w:rFonts w:ascii="Times New Roman" w:hAnsi="Times New Roman" w:cs="Times New Roman"/>
                <w:color w:val="000000"/>
                <w:sz w:val="16"/>
                <w:szCs w:val="16"/>
                <w:lang w:val="uk-UA"/>
              </w:rPr>
              <w:t>- пріоритетності прав людини;</w:t>
            </w:r>
          </w:p>
          <w:p w:rsidR="005C7597" w:rsidRPr="00FB79F8" w:rsidRDefault="007C1496">
            <w:pPr>
              <w:spacing w:after="0" w:line="150" w:lineRule="auto"/>
              <w:rPr>
                <w:sz w:val="16"/>
                <w:szCs w:val="16"/>
                <w:lang w:val="uk-UA"/>
              </w:rPr>
            </w:pPr>
            <w:r w:rsidRPr="00FB79F8">
              <w:rPr>
                <w:rFonts w:ascii="Times New Roman" w:hAnsi="Times New Roman" w:cs="Times New Roman"/>
                <w:color w:val="000000"/>
                <w:sz w:val="16"/>
                <w:szCs w:val="16"/>
                <w:lang w:val="uk-UA"/>
              </w:rPr>
              <w:t>- гласності;</w:t>
            </w:r>
          </w:p>
          <w:p w:rsidR="005C7597" w:rsidRPr="00FB79F8" w:rsidRDefault="007C1496">
            <w:pPr>
              <w:spacing w:after="0" w:line="150" w:lineRule="auto"/>
              <w:rPr>
                <w:sz w:val="16"/>
                <w:szCs w:val="16"/>
                <w:lang w:val="uk-UA"/>
              </w:rPr>
            </w:pPr>
            <w:r w:rsidRPr="00FB79F8">
              <w:rPr>
                <w:rFonts w:ascii="Times New Roman" w:hAnsi="Times New Roman" w:cs="Times New Roman"/>
                <w:color w:val="000000"/>
                <w:sz w:val="16"/>
                <w:szCs w:val="16"/>
                <w:lang w:val="uk-UA"/>
              </w:rPr>
              <w:t>- поєднання державних і місцевих інтересів.</w:t>
            </w:r>
          </w:p>
          <w:p w:rsidR="005C7597" w:rsidRPr="00FB79F8" w:rsidRDefault="007C1496">
            <w:pPr>
              <w:spacing w:after="0" w:line="150" w:lineRule="auto"/>
              <w:rPr>
                <w:sz w:val="16"/>
                <w:szCs w:val="16"/>
                <w:lang w:val="uk-UA"/>
              </w:rPr>
            </w:pPr>
            <w:r w:rsidRPr="00FB79F8">
              <w:rPr>
                <w:rFonts w:ascii="Times New Roman" w:hAnsi="Times New Roman" w:cs="Times New Roman"/>
                <w:color w:val="000000"/>
                <w:sz w:val="16"/>
                <w:szCs w:val="16"/>
                <w:lang w:val="uk-UA"/>
              </w:rPr>
              <w:t>Фактична та юридична адреса:</w:t>
            </w:r>
          </w:p>
          <w:p w:rsidR="005C7597" w:rsidRPr="00FB79F8" w:rsidRDefault="007C1496">
            <w:pPr>
              <w:spacing w:after="0" w:line="150" w:lineRule="auto"/>
              <w:rPr>
                <w:sz w:val="12"/>
                <w:szCs w:val="12"/>
                <w:lang w:val="uk-UA"/>
              </w:rPr>
            </w:pPr>
            <w:r w:rsidRPr="00FB79F8">
              <w:rPr>
                <w:rFonts w:ascii="Times New Roman" w:hAnsi="Times New Roman" w:cs="Times New Roman"/>
                <w:color w:val="000000"/>
                <w:sz w:val="16"/>
                <w:szCs w:val="16"/>
                <w:lang w:val="uk-UA"/>
              </w:rPr>
              <w:t>02068, м. Київ, вул. О. Кошиця, 11</w:t>
            </w:r>
          </w:p>
        </w:tc>
        <w:tc>
          <w:tcPr>
            <w:tcW w:w="2822" w:type="dxa"/>
            <w:gridSpan w:val="5"/>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tcPr>
          <w:p w:rsidR="005C7597" w:rsidRPr="00FB79F8" w:rsidRDefault="007C1496">
            <w:pPr>
              <w:spacing w:after="0" w:line="150" w:lineRule="auto"/>
              <w:rPr>
                <w:sz w:val="16"/>
                <w:szCs w:val="16"/>
                <w:lang w:val="uk-UA"/>
              </w:rPr>
            </w:pPr>
            <w:r w:rsidRPr="00FB79F8">
              <w:rPr>
                <w:rFonts w:ascii="Times New Roman" w:hAnsi="Times New Roman" w:cs="Times New Roman"/>
                <w:color w:val="000000"/>
                <w:sz w:val="16"/>
                <w:szCs w:val="16"/>
                <w:lang w:val="uk-UA"/>
              </w:rPr>
              <w:t>Київська міська державна адміністрація</w:t>
            </w:r>
          </w:p>
        </w:tc>
        <w:tc>
          <w:tcPr>
            <w:tcW w:w="1742" w:type="dxa"/>
            <w:gridSpan w:val="4"/>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tcPr>
          <w:p w:rsidR="005C7597" w:rsidRPr="00FB79F8" w:rsidRDefault="007C1496">
            <w:pPr>
              <w:spacing w:after="0" w:line="150" w:lineRule="auto"/>
              <w:jc w:val="center"/>
              <w:rPr>
                <w:sz w:val="16"/>
                <w:szCs w:val="16"/>
                <w:lang w:val="uk-UA"/>
              </w:rPr>
            </w:pPr>
            <w:r w:rsidRPr="00FB79F8">
              <w:rPr>
                <w:rFonts w:ascii="Times New Roman" w:hAnsi="Times New Roman" w:cs="Times New Roman"/>
                <w:color w:val="000000"/>
                <w:sz w:val="16"/>
                <w:szCs w:val="16"/>
                <w:lang w:val="uk-UA"/>
              </w:rPr>
              <w:t>126</w:t>
            </w:r>
          </w:p>
        </w:tc>
      </w:tr>
      <w:tr w:rsidR="005C7597" w:rsidRPr="00FB79F8" w:rsidTr="00FB79F8">
        <w:trPr>
          <w:trHeight w:hRule="exact" w:val="277"/>
        </w:trPr>
        <w:tc>
          <w:tcPr>
            <w:tcW w:w="2403" w:type="dxa"/>
          </w:tcPr>
          <w:p w:rsidR="005C7597" w:rsidRPr="00FB79F8" w:rsidRDefault="005C7597">
            <w:pPr>
              <w:rPr>
                <w:lang w:val="uk-UA"/>
              </w:rPr>
            </w:pPr>
          </w:p>
        </w:tc>
        <w:tc>
          <w:tcPr>
            <w:tcW w:w="885" w:type="dxa"/>
          </w:tcPr>
          <w:p w:rsidR="005C7597" w:rsidRPr="00FB79F8" w:rsidRDefault="005C7597">
            <w:pPr>
              <w:rPr>
                <w:lang w:val="uk-UA"/>
              </w:rPr>
            </w:pPr>
          </w:p>
        </w:tc>
        <w:tc>
          <w:tcPr>
            <w:tcW w:w="1026" w:type="dxa"/>
          </w:tcPr>
          <w:p w:rsidR="005C7597" w:rsidRPr="00FB79F8" w:rsidRDefault="005C7597">
            <w:pPr>
              <w:rPr>
                <w:lang w:val="uk-UA"/>
              </w:rPr>
            </w:pPr>
          </w:p>
        </w:tc>
        <w:tc>
          <w:tcPr>
            <w:tcW w:w="1186" w:type="dxa"/>
          </w:tcPr>
          <w:p w:rsidR="005C7597" w:rsidRPr="00FB79F8" w:rsidRDefault="005C7597">
            <w:pPr>
              <w:rPr>
                <w:lang w:val="uk-UA"/>
              </w:rPr>
            </w:pPr>
          </w:p>
        </w:tc>
        <w:tc>
          <w:tcPr>
            <w:tcW w:w="965" w:type="dxa"/>
          </w:tcPr>
          <w:p w:rsidR="005C7597" w:rsidRPr="00FB79F8" w:rsidRDefault="005C7597">
            <w:pPr>
              <w:rPr>
                <w:lang w:val="uk-UA"/>
              </w:rPr>
            </w:pPr>
          </w:p>
        </w:tc>
        <w:tc>
          <w:tcPr>
            <w:tcW w:w="160" w:type="dxa"/>
          </w:tcPr>
          <w:p w:rsidR="005C7597" w:rsidRPr="00FB79F8" w:rsidRDefault="005C7597">
            <w:pPr>
              <w:rPr>
                <w:lang w:val="uk-UA"/>
              </w:rPr>
            </w:pPr>
          </w:p>
        </w:tc>
        <w:tc>
          <w:tcPr>
            <w:tcW w:w="643" w:type="dxa"/>
          </w:tcPr>
          <w:p w:rsidR="005C7597" w:rsidRPr="00FB79F8" w:rsidRDefault="005C7597">
            <w:pPr>
              <w:rPr>
                <w:lang w:val="uk-UA"/>
              </w:rPr>
            </w:pPr>
          </w:p>
        </w:tc>
        <w:tc>
          <w:tcPr>
            <w:tcW w:w="702" w:type="dxa"/>
          </w:tcPr>
          <w:p w:rsidR="005C7597" w:rsidRPr="00FB79F8" w:rsidRDefault="005C7597">
            <w:pPr>
              <w:rPr>
                <w:lang w:val="uk-UA"/>
              </w:rPr>
            </w:pPr>
          </w:p>
        </w:tc>
        <w:tc>
          <w:tcPr>
            <w:tcW w:w="352" w:type="dxa"/>
          </w:tcPr>
          <w:p w:rsidR="005C7597" w:rsidRPr="00FB79F8" w:rsidRDefault="005C7597">
            <w:pPr>
              <w:rPr>
                <w:lang w:val="uk-UA"/>
              </w:rPr>
            </w:pPr>
          </w:p>
        </w:tc>
        <w:tc>
          <w:tcPr>
            <w:tcW w:w="329" w:type="dxa"/>
          </w:tcPr>
          <w:p w:rsidR="005C7597" w:rsidRPr="00FB79F8" w:rsidRDefault="005C7597">
            <w:pPr>
              <w:rPr>
                <w:lang w:val="uk-UA"/>
              </w:rPr>
            </w:pPr>
          </w:p>
        </w:tc>
        <w:tc>
          <w:tcPr>
            <w:tcW w:w="685" w:type="dxa"/>
          </w:tcPr>
          <w:p w:rsidR="005C7597" w:rsidRPr="00FB79F8" w:rsidRDefault="005C7597">
            <w:pPr>
              <w:rPr>
                <w:lang w:val="uk-UA"/>
              </w:rPr>
            </w:pPr>
          </w:p>
        </w:tc>
        <w:tc>
          <w:tcPr>
            <w:tcW w:w="456" w:type="dxa"/>
          </w:tcPr>
          <w:p w:rsidR="005C7597" w:rsidRPr="00FB79F8" w:rsidRDefault="005C7597">
            <w:pPr>
              <w:rPr>
                <w:lang w:val="uk-UA"/>
              </w:rPr>
            </w:pPr>
          </w:p>
        </w:tc>
        <w:tc>
          <w:tcPr>
            <w:tcW w:w="272" w:type="dxa"/>
          </w:tcPr>
          <w:p w:rsidR="005C7597" w:rsidRPr="00FB79F8" w:rsidRDefault="005C7597">
            <w:pPr>
              <w:rPr>
                <w:lang w:val="uk-UA"/>
              </w:rPr>
            </w:pPr>
          </w:p>
        </w:tc>
      </w:tr>
      <w:tr w:rsidR="005C7597" w:rsidRPr="00FB79F8" w:rsidTr="00FB79F8">
        <w:trPr>
          <w:trHeight w:hRule="exact" w:val="240"/>
        </w:trPr>
        <w:tc>
          <w:tcPr>
            <w:tcW w:w="10064" w:type="dxa"/>
            <w:gridSpan w:val="13"/>
            <w:shd w:val="clear" w:color="000000" w:fill="FFFFFF"/>
            <w:tcMar>
              <w:top w:w="0" w:type="dxa"/>
              <w:left w:w="38" w:type="dxa"/>
              <w:bottom w:w="0" w:type="dxa"/>
              <w:right w:w="38" w:type="dxa"/>
            </w:tcMar>
          </w:tcPr>
          <w:p w:rsidR="005C7597" w:rsidRPr="00FB79F8" w:rsidRDefault="007C1496" w:rsidP="00FB79F8">
            <w:pPr>
              <w:spacing w:after="0" w:line="240" w:lineRule="auto"/>
              <w:ind w:left="-38"/>
              <w:jc w:val="both"/>
              <w:rPr>
                <w:sz w:val="20"/>
                <w:szCs w:val="20"/>
                <w:lang w:val="uk-UA"/>
              </w:rPr>
            </w:pPr>
            <w:r w:rsidRPr="00FB79F8">
              <w:rPr>
                <w:rFonts w:ascii="Times New Roman" w:hAnsi="Times New Roman" w:cs="Times New Roman"/>
                <w:color w:val="000000"/>
                <w:sz w:val="20"/>
                <w:szCs w:val="20"/>
                <w:lang w:val="uk-UA"/>
              </w:rPr>
              <w:t>Кредиторської заборгованості на початок року немає, на звітну дату заборгованість складає 8790,00 грн.</w:t>
            </w:r>
          </w:p>
        </w:tc>
      </w:tr>
      <w:tr w:rsidR="005C7597" w:rsidRPr="00FB79F8" w:rsidTr="00FB79F8">
        <w:trPr>
          <w:trHeight w:hRule="exact" w:val="240"/>
        </w:trPr>
        <w:tc>
          <w:tcPr>
            <w:tcW w:w="10064" w:type="dxa"/>
            <w:gridSpan w:val="13"/>
            <w:shd w:val="clear" w:color="000000" w:fill="FFFFFF"/>
            <w:tcMar>
              <w:top w:w="0" w:type="dxa"/>
              <w:left w:w="38" w:type="dxa"/>
              <w:bottom w:w="0" w:type="dxa"/>
              <w:right w:w="38" w:type="dxa"/>
            </w:tcMar>
          </w:tcPr>
          <w:p w:rsidR="005C7597" w:rsidRPr="00FB79F8" w:rsidRDefault="007C1496" w:rsidP="00FB79F8">
            <w:pPr>
              <w:spacing w:after="0" w:line="240" w:lineRule="auto"/>
              <w:ind w:left="-38"/>
              <w:jc w:val="both"/>
              <w:rPr>
                <w:sz w:val="20"/>
                <w:szCs w:val="20"/>
                <w:lang w:val="uk-UA"/>
              </w:rPr>
            </w:pPr>
            <w:r w:rsidRPr="00FB79F8">
              <w:rPr>
                <w:rFonts w:ascii="Times New Roman" w:hAnsi="Times New Roman" w:cs="Times New Roman"/>
                <w:color w:val="000000"/>
                <w:sz w:val="20"/>
                <w:szCs w:val="20"/>
                <w:lang w:val="uk-UA"/>
              </w:rPr>
              <w:t>Простроченої кредиторської заборгованості на початок року немає на звітну заборгованість складає 8790,00 грн.</w:t>
            </w:r>
          </w:p>
        </w:tc>
      </w:tr>
      <w:tr w:rsidR="005C7597" w:rsidRPr="00FB79F8" w:rsidTr="00FB79F8">
        <w:trPr>
          <w:trHeight w:hRule="exact" w:val="465"/>
        </w:trPr>
        <w:tc>
          <w:tcPr>
            <w:tcW w:w="10064" w:type="dxa"/>
            <w:gridSpan w:val="13"/>
            <w:shd w:val="clear" w:color="000000" w:fill="FFFFFF"/>
            <w:tcMar>
              <w:top w:w="0" w:type="dxa"/>
              <w:left w:w="38" w:type="dxa"/>
              <w:bottom w:w="0" w:type="dxa"/>
              <w:right w:w="38" w:type="dxa"/>
            </w:tcMar>
          </w:tcPr>
          <w:p w:rsidR="005C7597" w:rsidRPr="00FB79F8" w:rsidRDefault="007C1496" w:rsidP="00FB79F8">
            <w:pPr>
              <w:spacing w:after="0" w:line="240" w:lineRule="auto"/>
              <w:ind w:left="-38"/>
              <w:jc w:val="both"/>
              <w:rPr>
                <w:sz w:val="20"/>
                <w:szCs w:val="20"/>
                <w:lang w:val="uk-UA"/>
              </w:rPr>
            </w:pPr>
            <w:r w:rsidRPr="00FB79F8">
              <w:rPr>
                <w:rFonts w:ascii="Times New Roman" w:hAnsi="Times New Roman" w:cs="Times New Roman"/>
                <w:color w:val="000000"/>
                <w:sz w:val="20"/>
                <w:szCs w:val="20"/>
                <w:lang w:val="uk-UA"/>
              </w:rPr>
              <w:t>Дебіторська заборгованість на початок року складає 12000,00 грн (забезпечувальний депозит), на звітну дату заборгованість складає 12000,00 грн:</w:t>
            </w:r>
          </w:p>
        </w:tc>
      </w:tr>
      <w:tr w:rsidR="005C7597" w:rsidRPr="00FB79F8" w:rsidTr="00FB79F8">
        <w:trPr>
          <w:trHeight w:hRule="exact" w:val="465"/>
        </w:trPr>
        <w:tc>
          <w:tcPr>
            <w:tcW w:w="10064" w:type="dxa"/>
            <w:gridSpan w:val="13"/>
            <w:shd w:val="clear" w:color="000000" w:fill="FFFFFF"/>
            <w:tcMar>
              <w:top w:w="0" w:type="dxa"/>
              <w:left w:w="38" w:type="dxa"/>
              <w:bottom w:w="0" w:type="dxa"/>
              <w:right w:w="38" w:type="dxa"/>
            </w:tcMar>
          </w:tcPr>
          <w:p w:rsidR="005C7597" w:rsidRPr="00FB79F8" w:rsidRDefault="007C1496" w:rsidP="00FB79F8">
            <w:pPr>
              <w:spacing w:after="0" w:line="240" w:lineRule="auto"/>
              <w:ind w:left="-38"/>
              <w:jc w:val="both"/>
              <w:rPr>
                <w:sz w:val="20"/>
                <w:szCs w:val="20"/>
                <w:lang w:val="uk-UA"/>
              </w:rPr>
            </w:pPr>
            <w:r w:rsidRPr="00FB79F8">
              <w:rPr>
                <w:rFonts w:ascii="Times New Roman" w:hAnsi="Times New Roman" w:cs="Times New Roman"/>
                <w:color w:val="000000"/>
                <w:sz w:val="20"/>
                <w:szCs w:val="20"/>
                <w:lang w:val="uk-UA"/>
              </w:rPr>
              <w:t>- 12000,00 грн довгострокова дебіторська заборгованість за забезпечувальний депозит згідно договорів оренди;</w:t>
            </w:r>
          </w:p>
        </w:tc>
      </w:tr>
      <w:tr w:rsidR="005C7597" w:rsidRPr="00FB79F8" w:rsidTr="00FB79F8">
        <w:trPr>
          <w:trHeight w:hRule="exact" w:val="240"/>
        </w:trPr>
        <w:tc>
          <w:tcPr>
            <w:tcW w:w="10064" w:type="dxa"/>
            <w:gridSpan w:val="13"/>
            <w:shd w:val="clear" w:color="000000" w:fill="FFFFFF"/>
            <w:tcMar>
              <w:top w:w="0" w:type="dxa"/>
              <w:left w:w="38" w:type="dxa"/>
              <w:bottom w:w="0" w:type="dxa"/>
              <w:right w:w="38" w:type="dxa"/>
            </w:tcMar>
          </w:tcPr>
          <w:p w:rsidR="005C7597" w:rsidRPr="00FB79F8" w:rsidRDefault="007C1496" w:rsidP="00FB79F8">
            <w:pPr>
              <w:spacing w:after="0" w:line="240" w:lineRule="auto"/>
              <w:ind w:left="-38"/>
              <w:jc w:val="both"/>
              <w:rPr>
                <w:sz w:val="20"/>
                <w:szCs w:val="20"/>
                <w:lang w:val="uk-UA"/>
              </w:rPr>
            </w:pPr>
            <w:r w:rsidRPr="00FB79F8">
              <w:rPr>
                <w:rFonts w:ascii="Times New Roman" w:hAnsi="Times New Roman" w:cs="Times New Roman"/>
                <w:color w:val="000000"/>
                <w:sz w:val="20"/>
                <w:szCs w:val="20"/>
                <w:lang w:val="uk-UA"/>
              </w:rPr>
              <w:t>Простроченої дебіторської та кредиторської заборгованості, зазначеної у рядку "Інше" на звітну дату немає.</w:t>
            </w:r>
          </w:p>
        </w:tc>
      </w:tr>
      <w:tr w:rsidR="005C7597" w:rsidRPr="00FB79F8" w:rsidTr="00FB79F8">
        <w:trPr>
          <w:trHeight w:hRule="exact" w:val="465"/>
        </w:trPr>
        <w:tc>
          <w:tcPr>
            <w:tcW w:w="10064" w:type="dxa"/>
            <w:gridSpan w:val="13"/>
            <w:shd w:val="clear" w:color="000000" w:fill="FFFFFF"/>
            <w:tcMar>
              <w:top w:w="0" w:type="dxa"/>
              <w:left w:w="38" w:type="dxa"/>
              <w:bottom w:w="0" w:type="dxa"/>
              <w:right w:w="38" w:type="dxa"/>
            </w:tcMar>
          </w:tcPr>
          <w:p w:rsidR="005C7597" w:rsidRPr="00FB79F8" w:rsidRDefault="007C1496" w:rsidP="00FB79F8">
            <w:pPr>
              <w:spacing w:after="0" w:line="240" w:lineRule="auto"/>
              <w:ind w:left="-38"/>
              <w:jc w:val="both"/>
              <w:rPr>
                <w:sz w:val="20"/>
                <w:szCs w:val="20"/>
                <w:lang w:val="uk-UA"/>
              </w:rPr>
            </w:pPr>
            <w:r w:rsidRPr="00FB79F8">
              <w:rPr>
                <w:rFonts w:ascii="Times New Roman" w:hAnsi="Times New Roman" w:cs="Times New Roman"/>
                <w:color w:val="000000"/>
                <w:sz w:val="20"/>
                <w:szCs w:val="20"/>
                <w:lang w:val="uk-UA"/>
              </w:rPr>
              <w:t>Простроченої кредиторської заборгованості за кодом економічної класифікації видатків 2110, та за кодом економічної класифікації видатків 2270 немає.</w:t>
            </w:r>
          </w:p>
        </w:tc>
      </w:tr>
      <w:tr w:rsidR="005C7597" w:rsidRPr="00FB79F8" w:rsidTr="00FB79F8">
        <w:trPr>
          <w:trHeight w:hRule="exact" w:val="690"/>
        </w:trPr>
        <w:tc>
          <w:tcPr>
            <w:tcW w:w="10064" w:type="dxa"/>
            <w:gridSpan w:val="13"/>
            <w:shd w:val="clear" w:color="000000" w:fill="FFFFFF"/>
            <w:tcMar>
              <w:top w:w="0" w:type="dxa"/>
              <w:left w:w="38" w:type="dxa"/>
              <w:bottom w:w="0" w:type="dxa"/>
              <w:right w:w="38" w:type="dxa"/>
            </w:tcMar>
          </w:tcPr>
          <w:p w:rsidR="005C7597" w:rsidRPr="00FB79F8" w:rsidRDefault="007C1496" w:rsidP="00FB79F8">
            <w:pPr>
              <w:spacing w:after="0" w:line="240" w:lineRule="auto"/>
              <w:ind w:left="-38"/>
              <w:jc w:val="both"/>
              <w:rPr>
                <w:sz w:val="20"/>
                <w:szCs w:val="20"/>
                <w:lang w:val="uk-UA"/>
              </w:rPr>
            </w:pPr>
            <w:r w:rsidRPr="00FB79F8">
              <w:rPr>
                <w:rFonts w:ascii="Times New Roman" w:hAnsi="Times New Roman" w:cs="Times New Roman"/>
                <w:color w:val="000000"/>
                <w:sz w:val="20"/>
                <w:szCs w:val="20"/>
                <w:lang w:val="uk-UA"/>
              </w:rPr>
              <w:t>“Кредиторської заборгованості за бюджетними зобов'язаннями, не взятими на облік органами Казначейства, зазначеної у Довідці про дебіторську та кредиторську заборгованість, які не відображаються у формі № 7д, № 7м “Звіт про заборгованість за бюджетними коштами”, на звітну дату немає.</w:t>
            </w:r>
          </w:p>
        </w:tc>
      </w:tr>
      <w:tr w:rsidR="005C7597" w:rsidRPr="00FB79F8" w:rsidTr="00FB79F8">
        <w:trPr>
          <w:trHeight w:hRule="exact" w:val="690"/>
        </w:trPr>
        <w:tc>
          <w:tcPr>
            <w:tcW w:w="10064" w:type="dxa"/>
            <w:gridSpan w:val="13"/>
            <w:shd w:val="clear" w:color="000000" w:fill="FFFFFF"/>
            <w:tcMar>
              <w:top w:w="0" w:type="dxa"/>
              <w:left w:w="38" w:type="dxa"/>
              <w:bottom w:w="0" w:type="dxa"/>
              <w:right w:w="38" w:type="dxa"/>
            </w:tcMar>
          </w:tcPr>
          <w:p w:rsidR="005C7597" w:rsidRPr="00FB79F8" w:rsidRDefault="007C1496" w:rsidP="00FB79F8">
            <w:pPr>
              <w:spacing w:after="0" w:line="240" w:lineRule="auto"/>
              <w:ind w:left="-38"/>
              <w:jc w:val="both"/>
              <w:rPr>
                <w:sz w:val="20"/>
                <w:szCs w:val="20"/>
                <w:lang w:val="uk-UA"/>
              </w:rPr>
            </w:pPr>
            <w:r w:rsidRPr="00FB79F8">
              <w:rPr>
                <w:rFonts w:ascii="Times New Roman" w:hAnsi="Times New Roman" w:cs="Times New Roman"/>
                <w:color w:val="000000"/>
                <w:sz w:val="20"/>
                <w:szCs w:val="20"/>
                <w:lang w:val="uk-UA"/>
              </w:rPr>
              <w:t>Зобов'язань, взятих без відповідних бюджетних асигнувань або з перевищенням повноважень, встановлених Бюджетним кодексом України, законом про Державний бюджет України, рішенням про місцевий бюджет, на звітну дату немає.</w:t>
            </w:r>
          </w:p>
        </w:tc>
      </w:tr>
      <w:tr w:rsidR="005C7597" w:rsidRPr="00FB79F8" w:rsidTr="00FB79F8">
        <w:trPr>
          <w:trHeight w:hRule="exact" w:val="465"/>
        </w:trPr>
        <w:tc>
          <w:tcPr>
            <w:tcW w:w="10064" w:type="dxa"/>
            <w:gridSpan w:val="13"/>
            <w:shd w:val="clear" w:color="000000" w:fill="FFFFFF"/>
            <w:tcMar>
              <w:top w:w="0" w:type="dxa"/>
              <w:left w:w="38" w:type="dxa"/>
              <w:bottom w:w="0" w:type="dxa"/>
              <w:right w:w="38" w:type="dxa"/>
            </w:tcMar>
          </w:tcPr>
          <w:p w:rsidR="005C7597" w:rsidRPr="00FB79F8" w:rsidRDefault="007C1496" w:rsidP="00FB79F8">
            <w:pPr>
              <w:spacing w:after="0" w:line="240" w:lineRule="auto"/>
              <w:ind w:left="-38"/>
              <w:jc w:val="both"/>
              <w:rPr>
                <w:sz w:val="20"/>
                <w:szCs w:val="20"/>
                <w:lang w:val="uk-UA"/>
              </w:rPr>
            </w:pPr>
            <w:r w:rsidRPr="00FB79F8">
              <w:rPr>
                <w:rFonts w:ascii="Times New Roman" w:hAnsi="Times New Roman" w:cs="Times New Roman"/>
                <w:color w:val="000000"/>
                <w:sz w:val="20"/>
                <w:szCs w:val="20"/>
                <w:lang w:val="uk-UA"/>
              </w:rPr>
              <w:t>Дебіторської та кредиторської заборгованості за бюджетними програмами, бюджетні призначення за якими законом про Державний бюджет України на звітний рік не затверджувалися, на звітну дату немає.</w:t>
            </w:r>
          </w:p>
        </w:tc>
      </w:tr>
      <w:tr w:rsidR="005C7597" w:rsidRPr="00FB79F8" w:rsidTr="00FB79F8">
        <w:trPr>
          <w:trHeight w:hRule="exact" w:val="465"/>
        </w:trPr>
        <w:tc>
          <w:tcPr>
            <w:tcW w:w="10064" w:type="dxa"/>
            <w:gridSpan w:val="13"/>
            <w:shd w:val="clear" w:color="000000" w:fill="FFFFFF"/>
            <w:tcMar>
              <w:top w:w="0" w:type="dxa"/>
              <w:left w:w="38" w:type="dxa"/>
              <w:bottom w:w="0" w:type="dxa"/>
              <w:right w:w="38" w:type="dxa"/>
            </w:tcMar>
          </w:tcPr>
          <w:p w:rsidR="005C7597" w:rsidRPr="00FB79F8" w:rsidRDefault="007C1496" w:rsidP="00FB79F8">
            <w:pPr>
              <w:spacing w:after="0" w:line="240" w:lineRule="auto"/>
              <w:ind w:left="-38"/>
              <w:jc w:val="both"/>
              <w:rPr>
                <w:sz w:val="20"/>
                <w:szCs w:val="20"/>
                <w:lang w:val="uk-UA"/>
              </w:rPr>
            </w:pPr>
            <w:r w:rsidRPr="00FB79F8">
              <w:rPr>
                <w:rFonts w:ascii="Times New Roman" w:hAnsi="Times New Roman" w:cs="Times New Roman"/>
                <w:color w:val="000000"/>
                <w:sz w:val="20"/>
                <w:szCs w:val="20"/>
                <w:lang w:val="uk-UA"/>
              </w:rPr>
              <w:t>Протоколи про порушення бюджетного законодавства органами Казначейства за звітний період не складалися, порушень бюджетного законодавства не було.</w:t>
            </w:r>
          </w:p>
        </w:tc>
      </w:tr>
      <w:tr w:rsidR="005C7597" w:rsidRPr="00FB79F8" w:rsidTr="00FB79F8">
        <w:trPr>
          <w:trHeight w:hRule="exact" w:val="240"/>
        </w:trPr>
        <w:tc>
          <w:tcPr>
            <w:tcW w:w="10064" w:type="dxa"/>
            <w:gridSpan w:val="13"/>
            <w:shd w:val="clear" w:color="000000" w:fill="FFFFFF"/>
            <w:tcMar>
              <w:top w:w="0" w:type="dxa"/>
              <w:left w:w="38" w:type="dxa"/>
              <w:bottom w:w="0" w:type="dxa"/>
              <w:right w:w="38" w:type="dxa"/>
            </w:tcMar>
          </w:tcPr>
          <w:p w:rsidR="005C7597" w:rsidRPr="00FB79F8" w:rsidRDefault="007C1496" w:rsidP="00FB79F8">
            <w:pPr>
              <w:spacing w:after="0" w:line="240" w:lineRule="auto"/>
              <w:ind w:left="-38"/>
              <w:jc w:val="both"/>
              <w:rPr>
                <w:sz w:val="20"/>
                <w:szCs w:val="20"/>
                <w:lang w:val="uk-UA"/>
              </w:rPr>
            </w:pPr>
            <w:r w:rsidRPr="00FB79F8">
              <w:rPr>
                <w:rFonts w:ascii="Times New Roman" w:hAnsi="Times New Roman" w:cs="Times New Roman"/>
                <w:color w:val="000000"/>
                <w:sz w:val="20"/>
                <w:szCs w:val="20"/>
                <w:lang w:val="uk-UA"/>
              </w:rPr>
              <w:t>Поточних рахунків в установах банків немає.</w:t>
            </w:r>
          </w:p>
        </w:tc>
      </w:tr>
      <w:tr w:rsidR="005C7597" w:rsidRPr="00FB79F8" w:rsidTr="00FB79F8">
        <w:trPr>
          <w:trHeight w:hRule="exact" w:val="240"/>
        </w:trPr>
        <w:tc>
          <w:tcPr>
            <w:tcW w:w="10064" w:type="dxa"/>
            <w:gridSpan w:val="13"/>
            <w:shd w:val="clear" w:color="000000" w:fill="FFFFFF"/>
            <w:tcMar>
              <w:top w:w="0" w:type="dxa"/>
              <w:left w:w="38" w:type="dxa"/>
              <w:bottom w:w="0" w:type="dxa"/>
              <w:right w:w="38" w:type="dxa"/>
            </w:tcMar>
          </w:tcPr>
          <w:p w:rsidR="005C7597" w:rsidRPr="00FB79F8" w:rsidRDefault="007C1496" w:rsidP="00FB79F8">
            <w:pPr>
              <w:spacing w:after="0" w:line="240" w:lineRule="auto"/>
              <w:ind w:left="-38"/>
              <w:jc w:val="both"/>
              <w:rPr>
                <w:sz w:val="20"/>
                <w:szCs w:val="20"/>
                <w:lang w:val="uk-UA"/>
              </w:rPr>
            </w:pPr>
            <w:r w:rsidRPr="00FB79F8">
              <w:rPr>
                <w:rFonts w:ascii="Times New Roman" w:hAnsi="Times New Roman" w:cs="Times New Roman"/>
                <w:color w:val="000000"/>
                <w:sz w:val="20"/>
                <w:szCs w:val="20"/>
                <w:lang w:val="uk-UA"/>
              </w:rPr>
              <w:t>Рахунку в системі електронного адміністрування податку на додану вартість немає.</w:t>
            </w:r>
          </w:p>
        </w:tc>
      </w:tr>
      <w:tr w:rsidR="005C7597" w:rsidRPr="00FB79F8" w:rsidTr="00FB79F8">
        <w:trPr>
          <w:trHeight w:hRule="exact" w:val="240"/>
        </w:trPr>
        <w:tc>
          <w:tcPr>
            <w:tcW w:w="10064" w:type="dxa"/>
            <w:gridSpan w:val="13"/>
            <w:shd w:val="clear" w:color="000000" w:fill="FFFFFF"/>
            <w:tcMar>
              <w:top w:w="0" w:type="dxa"/>
              <w:left w:w="38" w:type="dxa"/>
              <w:bottom w:w="0" w:type="dxa"/>
              <w:right w:w="38" w:type="dxa"/>
            </w:tcMar>
          </w:tcPr>
          <w:p w:rsidR="005C7597" w:rsidRPr="00FB79F8" w:rsidRDefault="007C1496" w:rsidP="00FB79F8">
            <w:pPr>
              <w:spacing w:after="0" w:line="240" w:lineRule="auto"/>
              <w:ind w:left="-38"/>
              <w:jc w:val="both"/>
              <w:rPr>
                <w:sz w:val="20"/>
                <w:szCs w:val="20"/>
                <w:lang w:val="uk-UA"/>
              </w:rPr>
            </w:pPr>
            <w:r w:rsidRPr="00FB79F8">
              <w:rPr>
                <w:rFonts w:ascii="Times New Roman" w:hAnsi="Times New Roman" w:cs="Times New Roman"/>
                <w:color w:val="000000"/>
                <w:sz w:val="20"/>
                <w:szCs w:val="20"/>
                <w:lang w:val="uk-UA"/>
              </w:rPr>
              <w:t>Пояснення до форми Баланс №1-дс</w:t>
            </w:r>
          </w:p>
        </w:tc>
      </w:tr>
      <w:tr w:rsidR="005C7597" w:rsidRPr="00FB79F8" w:rsidTr="00FB79F8">
        <w:trPr>
          <w:trHeight w:hRule="exact" w:val="240"/>
        </w:trPr>
        <w:tc>
          <w:tcPr>
            <w:tcW w:w="10064" w:type="dxa"/>
            <w:gridSpan w:val="13"/>
            <w:shd w:val="clear" w:color="000000" w:fill="FFFFFF"/>
            <w:tcMar>
              <w:top w:w="0" w:type="dxa"/>
              <w:left w:w="38" w:type="dxa"/>
              <w:bottom w:w="0" w:type="dxa"/>
              <w:right w:w="38" w:type="dxa"/>
            </w:tcMar>
          </w:tcPr>
          <w:p w:rsidR="005C7597" w:rsidRPr="00FB79F8" w:rsidRDefault="007C1496" w:rsidP="00FB79F8">
            <w:pPr>
              <w:spacing w:after="0" w:line="240" w:lineRule="auto"/>
              <w:ind w:left="-38"/>
              <w:jc w:val="both"/>
              <w:rPr>
                <w:sz w:val="20"/>
                <w:szCs w:val="20"/>
                <w:lang w:val="uk-UA"/>
              </w:rPr>
            </w:pPr>
            <w:r w:rsidRPr="00FB79F8">
              <w:rPr>
                <w:rFonts w:ascii="Times New Roman" w:hAnsi="Times New Roman" w:cs="Times New Roman"/>
                <w:color w:val="000000"/>
                <w:sz w:val="20"/>
                <w:szCs w:val="20"/>
                <w:lang w:val="uk-UA"/>
              </w:rPr>
              <w:t>Станом 01.01.2022:</w:t>
            </w:r>
          </w:p>
        </w:tc>
      </w:tr>
      <w:tr w:rsidR="005C7597" w:rsidRPr="00FB79F8" w:rsidTr="00FB79F8">
        <w:trPr>
          <w:trHeight w:hRule="exact" w:val="240"/>
        </w:trPr>
        <w:tc>
          <w:tcPr>
            <w:tcW w:w="10064" w:type="dxa"/>
            <w:gridSpan w:val="13"/>
            <w:shd w:val="clear" w:color="000000" w:fill="FFFFFF"/>
            <w:tcMar>
              <w:top w:w="0" w:type="dxa"/>
              <w:left w:w="38" w:type="dxa"/>
              <w:bottom w:w="0" w:type="dxa"/>
              <w:right w:w="38" w:type="dxa"/>
            </w:tcMar>
          </w:tcPr>
          <w:p w:rsidR="005C7597" w:rsidRPr="00FB79F8" w:rsidRDefault="007C1496" w:rsidP="00FB79F8">
            <w:pPr>
              <w:spacing w:after="0" w:line="240" w:lineRule="auto"/>
              <w:ind w:left="-38"/>
              <w:jc w:val="both"/>
              <w:rPr>
                <w:sz w:val="20"/>
                <w:szCs w:val="20"/>
                <w:lang w:val="uk-UA"/>
              </w:rPr>
            </w:pPr>
            <w:r w:rsidRPr="00FB79F8">
              <w:rPr>
                <w:rFonts w:ascii="Times New Roman" w:hAnsi="Times New Roman" w:cs="Times New Roman"/>
                <w:color w:val="000000"/>
                <w:sz w:val="20"/>
                <w:szCs w:val="20"/>
                <w:lang w:val="uk-UA"/>
              </w:rPr>
              <w:t>Рядок 1000 графа 3 – основні засоби – 3374869,00 грн;</w:t>
            </w:r>
          </w:p>
        </w:tc>
      </w:tr>
      <w:tr w:rsidR="005C7597" w:rsidRPr="00FB79F8" w:rsidTr="00FB79F8">
        <w:trPr>
          <w:trHeight w:hRule="exact" w:val="240"/>
        </w:trPr>
        <w:tc>
          <w:tcPr>
            <w:tcW w:w="10064" w:type="dxa"/>
            <w:gridSpan w:val="13"/>
            <w:shd w:val="clear" w:color="000000" w:fill="FFFFFF"/>
            <w:tcMar>
              <w:top w:w="0" w:type="dxa"/>
              <w:left w:w="38" w:type="dxa"/>
              <w:bottom w:w="0" w:type="dxa"/>
              <w:right w:w="38" w:type="dxa"/>
            </w:tcMar>
          </w:tcPr>
          <w:p w:rsidR="005C7597" w:rsidRPr="00FB79F8" w:rsidRDefault="007C1496" w:rsidP="00FB79F8">
            <w:pPr>
              <w:spacing w:after="0" w:line="240" w:lineRule="auto"/>
              <w:ind w:left="-38"/>
              <w:jc w:val="both"/>
              <w:rPr>
                <w:sz w:val="20"/>
                <w:szCs w:val="20"/>
                <w:lang w:val="uk-UA"/>
              </w:rPr>
            </w:pPr>
            <w:r w:rsidRPr="00FB79F8">
              <w:rPr>
                <w:rFonts w:ascii="Times New Roman" w:hAnsi="Times New Roman" w:cs="Times New Roman"/>
                <w:color w:val="000000"/>
                <w:sz w:val="20"/>
                <w:szCs w:val="20"/>
                <w:lang w:val="uk-UA"/>
              </w:rPr>
              <w:t>Рядок 1001 графа 3 – первісна вартість – 7636226,00 грн;</w:t>
            </w:r>
          </w:p>
        </w:tc>
      </w:tr>
    </w:tbl>
    <w:p w:rsidR="005C7597" w:rsidRPr="00FB79F8" w:rsidRDefault="005C7597">
      <w:pPr>
        <w:rPr>
          <w:sz w:val="0"/>
          <w:szCs w:val="0"/>
          <w:lang w:val="uk-UA"/>
        </w:rPr>
      </w:pPr>
    </w:p>
    <w:tbl>
      <w:tblPr>
        <w:tblW w:w="0" w:type="auto"/>
        <w:tblCellMar>
          <w:left w:w="0" w:type="dxa"/>
          <w:right w:w="0" w:type="dxa"/>
        </w:tblCellMar>
        <w:tblLook w:val="04A0" w:firstRow="1" w:lastRow="0" w:firstColumn="1" w:lastColumn="0" w:noHBand="0" w:noVBand="1"/>
      </w:tblPr>
      <w:tblGrid>
        <w:gridCol w:w="10206"/>
      </w:tblGrid>
      <w:tr w:rsidR="005C7597" w:rsidRPr="00FB79F8">
        <w:trPr>
          <w:trHeight w:hRule="exact" w:val="240"/>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Рядок 1002 графа 3 – знос - 4261357,00 грн.</w:t>
            </w:r>
            <w:bookmarkStart w:id="0" w:name="_GoBack"/>
            <w:bookmarkEnd w:id="0"/>
          </w:p>
        </w:tc>
      </w:tr>
      <w:tr w:rsidR="005C7597" w:rsidRPr="00FB79F8">
        <w:trPr>
          <w:trHeight w:hRule="exact" w:val="240"/>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Станом 01.10.2022:</w:t>
            </w:r>
          </w:p>
        </w:tc>
      </w:tr>
      <w:tr w:rsidR="005C7597" w:rsidRPr="00FB79F8">
        <w:trPr>
          <w:trHeight w:hRule="exact" w:val="240"/>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Рядок 1000 графа 4 – основні засоби – 3378372,00 грн;</w:t>
            </w:r>
          </w:p>
        </w:tc>
      </w:tr>
      <w:tr w:rsidR="005C7597" w:rsidRPr="00FB79F8">
        <w:trPr>
          <w:trHeight w:hRule="exact" w:val="240"/>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Відбулася зміна на суму 3503,00 грн. в результаті:</w:t>
            </w:r>
          </w:p>
        </w:tc>
      </w:tr>
      <w:tr w:rsidR="005C7597" w:rsidRPr="00FB79F8">
        <w:trPr>
          <w:trHeight w:hRule="exact" w:val="465"/>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 зміни первісної вартості основних засобів (інші необоротні матеріальні активи) на суму 7005,00 грн. та нарахування зносу на інші необоротні матеріальні активи 3502,00 грн.</w:t>
            </w:r>
          </w:p>
        </w:tc>
      </w:tr>
      <w:tr w:rsidR="005C7597" w:rsidRPr="00FB79F8">
        <w:trPr>
          <w:trHeight w:hRule="exact" w:val="240"/>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Рядок 1001 графа 4 – первісна вартість – 7643231,00 грн;</w:t>
            </w:r>
          </w:p>
        </w:tc>
      </w:tr>
      <w:tr w:rsidR="005C7597" w:rsidRPr="00FB79F8">
        <w:trPr>
          <w:trHeight w:hRule="exact" w:val="240"/>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Відбулася зміна на суму 7005,00 грн. в результаті:</w:t>
            </w:r>
          </w:p>
        </w:tc>
      </w:tr>
      <w:tr w:rsidR="005C7597" w:rsidRPr="00FB79F8">
        <w:trPr>
          <w:trHeight w:hRule="exact" w:val="240"/>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Збільшення основних засобів (інших необоротних матеріальних активів) на суму 7200,00 грн, зокрема:</w:t>
            </w:r>
          </w:p>
        </w:tc>
      </w:tr>
      <w:tr w:rsidR="005C7597" w:rsidRPr="00FB79F8">
        <w:trPr>
          <w:trHeight w:hRule="exact" w:val="465"/>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  придбання основних засобів (інших необоротних матеріальних активів) на суму 7200,00 грн (за рахунок коштів загального фонду);</w:t>
            </w:r>
          </w:p>
        </w:tc>
      </w:tr>
      <w:tr w:rsidR="005C7597" w:rsidRPr="00FB79F8">
        <w:trPr>
          <w:trHeight w:hRule="exact" w:val="240"/>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Вибуття основних засобів (інших необоротних матеріальних активів) на суму 195,00 грн зокрема за рахунок:</w:t>
            </w:r>
          </w:p>
        </w:tc>
      </w:tr>
      <w:tr w:rsidR="005C7597" w:rsidRPr="00FB79F8">
        <w:trPr>
          <w:trHeight w:hRule="exact" w:val="240"/>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 списання як непридатних для використання -195,37 грн.</w:t>
            </w:r>
          </w:p>
        </w:tc>
      </w:tr>
      <w:tr w:rsidR="005C7597" w:rsidRPr="00FB79F8">
        <w:trPr>
          <w:trHeight w:hRule="exact" w:val="240"/>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Рядок 1002 графа 4 – знос - 4264859,00 грн.</w:t>
            </w:r>
          </w:p>
        </w:tc>
      </w:tr>
      <w:tr w:rsidR="005C7597" w:rsidRPr="00FB79F8">
        <w:trPr>
          <w:trHeight w:hRule="exact" w:val="240"/>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Відбулася зміна на суму 3502,00 грн в результаті збільшення зносу:</w:t>
            </w:r>
          </w:p>
        </w:tc>
      </w:tr>
      <w:tr w:rsidR="005C7597" w:rsidRPr="00FB79F8">
        <w:trPr>
          <w:trHeight w:hRule="exact" w:val="465"/>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 на суму 3600,00 грн. нараховано знос у зв’язку з придбанням основних засобів (інших необоротних матеріальних активів);</w:t>
            </w:r>
          </w:p>
        </w:tc>
      </w:tr>
      <w:tr w:rsidR="005C7597" w:rsidRPr="00FB79F8">
        <w:trPr>
          <w:trHeight w:hRule="exact" w:val="465"/>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 на суму 97,00 грн. при донарахуванні зносу 50% при списанні основних засобів (інших необоротних матеріальних активів);</w:t>
            </w:r>
          </w:p>
        </w:tc>
      </w:tr>
      <w:tr w:rsidR="005C7597" w:rsidRPr="00FB79F8">
        <w:trPr>
          <w:trHeight w:hRule="exact" w:val="465"/>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та зменшення зносу на суму 195,00 грн. у зв’язку з списанням основних засобів (інших необоротних матеріальних активів)</w:t>
            </w:r>
          </w:p>
        </w:tc>
      </w:tr>
      <w:tr w:rsidR="005C7597" w:rsidRPr="00FB79F8">
        <w:trPr>
          <w:trHeight w:hRule="exact" w:val="240"/>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Нарахування амортизації згідно наказу про облікову політику проводиться на річну дату балансу.</w:t>
            </w:r>
          </w:p>
        </w:tc>
      </w:tr>
      <w:tr w:rsidR="005C7597" w:rsidRPr="00FB79F8">
        <w:trPr>
          <w:trHeight w:hRule="exact" w:val="465"/>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Рядок 1050 станом на 01.01.2022 – 201967,00 грн, станом на 01.10.2022 – 152732,00 грн. Відбулася зміна на суму 49235,00 грн в результаті:</w:t>
            </w:r>
          </w:p>
        </w:tc>
      </w:tr>
      <w:tr w:rsidR="005C7597" w:rsidRPr="00FB79F8">
        <w:trPr>
          <w:trHeight w:hRule="exact" w:val="240"/>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lastRenderedPageBreak/>
              <w:t>- придбання запасів на суму 64000,00 грн;</w:t>
            </w:r>
          </w:p>
        </w:tc>
      </w:tr>
      <w:tr w:rsidR="005C7597" w:rsidRPr="00FB79F8">
        <w:trPr>
          <w:trHeight w:hRule="exact" w:val="240"/>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 списання, як використаних в роботі, запасів на суму 113235,00</w:t>
            </w:r>
          </w:p>
        </w:tc>
      </w:tr>
      <w:tr w:rsidR="005C7597" w:rsidRPr="00FB79F8">
        <w:trPr>
          <w:trHeight w:hRule="exact" w:val="465"/>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Рядок 1100 станом на 01.01.2022 – 12000,00 грн, станом на 01.10.2022 – 12000,00 грн, відображається довгострокова дебіторська заборгованість по забезпечувальному депозиту згідно договорів оренди.</w:t>
            </w:r>
          </w:p>
        </w:tc>
      </w:tr>
      <w:tr w:rsidR="005C7597" w:rsidRPr="00FB79F8">
        <w:trPr>
          <w:trHeight w:hRule="exact" w:val="690"/>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Рядок 1140 станом на 01.01.2022 – 30626,00 грн (кошти виплачені), станом на 01.10.2022 - 98684,00 грн. відображається заборгованість нарахованої допомоги у зв’язку з тимчасовою непрацездатністю (заборгованість відображена у додатку №20 рядок 012 графа 5 – 98684,49 грн)</w:t>
            </w:r>
          </w:p>
        </w:tc>
      </w:tr>
      <w:tr w:rsidR="005C7597" w:rsidRPr="00FB79F8">
        <w:trPr>
          <w:trHeight w:hRule="exact" w:val="690"/>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Рядок 1161 відображаються грошові документи в національній валюті (трудові книжки, марки поштові, проїзні квитки) станом на 01.01.2022 – 59423,00 грн, станом на 01.10.2022 – 31067,00 грн. Відбулася зміна на суму 28356,00 грн. в результаті:</w:t>
            </w:r>
          </w:p>
        </w:tc>
      </w:tr>
      <w:tr w:rsidR="005C7597" w:rsidRPr="00FB79F8">
        <w:trPr>
          <w:trHeight w:hRule="exact" w:val="240"/>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 придбання грошових документів у національній валюті на суму 14256,00 грн.</w:t>
            </w:r>
          </w:p>
        </w:tc>
      </w:tr>
      <w:tr w:rsidR="005C7597" w:rsidRPr="00FB79F8">
        <w:trPr>
          <w:trHeight w:hRule="exact" w:val="240"/>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 списання, як використаних в роботі, грошових документів у національній валюті на суму 42612,00 грн.</w:t>
            </w:r>
          </w:p>
        </w:tc>
      </w:tr>
      <w:tr w:rsidR="005C7597" w:rsidRPr="00FB79F8">
        <w:trPr>
          <w:trHeight w:hRule="exact" w:val="465"/>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Рядок 1162 графа 4 відображається залишок коштів в національній валюті на реєстраційних рахунках в казначействі станом на 01.10.2022 –126954,00 грн.</w:t>
            </w:r>
          </w:p>
        </w:tc>
      </w:tr>
      <w:tr w:rsidR="005C7597" w:rsidRPr="00FB79F8">
        <w:trPr>
          <w:trHeight w:hRule="exact" w:val="465"/>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по загальному фонду – 126953,94 грн КПКВ 4110160: КЕКВ 2111 –8338,49 грн; КЕКВ 2120 – 108143,72 грн; КЕКВ 2210 – 8790,00 грн; КЕКВ 2240 – 0,13 грн; КЕКВ 2800 – 1681,60 грн.</w:t>
            </w:r>
          </w:p>
        </w:tc>
      </w:tr>
      <w:tr w:rsidR="005C7597" w:rsidRPr="00FB79F8">
        <w:trPr>
          <w:trHeight w:hRule="exact" w:val="465"/>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Рядок 1400 станом на 01.01.2022 – 7636226,00 грн, станом на 01.10.2022 – 7643231,00 грн. відображається внесений капітал. Відбулася зміна на суму 7005,00 грн. в результаті зміни первісної вартості основних засобів.</w:t>
            </w:r>
          </w:p>
        </w:tc>
      </w:tr>
      <w:tr w:rsidR="005C7597" w:rsidRPr="00FB79F8">
        <w:trPr>
          <w:trHeight w:hRule="exact" w:val="1141"/>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Рядок 1420 станом на 01.01.2022 – (-3987967,00) грн, станом на 01.10.2022 – (-3950896,00) грн відображається фінансовий результат. Відбулася зміна на суму 37071,00 грн. в результаті: списання виконання кошторису на фінансовий результат звітного періоду на суму 36876,00 грн та віднесено до накопичених фінансових результатів первісну вартість списаних основних засобів (інших необоротних матеріальних активів) на суму 195,00 грн.</w:t>
            </w:r>
          </w:p>
        </w:tc>
      </w:tr>
      <w:tr w:rsidR="005C7597" w:rsidRPr="00FB79F8">
        <w:trPr>
          <w:trHeight w:hRule="exact" w:val="465"/>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Рядок 1540 станом на 01.01.2022 – 5972,00 грн, станом на 01.10.2022 –19243,00 грн відображаються зобов’язання за податками та зборами:</w:t>
            </w:r>
          </w:p>
        </w:tc>
      </w:tr>
      <w:tr w:rsidR="005C7597" w:rsidRPr="00FB79F8">
        <w:trPr>
          <w:trHeight w:hRule="exact" w:val="465"/>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 не перераховано податок з доходів фізичних осіб та військовий збір із допомоги у зв’язку з тимчасової працездатності в сумі 19243,49 грн. (заборгованість відображена у додатку №20)</w:t>
            </w:r>
          </w:p>
        </w:tc>
      </w:tr>
      <w:tr w:rsidR="005C7597" w:rsidRPr="00FB79F8">
        <w:trPr>
          <w:trHeight w:hRule="exact" w:val="465"/>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Рядок 1545 графа 4 станом на 01.10.2022 – 8790,00 грн відображається заборгованість за розрахунками за товари, роботи , послуги:</w:t>
            </w:r>
          </w:p>
        </w:tc>
      </w:tr>
      <w:tr w:rsidR="005C7597" w:rsidRPr="00FB79F8">
        <w:trPr>
          <w:trHeight w:hRule="exact" w:val="465"/>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КЕКВ 2210 – 1590,00 грн друкована продукція (журнали обліку, бланки, папки для ведення документації з режимно – секретної роботи)</w:t>
            </w:r>
          </w:p>
        </w:tc>
      </w:tr>
      <w:tr w:rsidR="005C7597" w:rsidRPr="00FB79F8">
        <w:trPr>
          <w:trHeight w:hRule="exact" w:val="240"/>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КЕКВ 2210 – 7200,00 грн друкована продукція (бланки листів та наказів).</w:t>
            </w:r>
          </w:p>
        </w:tc>
      </w:tr>
      <w:tr w:rsidR="005C7597" w:rsidRPr="00FB79F8">
        <w:trPr>
          <w:trHeight w:hRule="exact" w:val="465"/>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Рядок 1560 станом на 01.01.2022 –24654,00 грн, станом на 01.10.2022 –79441,00 грн відображаються зобов’язання за розрахунками з працівниками:</w:t>
            </w:r>
          </w:p>
        </w:tc>
      </w:tr>
      <w:tr w:rsidR="005C7597" w:rsidRPr="00FB79F8">
        <w:trPr>
          <w:trHeight w:hRule="exact" w:val="240"/>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 не виплачена допомога у зв’язку по тимчасовій працездатності в сумі</w:t>
            </w:r>
          </w:p>
        </w:tc>
      </w:tr>
    </w:tbl>
    <w:p w:rsidR="005C7597" w:rsidRPr="00FB79F8" w:rsidRDefault="005C7597">
      <w:pPr>
        <w:rPr>
          <w:sz w:val="0"/>
          <w:szCs w:val="0"/>
          <w:lang w:val="uk-UA"/>
        </w:rPr>
      </w:pPr>
    </w:p>
    <w:tbl>
      <w:tblPr>
        <w:tblW w:w="0" w:type="auto"/>
        <w:tblCellMar>
          <w:left w:w="0" w:type="dxa"/>
          <w:right w:w="0" w:type="dxa"/>
        </w:tblCellMar>
        <w:tblLook w:val="04A0" w:firstRow="1" w:lastRow="0" w:firstColumn="1" w:lastColumn="0" w:noHBand="0" w:noVBand="1"/>
      </w:tblPr>
      <w:tblGrid>
        <w:gridCol w:w="10206"/>
      </w:tblGrid>
      <w:tr w:rsidR="005C7597" w:rsidRPr="00FB79F8">
        <w:trPr>
          <w:trHeight w:hRule="exact" w:val="240"/>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79441,00 грн. (заборгованість відображена у додатку №20)</w:t>
            </w:r>
          </w:p>
        </w:tc>
      </w:tr>
      <w:tr w:rsidR="005C7597" w:rsidRPr="00FB79F8">
        <w:trPr>
          <w:trHeight w:hRule="exact" w:val="240"/>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Пояснення до форми Звіт про фінансові результати №2-дс</w:t>
            </w:r>
          </w:p>
        </w:tc>
      </w:tr>
      <w:tr w:rsidR="005C7597" w:rsidRPr="00FB79F8">
        <w:trPr>
          <w:trHeight w:hRule="exact" w:val="690"/>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Рядок 2010 відображена сума 30645024,00 грн, яка включає суми отриманих бюджетних асигнувань за загальним фондом за винятком суми, яка вилучена з доходу звітного періоду асигнувань у сумі поточних витрат, що включені до первісної вартості основних засобів (інших необоротних матеріальних активів) – 7200,00 грн.</w:t>
            </w:r>
          </w:p>
        </w:tc>
      </w:tr>
      <w:tr w:rsidR="005C7597" w:rsidRPr="00FB79F8">
        <w:trPr>
          <w:trHeight w:hRule="exact" w:val="240"/>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Рядок 2210 відображена сума 30607287,00 грн - витрати на виконання бюджетних програм:</w:t>
            </w:r>
          </w:p>
        </w:tc>
      </w:tr>
      <w:tr w:rsidR="005C7597" w:rsidRPr="00FB79F8">
        <w:trPr>
          <w:trHeight w:hRule="exact" w:val="240"/>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за загальним фондом – 30607287,00 грн;</w:t>
            </w:r>
          </w:p>
        </w:tc>
      </w:tr>
      <w:tr w:rsidR="005C7597" w:rsidRPr="00FB79F8">
        <w:trPr>
          <w:trHeight w:hRule="exact" w:val="465"/>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Рядок 2250 відображена сума 861,00 грн - витрати за обмінними операціями (витрати на поповнення проїзних квитків) - загальний фонд.</w:t>
            </w:r>
          </w:p>
        </w:tc>
      </w:tr>
      <w:tr w:rsidR="005C7597" w:rsidRPr="00FB79F8">
        <w:trPr>
          <w:trHeight w:hRule="exact" w:val="240"/>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За КПКВ 4110160 на 2022 рік затверджено асигнувань в сумі 49115670,00 грн.:</w:t>
            </w:r>
          </w:p>
        </w:tc>
      </w:tr>
      <w:tr w:rsidR="005C7597" w:rsidRPr="00FB79F8">
        <w:trPr>
          <w:trHeight w:hRule="exact" w:val="240"/>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загальний фонд 49115670,00  грн.</w:t>
            </w:r>
          </w:p>
        </w:tc>
      </w:tr>
      <w:tr w:rsidR="005C7597" w:rsidRPr="00FB79F8">
        <w:trPr>
          <w:trHeight w:hRule="exact" w:val="240"/>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Надійшло коштів за звітний період – 30652224,00 грн:</w:t>
            </w:r>
          </w:p>
        </w:tc>
      </w:tr>
      <w:tr w:rsidR="005C7597" w:rsidRPr="00FB79F8">
        <w:trPr>
          <w:trHeight w:hRule="exact" w:val="240"/>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загальний фонд – 30652224,00 грн.</w:t>
            </w:r>
          </w:p>
        </w:tc>
      </w:tr>
      <w:tr w:rsidR="005C7597" w:rsidRPr="00FB79F8">
        <w:trPr>
          <w:trHeight w:hRule="exact" w:val="240"/>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Касові видатки за звітний період – 30525270,06 грн:</w:t>
            </w:r>
          </w:p>
        </w:tc>
      </w:tr>
      <w:tr w:rsidR="005C7597" w:rsidRPr="00FB79F8">
        <w:trPr>
          <w:trHeight w:hRule="exact" w:val="240"/>
        </w:trPr>
        <w:tc>
          <w:tcPr>
            <w:tcW w:w="10206" w:type="dxa"/>
            <w:shd w:val="clear" w:color="000000" w:fill="FFFFFF"/>
            <w:tcMar>
              <w:top w:w="0" w:type="dxa"/>
              <w:left w:w="38" w:type="dxa"/>
              <w:bottom w:w="0" w:type="dxa"/>
              <w:right w:w="38" w:type="dxa"/>
            </w:tcMar>
          </w:tcPr>
          <w:p w:rsidR="005C7597" w:rsidRPr="00FB79F8" w:rsidRDefault="007C1496">
            <w:pPr>
              <w:spacing w:after="0" w:line="240" w:lineRule="auto"/>
              <w:jc w:val="both"/>
              <w:rPr>
                <w:sz w:val="20"/>
                <w:szCs w:val="20"/>
                <w:lang w:val="uk-UA"/>
              </w:rPr>
            </w:pPr>
            <w:r w:rsidRPr="00FB79F8">
              <w:rPr>
                <w:rFonts w:ascii="Times New Roman" w:hAnsi="Times New Roman" w:cs="Times New Roman"/>
                <w:color w:val="000000"/>
                <w:sz w:val="20"/>
                <w:szCs w:val="20"/>
                <w:lang w:val="uk-UA"/>
              </w:rPr>
              <w:t>загальний фонд – 30525270,06 грн.</w:t>
            </w:r>
          </w:p>
        </w:tc>
      </w:tr>
    </w:tbl>
    <w:p w:rsidR="005C7597" w:rsidRPr="00FB79F8" w:rsidRDefault="005C7597">
      <w:pPr>
        <w:rPr>
          <w:lang w:val="uk-UA"/>
        </w:rPr>
      </w:pPr>
    </w:p>
    <w:sectPr w:rsidR="005C7597" w:rsidRPr="00FB79F8">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53"/>
    <w:rsid w:val="0002418B"/>
    <w:rsid w:val="001F0BC7"/>
    <w:rsid w:val="005C7597"/>
    <w:rsid w:val="007C1496"/>
    <w:rsid w:val="00A50092"/>
    <w:rsid w:val="00D31453"/>
    <w:rsid w:val="00E209E2"/>
    <w:rsid w:val="00FB7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48760EC-DC0D-4238-AE20-1C7C44BA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149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7C14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CD972-4D12-4304-BBA1-B21139DF3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5469</Words>
  <Characters>3118</Characters>
  <Application>Microsoft Office Word</Application>
  <DocSecurity>0</DocSecurity>
  <Lines>25</Lines>
  <Paragraphs>17</Paragraphs>
  <ScaleCrop>false</ScaleCrop>
  <HeadingPairs>
    <vt:vector size="4" baseType="variant">
      <vt:variant>
        <vt:lpstr>Назва</vt:lpstr>
      </vt:variant>
      <vt:variant>
        <vt:i4>1</vt:i4>
      </vt:variant>
      <vt:variant>
        <vt:lpstr>Worksheets</vt:lpstr>
      </vt:variant>
      <vt:variant>
        <vt:i4>2</vt:i4>
      </vt:variant>
    </vt:vector>
  </HeadingPairs>
  <TitlesOfParts>
    <vt:vector size="2" baseType="lpstr">
      <vt:lpstr>Form_f_d10</vt:lpstr>
      <vt:lpstr>Лист1</vt:lpstr>
    </vt:vector>
  </TitlesOfParts>
  <Company/>
  <LinksUpToDate>false</LinksUpToDate>
  <CharactersWithSpaces>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Form_f_d10</dc:title>
  <dc:creator>FastReport.NET</dc:creator>
  <cp:lastModifiedBy>Тимошенко Тетяна Володимирівна</cp:lastModifiedBy>
  <cp:revision>6</cp:revision>
  <cp:lastPrinted>2022-10-13T05:51:00Z</cp:lastPrinted>
  <dcterms:created xsi:type="dcterms:W3CDTF">2022-10-13T05:43:00Z</dcterms:created>
  <dcterms:modified xsi:type="dcterms:W3CDTF">2022-11-14T11:05:00Z</dcterms:modified>
</cp:coreProperties>
</file>