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2835"/>
        <w:gridCol w:w="1708"/>
        <w:gridCol w:w="35"/>
        <w:gridCol w:w="33"/>
      </w:tblGrid>
      <w:tr w:rsidR="00097172" w:rsidRPr="005220C3" w:rsidTr="005220C3">
        <w:trPr>
          <w:gridAfter w:val="1"/>
          <w:wAfter w:w="33" w:type="dxa"/>
          <w:trHeight w:hRule="exact" w:val="329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7172" w:rsidRPr="005220C3" w:rsidRDefault="004608ED">
            <w:pPr>
              <w:spacing w:after="0" w:line="150" w:lineRule="auto"/>
              <w:jc w:val="center"/>
              <w:rPr>
                <w:sz w:val="12"/>
                <w:szCs w:val="12"/>
                <w:lang w:val="uk-UA"/>
              </w:rPr>
            </w:pPr>
            <w:r w:rsidRPr="005220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uk-UA"/>
              </w:rPr>
              <w:t>Короткий опис основної діяльності установи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7172" w:rsidRPr="005220C3" w:rsidRDefault="004608ED">
            <w:pPr>
              <w:spacing w:after="0" w:line="150" w:lineRule="auto"/>
              <w:jc w:val="center"/>
              <w:rPr>
                <w:sz w:val="12"/>
                <w:szCs w:val="12"/>
                <w:lang w:val="uk-UA"/>
              </w:rPr>
            </w:pPr>
            <w:r w:rsidRPr="005220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uk-UA"/>
              </w:rPr>
              <w:t>Найменування органу, якому підпорядкована установа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7172" w:rsidRPr="005220C3" w:rsidRDefault="004608ED">
            <w:pPr>
              <w:spacing w:after="0" w:line="150" w:lineRule="auto"/>
              <w:jc w:val="center"/>
              <w:rPr>
                <w:sz w:val="12"/>
                <w:szCs w:val="12"/>
                <w:lang w:val="uk-UA"/>
              </w:rPr>
            </w:pPr>
            <w:r w:rsidRPr="005220C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uk-UA"/>
              </w:rPr>
              <w:t>Середня чисельність працівників</w:t>
            </w:r>
          </w:p>
        </w:tc>
      </w:tr>
      <w:tr w:rsidR="00097172" w:rsidRPr="005220C3" w:rsidTr="00E4499B">
        <w:trPr>
          <w:gridAfter w:val="1"/>
          <w:wAfter w:w="33" w:type="dxa"/>
          <w:trHeight w:hRule="exact" w:val="257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7172" w:rsidRPr="00E4499B" w:rsidRDefault="004608ED">
            <w:pPr>
              <w:spacing w:after="0" w:line="120" w:lineRule="auto"/>
              <w:jc w:val="center"/>
              <w:rPr>
                <w:sz w:val="14"/>
                <w:szCs w:val="14"/>
                <w:lang w:val="uk-UA"/>
              </w:rPr>
            </w:pPr>
            <w:bookmarkStart w:id="0" w:name="_GoBack" w:colFirst="0" w:colLast="2"/>
            <w:r w:rsidRPr="00E4499B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7172" w:rsidRPr="00E4499B" w:rsidRDefault="004608ED">
            <w:pPr>
              <w:spacing w:after="0" w:line="120" w:lineRule="auto"/>
              <w:jc w:val="center"/>
              <w:rPr>
                <w:sz w:val="14"/>
                <w:szCs w:val="14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7172" w:rsidRPr="00E4499B" w:rsidRDefault="004608ED">
            <w:pPr>
              <w:spacing w:after="0" w:line="120" w:lineRule="auto"/>
              <w:jc w:val="center"/>
              <w:rPr>
                <w:sz w:val="14"/>
                <w:szCs w:val="14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3</w:t>
            </w:r>
          </w:p>
        </w:tc>
      </w:tr>
      <w:bookmarkEnd w:id="0"/>
      <w:tr w:rsidR="00097172" w:rsidRPr="005220C3" w:rsidTr="00E4499B">
        <w:trPr>
          <w:gridAfter w:val="1"/>
          <w:wAfter w:w="33" w:type="dxa"/>
          <w:trHeight w:hRule="exact" w:val="3336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Відповідно до Закону України «Про місцеві державні адміністрації» Дарницька районна в  місті Києві державна адміністрація в межах своїх повноважень здійснює виконавчу владу в Дарницькому районі м. Києва.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Дарницька районна в  м. Києві державна адміністрація є місцевим органом виконавчої влади і входить до системи органів виконавчої влади.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Дарницька районна в  м. Києві державна адміністрація забезпечує: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1) виконання Конституції, законів України, актів Президента України, Кабінету Міністрів України, інших органів виконавчої влади вищого рівня;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2) законність і правопорядок, додержання прав і свобод громадян;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3) виконання державних і регіональних програм соціально-економічного та культурного розвитку, програм охорони довкілля;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4) реалізацію інших наданих  державою, а також делегованих Київською міською радою повноважень.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Дарницька районна в  м. Києві державна адміністрація діє на засадах: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відповідальності перед людиною і державою за свою діяльність;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верховенства права;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законності;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пріоритетності прав людини;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гласності;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поєднання державних і місцевих інтересів.</w:t>
            </w:r>
          </w:p>
          <w:p w:rsidR="00097172" w:rsidRPr="00E4499B" w:rsidRDefault="004608ED">
            <w:pPr>
              <w:spacing w:after="0" w:line="150" w:lineRule="auto"/>
              <w:rPr>
                <w:sz w:val="18"/>
                <w:szCs w:val="18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Фактична та юридична адреса:</w:t>
            </w:r>
          </w:p>
          <w:p w:rsidR="00097172" w:rsidRPr="005220C3" w:rsidRDefault="004608ED">
            <w:pPr>
              <w:spacing w:after="0" w:line="150" w:lineRule="auto"/>
              <w:rPr>
                <w:sz w:val="16"/>
                <w:szCs w:val="16"/>
                <w:lang w:val="uk-UA"/>
              </w:rPr>
            </w:pPr>
            <w:r w:rsidRPr="00E4499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02068, м. Київ, вул. О. Кошиця, 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97172" w:rsidRPr="005220C3" w:rsidRDefault="004608ED">
            <w:pPr>
              <w:spacing w:after="0" w:line="150" w:lineRule="auto"/>
              <w:rPr>
                <w:sz w:val="16"/>
                <w:szCs w:val="16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Київська міська державна адміністрація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97172" w:rsidRPr="005220C3" w:rsidRDefault="004608ED">
            <w:pPr>
              <w:spacing w:after="0" w:line="150" w:lineRule="auto"/>
              <w:jc w:val="center"/>
              <w:rPr>
                <w:sz w:val="16"/>
                <w:szCs w:val="16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128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24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Кредиторської заборгованості на початок року немає, на звітну дату заборгованість складає 24759,62 грн.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24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Простроченої кредиторської заборгованості на початок року та на звітну дату немає 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465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Дебіторська заборгованість на початок року складає 12000,00 грн (забезпечувальний депозит), на звітну дату заборгованість складає 86834,30 грн: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24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- 12000,00 грн довгострокова дебіторська заборгованість за забезпечувальний депозит;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465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- 74834,30 грн виплачена заробітна плата за першу половину березня 2022 року, а потім працівниками оформлена відпустка без збереження заробітної плати.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24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Простроченої дебіторської та кредиторської заборгованості, зазначеної у рядку "Інше"  на звітну дату немає.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465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Простроченої кредиторської заборгованості за кодом економічної класифікації видатків  2110, та за кодом економічної класифікації видатків 2270 немає.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69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“Кредиторської заборгованості за бюджетними зобов'язаннями, не взятими на облік органами Казначейства, зазначеної у Довідці про дебіторську та кредиторську заборгованість, які не відображаються у формі № 7д, № 7м “Звіт про заборгованість за бюджетними коштами”, на звітну дату немає.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69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Зобов'язань, взятих без відповідних бюджетних асигнувань або з перевищенням повноважень, встановлених Бюджетним кодексом України, законом про Державний бюджет України, рішенням про місцевий бюджет, на звітну дату немає.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465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Дебіторської та кредиторської заборгованості за бюджетними програмами, бюджетні призначення за якими законом про Державний бюджет України на звітний рік не затверджувалися, на звітну дату немає.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465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Протоколи про порушення бюджетного законодавства органами Казначейства за звітний період не складалися, порушень бюджетного законодавства не було.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24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Поточних рахунків в установах банків немає.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24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Рахунку в системі електронного адміністрування податку на додану вартість немає.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24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Пояснення до форми Баланс №1-дс</w:t>
            </w:r>
          </w:p>
        </w:tc>
      </w:tr>
      <w:tr w:rsidR="00097172" w:rsidRPr="005220C3" w:rsidTr="005220C3">
        <w:trPr>
          <w:gridAfter w:val="1"/>
          <w:wAfter w:w="33" w:type="dxa"/>
          <w:trHeight w:hRule="exact" w:val="24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Станом 01.01.2022:</w:t>
            </w:r>
          </w:p>
        </w:tc>
      </w:tr>
      <w:tr w:rsidR="00097172" w:rsidRPr="00E4499B" w:rsidTr="005220C3">
        <w:trPr>
          <w:gridAfter w:val="1"/>
          <w:wAfter w:w="33" w:type="dxa"/>
          <w:trHeight w:hRule="exact" w:val="240"/>
        </w:trPr>
        <w:tc>
          <w:tcPr>
            <w:tcW w:w="1024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1000 графа 3 – основні засоби – 3374869,00 грн;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1001 графа 3 – первісна вартість – 7636226,00 грн;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1002 графа 3 – знос - 4261357,00 грн.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Станом 01.04.2022: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1000 графа 4 – основні засоби – 3374869,00 грн;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1001 графа 4 – первісна вартість – 7636226,00 грн;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1002 графа 4 – знос - 4261357,00 грн.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Змін не відбулося.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Нарахування амортизації згідно наказу про облікову політику проводиться на річну дату балансу.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1050 станом на 01.01.2022 – 201967,00 грн, станом на 01.04.2022 – 201967,00 грн. Змін не відбулося.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1100 станом на 01.01.2022 – 12000,00 грн, станом на 01.04.2022 – 12000,00 грн, відображається довгострокова дебіторська заборгованість по забезпечувальному депозиту згідно договорів оренди.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69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1140 станом на 01.01.2022 – 30626,00 грн (кошти виплачені), станом на 01.04.2022 –109931,00 грн. відображається заборгованість нарахованої допомоги у зв’язку з тимчасовою непрацездатністю (заборгованість відображена у додатку №20 рядок 012 графа 5)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69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1150 графа 4 станом на 01.04.2022 – 74834,00 грн відображається заборгованість по виплаченій заробітній платі за першу половину березня 2022 року, а потім працівниками оформлена відпустка без збереження заробітної плати.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69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1161 відображаються грошові документи в національній валюті (трудові книжки, марки, проїзні квитки) станом на 01.01.2022 – 59423,00 грн, станом на 01.04.2022 – 49432,00 грн. Відбулася зміна на суму 9991,00 грн. в результаті: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списання, як використаних в роботі, грошових документів у національній валюті на суму 9991,00 грн.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Рядок 1162 графа 4 відображається залишок коштів в національній валюті на реєстраційних рахунках в казначействі станом на 01.04.2022 –3475584,00 грн.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 загальному фонду – 3475584,06 грн КПКВ 4110160: КЕКВ 2111 – 2711239,83 грн; КЕКВ 2120 – 597568,75 грн; КЕКВ 2240 – 24759,62 грн; КЕКВ 2271 – 10866,25 грн; КЕКВ 2272 – 725,32 грн; КЕКВ 2273 – 130424,29 грн.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1400 станом на 01.01.2022 – 7636226,00 грн, станом на 01.04.2022 – 7636226,00 грн. відображається внесений капітал. Змін не відбулося.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69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1420 станом на 01.01.2022 – (-3987967,00) грн, станом на 01.04.2022 – (-472299,00) грн відображається фінансовий результат. Відбулася зміна на суму 3515668,00 грн. в результаті: списання виконання кошторису на фінансовий результат звітного періоду на суму 3515667,74 грн.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1540 станом на 01.01.2022 – 5972,00 грн, станом на 01.04.2022 –21437,00 грн відображаються зобов’язання за податками та зборами: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не перераховано податок з доходів фізичних осіб та військовий збір із допомоги у зв’язку з тимчасової працездатності в сумі 21436,58 грн. (заборгованість відображена у додатку №20)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1545 графа станом на 01.04.2022 - 24759,00 грн відображається кредиторська заборгованість за транспортні послуги за січень 2022 року.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1560 станом на 01.01.2022 –24654,00 грн, станом на 01.04.2022 –88494,00 грн відображаються зобов’язання за розрахунками з працівниками: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не виплачена допомога у зв’язку по тимчасовій працездатності в сумі 88494,38 грн. (заборгованість відображена у додатку №20)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Пояснення до форми Звіт про фінансові результати №2-дс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2010 відображена сума 12501174,00 грн, яка включає суми отриманих бюджетних асигнувань за загальним фондом.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2210 відображена сума 8985136,00 грн - витрати на виконання бюджетних програм: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загальним фондом – 8985136,00 грн;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465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Рядок 2250 відображена сума 370,00 грн - витрати за обмінними операціями (витрати на поповнення проїзних квитків) - загальний фонд.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КПКВ 4110160 на 2022 рік затверджено асигнувань в сумі 49233970,00 грн.: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загальний фонд 49233970,00 грн.;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Надійшло коштів за звітний період – 12501174,15 грн:</w:t>
            </w:r>
          </w:p>
        </w:tc>
      </w:tr>
      <w:tr w:rsidR="00097172" w:rsidRPr="005220C3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загальний фонд – 12501174,15 грн.;</w:t>
            </w:r>
          </w:p>
        </w:tc>
      </w:tr>
      <w:tr w:rsidR="00097172" w:rsidRPr="00E4499B" w:rsidTr="005220C3">
        <w:trPr>
          <w:gridAfter w:val="2"/>
          <w:wAfter w:w="68" w:type="dxa"/>
          <w:trHeight w:hRule="exact" w:val="240"/>
        </w:trPr>
        <w:tc>
          <w:tcPr>
            <w:tcW w:w="1021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Pr="005220C3" w:rsidRDefault="004608ED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Касові видатки за звітний період – 9025590,09 грн:</w:t>
            </w:r>
          </w:p>
        </w:tc>
      </w:tr>
      <w:tr w:rsidR="00097172" w:rsidRPr="005220C3" w:rsidTr="005220C3">
        <w:trPr>
          <w:trHeight w:hRule="exact" w:val="240"/>
        </w:trPr>
        <w:tc>
          <w:tcPr>
            <w:tcW w:w="10282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7172" w:rsidRDefault="00C34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загальний фонд – 9025590,09 </w:t>
            </w:r>
            <w:r w:rsidR="004608ED" w:rsidRPr="005220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грн.;</w:t>
            </w:r>
          </w:p>
          <w:p w:rsidR="005220C3" w:rsidRDefault="00522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5220C3" w:rsidRDefault="00522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5220C3" w:rsidRDefault="00522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5220C3" w:rsidRDefault="00522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5220C3" w:rsidRDefault="00522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5220C3" w:rsidRPr="005220C3" w:rsidRDefault="005220C3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097172" w:rsidRPr="005220C3" w:rsidRDefault="00097172">
      <w:pPr>
        <w:rPr>
          <w:lang w:val="uk-UA"/>
        </w:rPr>
      </w:pPr>
    </w:p>
    <w:sectPr w:rsidR="00097172" w:rsidRPr="005220C3" w:rsidSect="00C3462E">
      <w:pgSz w:w="11907" w:h="16840"/>
      <w:pgMar w:top="851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7172"/>
    <w:rsid w:val="001F0BC7"/>
    <w:rsid w:val="004608ED"/>
    <w:rsid w:val="005220C3"/>
    <w:rsid w:val="00C3462E"/>
    <w:rsid w:val="00D31453"/>
    <w:rsid w:val="00E209E2"/>
    <w:rsid w:val="00E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5C5337-F3FF-4A06-A033-A4063BC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4459</Words>
  <Characters>2543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Form_f_d10</vt:lpstr>
      <vt:lpstr>Лист1</vt:lpstr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Form_f_d10</dc:title>
  <dc:creator>FastReport.NET</dc:creator>
  <cp:lastModifiedBy>Тимошенко Тетяна Володимирівна</cp:lastModifiedBy>
  <cp:revision>5</cp:revision>
  <dcterms:created xsi:type="dcterms:W3CDTF">2009-06-17T07:33:00Z</dcterms:created>
  <dcterms:modified xsi:type="dcterms:W3CDTF">2022-05-17T11:39:00Z</dcterms:modified>
</cp:coreProperties>
</file>