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E8111D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E8111D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E8111D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E8111D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E8111D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8111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E8111D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E8111D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57F4F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5EB6ACA7" w:rsidR="00533E12" w:rsidRPr="00E8111D" w:rsidRDefault="004346CC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12</w:t>
            </w:r>
            <w:r w:rsidR="008E529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310E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серпня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AD6E206" w:rsidR="00533E12" w:rsidRPr="00257F4F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3310E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E8111D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E8111D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033E85EA" w:rsidR="00162E42" w:rsidRPr="00E8111D" w:rsidRDefault="001E4458" w:rsidP="00A83CC9">
      <w:pPr>
        <w:tabs>
          <w:tab w:val="left" w:pos="1485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(зі змінами)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8E529A">
        <w:rPr>
          <w:rFonts w:ascii="Times New Roman" w:eastAsia="Calibri" w:hAnsi="Times New Roman"/>
          <w:sz w:val="28"/>
          <w:szCs w:val="28"/>
          <w:lang w:eastAsia="en-US"/>
        </w:rPr>
        <w:t>(далі – Інспекція)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74111440"/>
      <w:bookmarkStart w:id="1" w:name="_Hlk167788324"/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 xml:space="preserve">НВ АУДИТ 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УКРАЇНА»</w:t>
      </w:r>
      <w:bookmarkEnd w:id="0"/>
      <w:r w:rsidR="00A83CC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(код </w:t>
      </w:r>
      <w:r w:rsidR="00676346" w:rsidRPr="00FD7776">
        <w:rPr>
          <w:rFonts w:ascii="Times New Roman" w:eastAsia="Calibri" w:hAnsi="Times New Roman"/>
          <w:sz w:val="28"/>
          <w:szCs w:val="28"/>
          <w:lang w:eastAsia="en-US"/>
        </w:rPr>
        <w:t xml:space="preserve">ЄДРПОУ </w:t>
      </w:r>
      <w:r w:rsidR="003310EB" w:rsidRPr="003310EB">
        <w:rPr>
          <w:rFonts w:ascii="Times New Roman" w:eastAsia="Calibri" w:hAnsi="Times New Roman"/>
          <w:sz w:val="28"/>
          <w:szCs w:val="28"/>
        </w:rPr>
        <w:t>24165740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>4612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17DDA46" w14:textId="3790CD23" w:rsidR="00FC4D72" w:rsidRDefault="00162E42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«НВ АУДИТ УКРАЇНА»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C4D72"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="008E529A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серпня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звіт про результати перевірки), у якому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 узагальнюючий висновок </w:t>
      </w:r>
      <w:r w:rsidR="00C27780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те, що </w:t>
      </w:r>
      <w:r w:rsidR="00FC4D72" w:rsidRPr="00FC4D72">
        <w:rPr>
          <w:rFonts w:ascii="Times New Roman" w:eastAsia="Calibri" w:hAnsi="Times New Roman"/>
          <w:sz w:val="28"/>
          <w:szCs w:val="28"/>
          <w:lang w:eastAsia="en-US"/>
        </w:rPr>
        <w:t>за винятком питань, пов’язаних з ідентифікованими значущими недоліками, які наведені у додатку до звіту про результати перевірки з контролю якості, ніщо не привернуло уваги інспекторів, що дало б їм підстави вважати, що система управління якістю САД не забезпечує обґрунтовану впевненість у тому, що цілі системи управління якістю досягаються, а діяльність САД не відповідає Закону</w:t>
      </w:r>
    </w:p>
    <w:p w14:paraId="3AC035C4" w14:textId="6E8DE996" w:rsidR="00162E42" w:rsidRPr="000A05B8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законодавства про електронні документи та електронний документообіг 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«НВ АУДИТ УКРАЇНА»</w:t>
      </w:r>
      <w:r w:rsidR="00EC2DC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6CC" w:rsidRPr="008D1274">
        <w:rPr>
          <w:rFonts w:ascii="Times New Roman" w:eastAsia="Calibri" w:hAnsi="Times New Roman"/>
          <w:sz w:val="28"/>
          <w:szCs w:val="28"/>
          <w:lang w:val="ru-RU" w:eastAsia="en-US"/>
        </w:rPr>
        <w:t>12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серпня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E8111D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Default="0058276D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узагальнюючий висновок щодо відповідності міжнародним стандартам аудиту та Закону системи внутрішнього контролю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lastRenderedPageBreak/>
        <w:t>якості (системи управління якістю) за дослідженими під час перевірки матеріалами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E8111D" w:rsidRDefault="00E45EE9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E8111D" w:rsidRDefault="00AD7464" w:rsidP="009863EE">
      <w:pPr>
        <w:ind w:right="28"/>
        <w:rPr>
          <w:rFonts w:ascii="Times New Roman" w:hAnsi="Times New Roman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НАКАЗУЮ:</w:t>
      </w:r>
      <w:r w:rsidRPr="00E8111D">
        <w:rPr>
          <w:rFonts w:ascii="Times New Roman" w:hAnsi="Times New Roman"/>
          <w:sz w:val="24"/>
        </w:rPr>
        <w:t xml:space="preserve"> </w:t>
      </w:r>
    </w:p>
    <w:p w14:paraId="3BE345F8" w14:textId="491A8138" w:rsidR="00AD7464" w:rsidRDefault="00676346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bookmarkStart w:id="2" w:name="_Hlk174111519"/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ТОВАРИСТВА З ОБМЕЖЕНОЮ ВІДПОВІДАЛЬНІСТЮ «НВ АУДИТ УКРАЇНА»</w:t>
      </w:r>
      <w:bookmarkEnd w:id="2"/>
      <w:r w:rsid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(код ЄДРПОУ </w:t>
      </w:r>
      <w:r w:rsidR="003310EB" w:rsidRPr="003310EB">
        <w:rPr>
          <w:rFonts w:ascii="Times New Roman" w:eastAsia="Calibri" w:hAnsi="Times New Roman"/>
          <w:sz w:val="28"/>
          <w:szCs w:val="28"/>
          <w:lang w:val="uk-UA"/>
        </w:rPr>
        <w:t>24165740</w:t>
      </w:r>
      <w:r w:rsidR="00E8111D" w:rsidRPr="00FD7776">
        <w:rPr>
          <w:rFonts w:ascii="Times New Roman" w:eastAsia="Calibri" w:hAnsi="Times New Roman"/>
          <w:sz w:val="28"/>
          <w:szCs w:val="28"/>
          <w:lang w:val="uk-UA"/>
        </w:rPr>
        <w:t>, реєстровий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 номер у Реєстрі аудиторів та суб’єктів аудиторської 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4612</w:t>
      </w:r>
      <w:r w:rsidR="00E8111D" w:rsidRPr="00FD777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таким, що пройшов перевірку з контролю якості аудиторських послуг з обов’язковими до виконання рекомендаціями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5ED6AFD" w14:textId="3C74DD45" w:rsidR="00064722" w:rsidRPr="00E8111D" w:rsidRDefault="00064722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3310EB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«НВ АУДИТ УКРАЇНА»</w:t>
      </w:r>
      <w:r w:rsidR="00717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</w:t>
      </w:r>
      <w:r w:rsidRPr="00434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впровадження обов’язкових до виконання рекомендацій та не пізніше </w:t>
      </w:r>
      <w:r w:rsidR="004346CC" w:rsidRPr="008D1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0F4FC4" w:rsidRPr="00434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46CC" w:rsidRPr="00434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434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2025 року подати до Інспекції із забезпечення якості Органу суспільного нагляду за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43E355EA" w:rsidR="003D7118" w:rsidRPr="00E8111D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996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3310EB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«НВ АУДИТ УКРАЇНА»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235DDF30" w:rsidR="00AD7464" w:rsidRPr="00E8111D" w:rsidRDefault="00655512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FC4D72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НВ АУДИТ УКРАЇНА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</w:t>
      </w:r>
      <w:r w:rsidR="00331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306035DD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3310EB" w:rsidRPr="003310EB">
        <w:rPr>
          <w:rFonts w:ascii="Times New Roman" w:eastAsia="Calibri" w:hAnsi="Times New Roman" w:cs="Times New Roman"/>
          <w:sz w:val="28"/>
          <w:szCs w:val="28"/>
          <w:lang w:val="uk-UA"/>
        </w:rPr>
        <w:t>ТОВАРИСТВА З ОБМЕЖЕНОЮ ВІДПОВІДАЛЬНІСТЮ «НВ АУДИТ УКРАЇНА»</w:t>
      </w:r>
      <w:r w:rsidR="00B56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25AFAED2" w:rsidR="00FC4D72" w:rsidRDefault="00655512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91954" w:rsidRPr="00E8111D">
        <w:rPr>
          <w:rFonts w:ascii="Times New Roman" w:hAnsi="Times New Roman"/>
          <w:sz w:val="28"/>
          <w:szCs w:val="28"/>
        </w:rPr>
        <w:t xml:space="preserve">. </w:t>
      </w:r>
      <w:r w:rsidR="000302D8" w:rsidRPr="00E8111D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3310EB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="003310EB" w:rsidRPr="003310EB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«НВ АУДИТ УКРАЇНА»</w:t>
      </w:r>
      <w:r w:rsidR="00B56DBE">
        <w:rPr>
          <w:rFonts w:ascii="Times New Roman" w:hAnsi="Times New Roman"/>
          <w:sz w:val="28"/>
          <w:szCs w:val="28"/>
        </w:rPr>
        <w:t xml:space="preserve"> </w:t>
      </w:r>
      <w:r w:rsidR="000302D8" w:rsidRPr="00E8111D">
        <w:rPr>
          <w:rFonts w:ascii="Times New Roman" w:hAnsi="Times New Roman"/>
          <w:sz w:val="28"/>
          <w:szCs w:val="28"/>
        </w:rPr>
        <w:t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5FD26ECD" w14:textId="77777777" w:rsidR="00FC4D72" w:rsidRDefault="00FC4D72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CC8FD71" w14:textId="77777777" w:rsidR="00B218CC" w:rsidRPr="00E8111D" w:rsidRDefault="00B218CC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14:paraId="7B612604" w14:textId="5F1DC21A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8111D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E8111D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3F925F3B" w:rsidR="00533E12" w:rsidRPr="00E8111D" w:rsidRDefault="00AD7464" w:rsidP="008D1274">
      <w:pPr>
        <w:ind w:right="28"/>
        <w:rPr>
          <w:color w:val="000000" w:themeColor="text1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981FCA">
        <w:rPr>
          <w:rFonts w:ascii="Times New Roman" w:hAnsi="Times New Roman"/>
          <w:b/>
          <w:sz w:val="28"/>
          <w:szCs w:val="28"/>
        </w:rPr>
        <w:t>В</w:t>
      </w:r>
    </w:p>
    <w:sectPr w:rsidR="00533E12" w:rsidRPr="00E8111D" w:rsidSect="00C611BB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00128" w14:textId="77777777" w:rsidR="001D6F33" w:rsidRDefault="001D6F33" w:rsidP="00533E12">
      <w:r>
        <w:separator/>
      </w:r>
    </w:p>
  </w:endnote>
  <w:endnote w:type="continuationSeparator" w:id="0">
    <w:p w14:paraId="672CEFC6" w14:textId="77777777" w:rsidR="001D6F33" w:rsidRDefault="001D6F33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13E45" w14:textId="77777777" w:rsidR="001D6F33" w:rsidRDefault="001D6F33" w:rsidP="00533E12">
      <w:r>
        <w:separator/>
      </w:r>
    </w:p>
  </w:footnote>
  <w:footnote w:type="continuationSeparator" w:id="0">
    <w:p w14:paraId="3093BC3B" w14:textId="77777777" w:rsidR="001D6F33" w:rsidRDefault="001D6F33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F4FC4"/>
    <w:rsid w:val="001066CF"/>
    <w:rsid w:val="001152E3"/>
    <w:rsid w:val="00133762"/>
    <w:rsid w:val="00157C40"/>
    <w:rsid w:val="00162E42"/>
    <w:rsid w:val="00167F74"/>
    <w:rsid w:val="00184132"/>
    <w:rsid w:val="001843D8"/>
    <w:rsid w:val="00191350"/>
    <w:rsid w:val="00193510"/>
    <w:rsid w:val="00197B2B"/>
    <w:rsid w:val="001A290E"/>
    <w:rsid w:val="001C368D"/>
    <w:rsid w:val="001D3021"/>
    <w:rsid w:val="001D33C5"/>
    <w:rsid w:val="001D6F33"/>
    <w:rsid w:val="001E4458"/>
    <w:rsid w:val="001F7E17"/>
    <w:rsid w:val="002069F6"/>
    <w:rsid w:val="002247F9"/>
    <w:rsid w:val="00233F5A"/>
    <w:rsid w:val="0024521A"/>
    <w:rsid w:val="00257F4F"/>
    <w:rsid w:val="00260C53"/>
    <w:rsid w:val="002A317B"/>
    <w:rsid w:val="002C2E83"/>
    <w:rsid w:val="002F29F1"/>
    <w:rsid w:val="003129B3"/>
    <w:rsid w:val="003174E9"/>
    <w:rsid w:val="003310EB"/>
    <w:rsid w:val="0034005B"/>
    <w:rsid w:val="00341830"/>
    <w:rsid w:val="00367366"/>
    <w:rsid w:val="003711F0"/>
    <w:rsid w:val="003B2713"/>
    <w:rsid w:val="003C0D32"/>
    <w:rsid w:val="003D7118"/>
    <w:rsid w:val="003F0863"/>
    <w:rsid w:val="003F31A6"/>
    <w:rsid w:val="004346CC"/>
    <w:rsid w:val="00444656"/>
    <w:rsid w:val="004478D7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705E2"/>
    <w:rsid w:val="0057287E"/>
    <w:rsid w:val="0058276D"/>
    <w:rsid w:val="005A1510"/>
    <w:rsid w:val="005A3289"/>
    <w:rsid w:val="005A5D44"/>
    <w:rsid w:val="005D6A89"/>
    <w:rsid w:val="005F3CDE"/>
    <w:rsid w:val="005F4488"/>
    <w:rsid w:val="0061778D"/>
    <w:rsid w:val="00622EDF"/>
    <w:rsid w:val="006509B8"/>
    <w:rsid w:val="00655512"/>
    <w:rsid w:val="00671DA0"/>
    <w:rsid w:val="00673A31"/>
    <w:rsid w:val="00676346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D4173"/>
    <w:rsid w:val="007D66B5"/>
    <w:rsid w:val="007F626B"/>
    <w:rsid w:val="00803337"/>
    <w:rsid w:val="008440F4"/>
    <w:rsid w:val="008A5A51"/>
    <w:rsid w:val="008D1274"/>
    <w:rsid w:val="008E529A"/>
    <w:rsid w:val="00903D0E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1FCA"/>
    <w:rsid w:val="00985306"/>
    <w:rsid w:val="009863EE"/>
    <w:rsid w:val="00987315"/>
    <w:rsid w:val="00987946"/>
    <w:rsid w:val="0099629E"/>
    <w:rsid w:val="009B072B"/>
    <w:rsid w:val="009B69FD"/>
    <w:rsid w:val="009E3A52"/>
    <w:rsid w:val="00A0313A"/>
    <w:rsid w:val="00A27A56"/>
    <w:rsid w:val="00A66D57"/>
    <w:rsid w:val="00A71D8D"/>
    <w:rsid w:val="00A75E78"/>
    <w:rsid w:val="00A83CC9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C1D13"/>
    <w:rsid w:val="00BE05F7"/>
    <w:rsid w:val="00C108D3"/>
    <w:rsid w:val="00C214B2"/>
    <w:rsid w:val="00C27780"/>
    <w:rsid w:val="00C400CE"/>
    <w:rsid w:val="00C611BB"/>
    <w:rsid w:val="00C7006A"/>
    <w:rsid w:val="00C91954"/>
    <w:rsid w:val="00CC1DA9"/>
    <w:rsid w:val="00D07E7C"/>
    <w:rsid w:val="00D100E9"/>
    <w:rsid w:val="00D270C2"/>
    <w:rsid w:val="00D409EF"/>
    <w:rsid w:val="00D438AA"/>
    <w:rsid w:val="00D4637A"/>
    <w:rsid w:val="00D51F2A"/>
    <w:rsid w:val="00D63765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C2DCD"/>
    <w:rsid w:val="00EE7479"/>
    <w:rsid w:val="00EF15BF"/>
    <w:rsid w:val="00F07F53"/>
    <w:rsid w:val="00F373B1"/>
    <w:rsid w:val="00F47367"/>
    <w:rsid w:val="00F536FE"/>
    <w:rsid w:val="00F662FB"/>
    <w:rsid w:val="00F77034"/>
    <w:rsid w:val="00F86EA4"/>
    <w:rsid w:val="00FB09E5"/>
    <w:rsid w:val="00FC4D72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3194</Words>
  <Characters>1822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2024-06-25T12:46:00Z</cp:lastPrinted>
  <dcterms:created xsi:type="dcterms:W3CDTF">2024-09-02T08:54:00Z</dcterms:created>
  <dcterms:modified xsi:type="dcterms:W3CDTF">2024-09-02T08:54:00Z</dcterms:modified>
</cp:coreProperties>
</file>