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>Прошу у рубриці «</w:t>
      </w:r>
      <w:r w:rsidRPr="00FE19B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FE19BF">
        <w:rPr>
          <w:rStyle w:val="atitle"/>
          <w:sz w:val="28"/>
          <w:szCs w:val="28"/>
          <w:lang w:val="uk-UA"/>
        </w:rPr>
        <w:t>»:</w:t>
      </w:r>
    </w:p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FE19B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 xml:space="preserve">у підрубриці </w:t>
      </w:r>
      <w:r w:rsidR="009A449B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FE19BF">
        <w:rPr>
          <w:b/>
          <w:sz w:val="28"/>
          <w:szCs w:val="28"/>
          <w:lang w:val="uk-UA"/>
        </w:rPr>
        <w:t>розгляд</w:t>
      </w:r>
      <w:r w:rsidR="009A449B" w:rsidRPr="009A449B">
        <w:rPr>
          <w:rStyle w:val="atitle"/>
          <w:b/>
          <w:sz w:val="28"/>
          <w:szCs w:val="28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FE19BF">
        <w:rPr>
          <w:rStyle w:val="atitle"/>
          <w:sz w:val="28"/>
          <w:szCs w:val="28"/>
          <w:lang w:val="uk-UA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rStyle w:val="atitle"/>
          <w:b/>
          <w:sz w:val="28"/>
          <w:szCs w:val="28"/>
          <w:lang w:val="uk-UA"/>
        </w:rPr>
        <w:t xml:space="preserve">- </w:t>
      </w:r>
      <w:r w:rsidRPr="00FE19BF">
        <w:rPr>
          <w:rStyle w:val="atitle"/>
          <w:sz w:val="28"/>
          <w:szCs w:val="28"/>
          <w:lang w:val="uk-UA"/>
        </w:rPr>
        <w:t>розмістити</w:t>
      </w:r>
      <w:r w:rsidRPr="00FE19BF">
        <w:rPr>
          <w:rStyle w:val="atitle"/>
          <w:b/>
          <w:sz w:val="28"/>
          <w:szCs w:val="28"/>
          <w:lang w:val="uk-UA"/>
        </w:rPr>
        <w:t xml:space="preserve"> </w:t>
      </w:r>
      <w:r w:rsidRPr="00FE19BF">
        <w:rPr>
          <w:bCs/>
          <w:sz w:val="28"/>
          <w:szCs w:val="28"/>
          <w:lang w:val="uk-UA"/>
        </w:rPr>
        <w:t>позицію</w:t>
      </w:r>
      <w:r w:rsidRPr="00FE19BF">
        <w:rPr>
          <w:b/>
          <w:bCs/>
          <w:sz w:val="28"/>
          <w:szCs w:val="28"/>
          <w:lang w:val="uk-UA"/>
        </w:rPr>
        <w:t xml:space="preserve"> «</w:t>
      </w:r>
      <w:r w:rsidRPr="00FE19B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33F72">
        <w:rPr>
          <w:b/>
          <w:sz w:val="28"/>
          <w:szCs w:val="28"/>
          <w:lang w:val="uk-UA"/>
        </w:rPr>
        <w:t xml:space="preserve">08.09.2014 </w:t>
      </w:r>
      <w:r w:rsidRPr="00FE19BF">
        <w:rPr>
          <w:b/>
          <w:sz w:val="28"/>
          <w:szCs w:val="28"/>
          <w:lang w:val="uk-UA"/>
        </w:rPr>
        <w:t xml:space="preserve">по </w:t>
      </w:r>
      <w:r w:rsidR="00033F72" w:rsidRPr="00033F72">
        <w:rPr>
          <w:b/>
          <w:sz w:val="28"/>
          <w:szCs w:val="28"/>
        </w:rPr>
        <w:t>12</w:t>
      </w:r>
      <w:r w:rsidR="00033F72">
        <w:rPr>
          <w:b/>
          <w:sz w:val="28"/>
          <w:szCs w:val="28"/>
          <w:lang w:val="uk-UA"/>
        </w:rPr>
        <w:t>.0</w:t>
      </w:r>
      <w:r w:rsidR="00033F72" w:rsidRPr="00033F72">
        <w:rPr>
          <w:b/>
          <w:sz w:val="28"/>
          <w:szCs w:val="28"/>
        </w:rPr>
        <w:t>9</w:t>
      </w:r>
      <w:r w:rsidR="00013885" w:rsidRPr="00FE19BF">
        <w:rPr>
          <w:b/>
          <w:sz w:val="28"/>
          <w:szCs w:val="28"/>
          <w:lang w:val="uk-UA"/>
        </w:rPr>
        <w:t>.2014</w:t>
      </w:r>
      <w:r w:rsidRPr="00FE19BF">
        <w:rPr>
          <w:b/>
          <w:sz w:val="28"/>
          <w:szCs w:val="28"/>
          <w:lang w:val="uk-UA"/>
        </w:rPr>
        <w:t>»</w:t>
      </w:r>
      <w:r w:rsidRPr="00FE19B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період з </w:t>
      </w:r>
      <w:r w:rsidR="00033F72">
        <w:rPr>
          <w:b/>
          <w:sz w:val="28"/>
          <w:szCs w:val="28"/>
          <w:lang w:val="uk-UA"/>
        </w:rPr>
        <w:t xml:space="preserve">08.09.2014 </w:t>
      </w:r>
      <w:r w:rsidRPr="00FE19BF">
        <w:rPr>
          <w:b/>
          <w:sz w:val="28"/>
          <w:szCs w:val="28"/>
          <w:lang w:val="uk-UA"/>
        </w:rPr>
        <w:t xml:space="preserve">по </w:t>
      </w:r>
      <w:r w:rsidR="00033F72" w:rsidRPr="00033F72">
        <w:rPr>
          <w:b/>
          <w:sz w:val="28"/>
          <w:szCs w:val="28"/>
        </w:rPr>
        <w:t>12</w:t>
      </w:r>
      <w:r w:rsidR="00033F72">
        <w:rPr>
          <w:b/>
          <w:sz w:val="28"/>
          <w:szCs w:val="28"/>
          <w:lang w:val="uk-UA"/>
        </w:rPr>
        <w:t>.0</w:t>
      </w:r>
      <w:r w:rsidR="00033F72" w:rsidRPr="00033F72">
        <w:rPr>
          <w:b/>
          <w:sz w:val="28"/>
          <w:szCs w:val="28"/>
        </w:rPr>
        <w:t>9</w:t>
      </w:r>
      <w:r w:rsidR="00013885" w:rsidRPr="00FE19BF">
        <w:rPr>
          <w:b/>
          <w:sz w:val="28"/>
          <w:szCs w:val="28"/>
          <w:lang w:val="uk-UA"/>
        </w:rPr>
        <w:t>.2014</w:t>
      </w:r>
    </w:p>
    <w:p w:rsidR="005E1C83" w:rsidRPr="00FE19B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 xml:space="preserve">З </w:t>
      </w:r>
      <w:r w:rsidR="00033F72">
        <w:rPr>
          <w:sz w:val="28"/>
          <w:szCs w:val="28"/>
          <w:lang w:val="uk-UA"/>
        </w:rPr>
        <w:t xml:space="preserve">08.09.2014 </w:t>
      </w:r>
      <w:r w:rsidRPr="00FE19BF">
        <w:rPr>
          <w:sz w:val="28"/>
          <w:szCs w:val="28"/>
          <w:lang w:val="uk-UA"/>
        </w:rPr>
        <w:t xml:space="preserve">по </w:t>
      </w:r>
      <w:r w:rsidR="00033F72">
        <w:rPr>
          <w:sz w:val="28"/>
          <w:szCs w:val="28"/>
          <w:lang w:val="uk-UA"/>
        </w:rPr>
        <w:t xml:space="preserve">12.09.2014 </w:t>
      </w:r>
      <w:r w:rsidRPr="00FE19BF">
        <w:rPr>
          <w:sz w:val="28"/>
          <w:szCs w:val="28"/>
          <w:lang w:val="uk-UA"/>
        </w:rPr>
        <w:t xml:space="preserve">до Міністерства юстиції надійшло </w:t>
      </w:r>
      <w:r w:rsidR="00033F72" w:rsidRPr="00033F72">
        <w:rPr>
          <w:b/>
          <w:sz w:val="28"/>
          <w:szCs w:val="28"/>
        </w:rPr>
        <w:t>92</w:t>
      </w:r>
      <w:r w:rsidRPr="00FE19BF">
        <w:rPr>
          <w:sz w:val="28"/>
          <w:szCs w:val="28"/>
          <w:lang w:val="uk-UA"/>
        </w:rPr>
        <w:t xml:space="preserve"> запит</w:t>
      </w:r>
      <w:r w:rsidR="00033F72" w:rsidRPr="00033F72">
        <w:rPr>
          <w:sz w:val="28"/>
          <w:szCs w:val="28"/>
        </w:rPr>
        <w:t>и</w:t>
      </w:r>
      <w:r w:rsidRPr="00FE19B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FE19B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FE19B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033F72">
        <w:rPr>
          <w:rStyle w:val="grame"/>
          <w:b/>
          <w:sz w:val="28"/>
          <w:szCs w:val="28"/>
          <w:lang w:val="uk-UA"/>
        </w:rPr>
        <w:t>65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3C30C9">
        <w:rPr>
          <w:rStyle w:val="grame"/>
          <w:sz w:val="28"/>
          <w:szCs w:val="28"/>
          <w:lang w:val="uk-UA"/>
        </w:rPr>
        <w:t>58</w:t>
      </w:r>
      <w:r w:rsidRPr="00FE19BF">
        <w:rPr>
          <w:rStyle w:val="grame"/>
          <w:sz w:val="28"/>
          <w:szCs w:val="28"/>
          <w:lang w:val="uk-UA"/>
        </w:rPr>
        <w:t xml:space="preserve">, поштою – </w:t>
      </w:r>
      <w:r w:rsidR="003C30C9">
        <w:rPr>
          <w:rStyle w:val="grame"/>
          <w:sz w:val="28"/>
          <w:szCs w:val="28"/>
          <w:lang w:val="uk-UA"/>
        </w:rPr>
        <w:t>4, особисто – 3</w:t>
      </w:r>
      <w:r w:rsidRPr="00FE19BF">
        <w:rPr>
          <w:rStyle w:val="grame"/>
          <w:sz w:val="28"/>
          <w:szCs w:val="28"/>
          <w:lang w:val="uk-UA"/>
        </w:rPr>
        <w:t>);</w:t>
      </w:r>
    </w:p>
    <w:p w:rsidR="005E1C83" w:rsidRPr="00FE19B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033F72">
        <w:rPr>
          <w:rStyle w:val="grame"/>
          <w:b/>
          <w:sz w:val="28"/>
          <w:szCs w:val="28"/>
          <w:lang w:val="uk-UA"/>
        </w:rPr>
        <w:t>27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>(</w:t>
      </w:r>
      <w:r w:rsidR="003C30C9">
        <w:rPr>
          <w:rStyle w:val="grame"/>
          <w:sz w:val="28"/>
          <w:szCs w:val="28"/>
          <w:lang w:val="uk-UA"/>
        </w:rPr>
        <w:t>електронною поштою – 23, поштою – 3</w:t>
      </w:r>
      <w:r w:rsidR="00A268E5" w:rsidRPr="00FE19BF">
        <w:rPr>
          <w:rStyle w:val="grame"/>
          <w:sz w:val="28"/>
          <w:szCs w:val="28"/>
          <w:lang w:val="uk-UA"/>
        </w:rPr>
        <w:t>,</w:t>
      </w:r>
      <w:r w:rsidR="003C30C9">
        <w:rPr>
          <w:rStyle w:val="grame"/>
          <w:sz w:val="28"/>
          <w:szCs w:val="28"/>
          <w:lang w:val="uk-UA"/>
        </w:rPr>
        <w:t xml:space="preserve"> особисто</w:t>
      </w:r>
      <w:r w:rsidR="006B14B1" w:rsidRPr="00FE19BF">
        <w:rPr>
          <w:rStyle w:val="grame"/>
          <w:sz w:val="28"/>
          <w:szCs w:val="28"/>
          <w:lang w:val="uk-UA"/>
        </w:rPr>
        <w:t xml:space="preserve"> – 1</w:t>
      </w:r>
      <w:r w:rsidRPr="00FE19BF">
        <w:rPr>
          <w:rStyle w:val="grame"/>
          <w:sz w:val="28"/>
          <w:szCs w:val="28"/>
          <w:lang w:val="uk-UA"/>
        </w:rPr>
        <w:t xml:space="preserve">). </w:t>
      </w:r>
    </w:p>
    <w:p w:rsidR="00203FA1" w:rsidRPr="00FE19BF" w:rsidRDefault="003C7C99" w:rsidP="006B14B1">
      <w:pPr>
        <w:spacing w:after="1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48532" cy="2545192"/>
            <wp:effectExtent l="12027" t="6006" r="6891" b="1502"/>
            <wp:docPr id="5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Pr="00FE19BF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Найбільша кількість запитів надійшла з</w:t>
      </w:r>
      <w:r w:rsidR="006F1005" w:rsidRPr="00FE19BF">
        <w:rPr>
          <w:sz w:val="28"/>
          <w:szCs w:val="28"/>
          <w:lang w:val="uk-UA"/>
        </w:rPr>
        <w:t xml:space="preserve"> </w:t>
      </w:r>
      <w:r w:rsidR="006B14B1" w:rsidRPr="00FE19BF">
        <w:rPr>
          <w:sz w:val="28"/>
          <w:szCs w:val="28"/>
          <w:lang w:val="uk-UA"/>
        </w:rPr>
        <w:t xml:space="preserve">Київської області </w:t>
      </w:r>
      <w:r w:rsidR="006F1005" w:rsidRPr="00FE19BF">
        <w:rPr>
          <w:sz w:val="28"/>
          <w:szCs w:val="28"/>
          <w:lang w:val="uk-UA"/>
        </w:rPr>
        <w:t>(</w:t>
      </w:r>
      <w:r w:rsidR="0087107F">
        <w:rPr>
          <w:b/>
          <w:sz w:val="28"/>
          <w:szCs w:val="28"/>
          <w:lang w:val="uk-UA"/>
        </w:rPr>
        <w:t>62</w:t>
      </w:r>
      <w:r w:rsidR="006B14B1" w:rsidRPr="00FE19BF">
        <w:rPr>
          <w:sz w:val="28"/>
          <w:szCs w:val="28"/>
          <w:lang w:val="uk-UA"/>
        </w:rPr>
        <w:t xml:space="preserve"> запити</w:t>
      </w:r>
      <w:r w:rsidR="006F1005" w:rsidRPr="00FE19BF">
        <w:rPr>
          <w:sz w:val="28"/>
          <w:szCs w:val="28"/>
          <w:lang w:val="uk-UA"/>
        </w:rPr>
        <w:t>)</w:t>
      </w:r>
      <w:r w:rsidR="00DE3D38" w:rsidRPr="00FE19BF">
        <w:rPr>
          <w:color w:val="000000"/>
          <w:sz w:val="28"/>
          <w:szCs w:val="28"/>
          <w:lang w:val="uk-UA"/>
        </w:rPr>
        <w:t xml:space="preserve"> та </w:t>
      </w:r>
      <w:r w:rsidR="00F8453A">
        <w:rPr>
          <w:color w:val="000000"/>
          <w:sz w:val="28"/>
          <w:szCs w:val="28"/>
          <w:lang w:val="uk-UA"/>
        </w:rPr>
        <w:t xml:space="preserve">                 </w:t>
      </w:r>
      <w:r w:rsidR="00DE3D38" w:rsidRPr="00FE19BF">
        <w:rPr>
          <w:sz w:val="28"/>
          <w:szCs w:val="28"/>
          <w:lang w:val="uk-UA"/>
        </w:rPr>
        <w:t xml:space="preserve">м. Києва </w:t>
      </w:r>
      <w:r w:rsidR="006F1005" w:rsidRPr="00FE19BF">
        <w:rPr>
          <w:sz w:val="28"/>
          <w:szCs w:val="28"/>
          <w:lang w:val="uk-UA"/>
        </w:rPr>
        <w:t>(</w:t>
      </w:r>
      <w:r w:rsidR="0087107F">
        <w:rPr>
          <w:b/>
          <w:sz w:val="28"/>
          <w:szCs w:val="28"/>
          <w:lang w:val="uk-UA"/>
        </w:rPr>
        <w:t>10</w:t>
      </w:r>
      <w:r w:rsidR="0087107F">
        <w:rPr>
          <w:sz w:val="28"/>
          <w:szCs w:val="28"/>
          <w:lang w:val="uk-UA"/>
        </w:rPr>
        <w:t xml:space="preserve"> запитів</w:t>
      </w:r>
      <w:r w:rsidRPr="00FE19BF">
        <w:rPr>
          <w:sz w:val="28"/>
          <w:szCs w:val="28"/>
          <w:lang w:val="uk-UA"/>
        </w:rPr>
        <w:t xml:space="preserve">). </w:t>
      </w:r>
    </w:p>
    <w:p w:rsidR="005E1C83" w:rsidRPr="00FE19BF" w:rsidRDefault="005E1C83" w:rsidP="00A96C47">
      <w:pPr>
        <w:spacing w:before="240" w:after="24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Запитувані документи та інформація:</w:t>
      </w:r>
    </w:p>
    <w:p w:rsidR="0087107F" w:rsidRPr="0087107F" w:rsidRDefault="0087107F" w:rsidP="0087107F">
      <w:pPr>
        <w:pStyle w:val="a6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87107F">
        <w:rPr>
          <w:sz w:val="28"/>
          <w:szCs w:val="28"/>
          <w:lang w:val="uk-UA"/>
        </w:rPr>
        <w:t>документи:</w:t>
      </w:r>
    </w:p>
    <w:p w:rsidR="0087107F" w:rsidRPr="0087107F" w:rsidRDefault="0087107F" w:rsidP="0087107F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87107F">
        <w:rPr>
          <w:rStyle w:val="FontStyle62"/>
          <w:b w:val="0"/>
          <w:sz w:val="28"/>
          <w:szCs w:val="28"/>
        </w:rPr>
        <w:t>витяг з Реєстру методик проведення судових експертиз;</w:t>
      </w:r>
    </w:p>
    <w:p w:rsidR="0087107F" w:rsidRPr="00FD0C0F" w:rsidRDefault="0087107F" w:rsidP="0087107F">
      <w:pPr>
        <w:pStyle w:val="Style6"/>
        <w:widowControl/>
        <w:spacing w:line="240" w:lineRule="auto"/>
        <w:ind w:left="426" w:firstLine="0"/>
        <w:rPr>
          <w:rStyle w:val="FontStyle62"/>
          <w:b w:val="0"/>
          <w:bCs w:val="0"/>
          <w:sz w:val="28"/>
          <w:szCs w:val="28"/>
        </w:rPr>
      </w:pPr>
    </w:p>
    <w:p w:rsidR="0087107F" w:rsidRPr="0087107F" w:rsidRDefault="0087107F" w:rsidP="0087107F">
      <w:pPr>
        <w:pStyle w:val="a6"/>
        <w:ind w:left="0" w:firstLine="426"/>
        <w:contextualSpacing w:val="0"/>
        <w:jc w:val="both"/>
        <w:rPr>
          <w:rStyle w:val="FontStyle48"/>
          <w:sz w:val="28"/>
          <w:szCs w:val="28"/>
          <w:lang w:val="uk-UA"/>
        </w:rPr>
      </w:pPr>
      <w:r w:rsidRPr="0087107F">
        <w:rPr>
          <w:sz w:val="28"/>
          <w:szCs w:val="28"/>
          <w:lang w:val="uk-UA"/>
        </w:rPr>
        <w:t>інформація про:</w:t>
      </w:r>
    </w:p>
    <w:p w:rsidR="0087107F" w:rsidRPr="00070A31" w:rsidRDefault="0087107F" w:rsidP="00F8453A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070A31">
        <w:rPr>
          <w:rStyle w:val="FontStyle39"/>
          <w:sz w:val="28"/>
          <w:szCs w:val="28"/>
          <w:lang w:val="uk-UA"/>
        </w:rPr>
        <w:t>особу судового експерта;</w:t>
      </w:r>
    </w:p>
    <w:p w:rsidR="0087107F" w:rsidRPr="00070A31" w:rsidRDefault="0087107F" w:rsidP="00F8453A">
      <w:pPr>
        <w:pStyle w:val="a6"/>
        <w:numPr>
          <w:ilvl w:val="0"/>
          <w:numId w:val="4"/>
        </w:numPr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070A31">
        <w:rPr>
          <w:rStyle w:val="FontStyle39"/>
          <w:sz w:val="28"/>
          <w:szCs w:val="28"/>
          <w:lang w:val="uk-UA"/>
        </w:rPr>
        <w:t>адресу електронної пошти, службові номери телефонів працівників Департаменту взаємодії з органами влади</w:t>
      </w:r>
      <w:r>
        <w:rPr>
          <w:rStyle w:val="FontStyle39"/>
          <w:sz w:val="28"/>
          <w:szCs w:val="28"/>
          <w:lang w:val="uk-UA"/>
        </w:rPr>
        <w:t>.</w:t>
      </w:r>
    </w:p>
    <w:p w:rsidR="00203FA1" w:rsidRPr="00FE19BF" w:rsidRDefault="00203FA1" w:rsidP="00F8453A">
      <w:pPr>
        <w:pStyle w:val="a6"/>
        <w:ind w:left="0" w:firstLine="425"/>
        <w:contextualSpacing w:val="0"/>
        <w:jc w:val="both"/>
        <w:rPr>
          <w:sz w:val="28"/>
          <w:szCs w:val="28"/>
          <w:lang w:val="uk-UA"/>
        </w:rPr>
      </w:pPr>
    </w:p>
    <w:p w:rsidR="005E1C83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B719D" w:rsidRDefault="008B719D" w:rsidP="0004082E">
      <w:pPr>
        <w:pStyle w:val="a6"/>
        <w:ind w:left="0" w:firstLine="425"/>
        <w:contextualSpacing w:val="0"/>
        <w:jc w:val="both"/>
        <w:rPr>
          <w:sz w:val="28"/>
          <w:szCs w:val="28"/>
          <w:lang w:val="uk-UA"/>
        </w:rPr>
      </w:pPr>
      <w:r w:rsidRPr="00A96C47">
        <w:rPr>
          <w:color w:val="000000"/>
          <w:sz w:val="28"/>
          <w:szCs w:val="28"/>
          <w:lang w:val="uk-UA" w:eastAsia="uk-UA"/>
        </w:rPr>
        <w:t>Департаменту організаційного та ресурсного забезпечення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96C47">
        <w:rPr>
          <w:color w:val="000000"/>
          <w:sz w:val="28"/>
          <w:szCs w:val="28"/>
          <w:lang w:val="uk-UA" w:eastAsia="uk-UA"/>
        </w:rPr>
        <w:t>(</w:t>
      </w:r>
      <w:r>
        <w:rPr>
          <w:b/>
          <w:color w:val="000000"/>
          <w:sz w:val="28"/>
          <w:szCs w:val="28"/>
          <w:lang w:val="uk-UA" w:eastAsia="uk-UA"/>
        </w:rPr>
        <w:t>47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>
        <w:rPr>
          <w:b/>
          <w:color w:val="000000"/>
          <w:sz w:val="28"/>
          <w:szCs w:val="28"/>
          <w:lang w:val="uk-UA" w:eastAsia="uk-UA"/>
        </w:rPr>
        <w:t>51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="009A449B" w:rsidRPr="009A449B">
        <w:rPr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04082E">
        <w:rPr>
          <w:color w:val="000000"/>
          <w:sz w:val="28"/>
          <w:szCs w:val="28"/>
          <w:lang w:val="uk-UA" w:eastAsia="uk-UA"/>
        </w:rPr>
        <w:t>вс</w:t>
      </w:r>
      <w:r w:rsidR="0004082E">
        <w:rPr>
          <w:color w:val="000000"/>
          <w:sz w:val="28"/>
          <w:szCs w:val="28"/>
          <w:lang w:val="uk-UA" w:eastAsia="uk-UA"/>
        </w:rPr>
        <w:t>і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запити </w:t>
      </w:r>
      <w:r w:rsidRPr="00A96C47">
        <w:rPr>
          <w:color w:val="000000"/>
          <w:sz w:val="28"/>
          <w:szCs w:val="28"/>
          <w:lang w:val="uk-UA" w:eastAsia="uk-UA"/>
        </w:rPr>
        <w:t>надіслано для розгляду належним розпорядникам інформації),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E19BF">
        <w:rPr>
          <w:color w:val="000000"/>
          <w:sz w:val="28"/>
          <w:szCs w:val="28"/>
          <w:lang w:val="uk-UA" w:eastAsia="uk-UA"/>
        </w:rPr>
        <w:t xml:space="preserve">Департаменту конституційного, адміністративного </w:t>
      </w:r>
      <w:r>
        <w:rPr>
          <w:color w:val="000000"/>
          <w:sz w:val="28"/>
          <w:szCs w:val="28"/>
          <w:lang w:val="uk-UA" w:eastAsia="uk-UA"/>
        </w:rPr>
        <w:t>та соціального законодавства  (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="00F43299" w:rsidRPr="00F43299">
        <w:rPr>
          <w:b/>
          <w:color w:val="000000"/>
          <w:sz w:val="28"/>
          <w:szCs w:val="28"/>
          <w:lang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FE19BF">
        <w:rPr>
          <w:color w:val="000000"/>
          <w:sz w:val="28"/>
          <w:szCs w:val="28"/>
          <w:lang w:val="uk-UA" w:eastAsia="uk-UA"/>
        </w:rPr>
        <w:t xml:space="preserve"> або </w:t>
      </w:r>
      <w:r w:rsidR="00F43299">
        <w:rPr>
          <w:b/>
          <w:color w:val="000000"/>
          <w:sz w:val="28"/>
          <w:szCs w:val="28"/>
          <w:lang w:val="uk-UA" w:eastAsia="uk-UA"/>
        </w:rPr>
        <w:t>1</w:t>
      </w:r>
      <w:r w:rsidR="00F43299">
        <w:rPr>
          <w:b/>
          <w:color w:val="000000"/>
          <w:sz w:val="28"/>
          <w:szCs w:val="28"/>
          <w:lang w:eastAsia="uk-UA"/>
        </w:rPr>
        <w:t>4</w:t>
      </w:r>
      <w:r w:rsidR="00F43299" w:rsidRPr="00F43299">
        <w:rPr>
          <w:b/>
          <w:color w:val="000000"/>
          <w:sz w:val="28"/>
          <w:szCs w:val="28"/>
          <w:lang w:eastAsia="uk-UA"/>
        </w:rPr>
        <w:t>,1</w:t>
      </w:r>
      <w:r w:rsidRPr="00FE19BF">
        <w:rPr>
          <w:b/>
          <w:color w:val="000000"/>
          <w:sz w:val="28"/>
          <w:szCs w:val="28"/>
          <w:lang w:val="uk-UA" w:eastAsia="uk-UA"/>
        </w:rPr>
        <w:t>%</w:t>
      </w:r>
      <w:r w:rsidRPr="00FE19BF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96C47">
        <w:rPr>
          <w:color w:val="000000"/>
          <w:sz w:val="28"/>
          <w:szCs w:val="28"/>
          <w:lang w:val="uk-UA" w:eastAsia="uk-UA"/>
        </w:rPr>
        <w:t>Департаменту взаємодії з органами влади (</w:t>
      </w:r>
      <w:r>
        <w:rPr>
          <w:b/>
          <w:color w:val="000000"/>
          <w:sz w:val="28"/>
          <w:szCs w:val="28"/>
          <w:lang w:val="uk-UA" w:eastAsia="uk-UA"/>
        </w:rPr>
        <w:t>9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F43299">
        <w:rPr>
          <w:b/>
          <w:color w:val="000000"/>
          <w:sz w:val="28"/>
          <w:szCs w:val="28"/>
          <w:lang w:val="uk-UA" w:eastAsia="uk-UA"/>
        </w:rPr>
        <w:lastRenderedPageBreak/>
        <w:t>9,8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Pr="00FB67CB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з них 5 запитів або 55,5</w:t>
      </w:r>
      <w:r w:rsidRPr="00A96C47">
        <w:rPr>
          <w:color w:val="000000"/>
          <w:sz w:val="28"/>
          <w:szCs w:val="28"/>
          <w:lang w:val="uk-UA" w:eastAsia="uk-UA"/>
        </w:rPr>
        <w:t>% надіслано для розгляду належним розпорядникам інформації),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C6B67">
        <w:rPr>
          <w:color w:val="000000"/>
          <w:sz w:val="28"/>
          <w:szCs w:val="28"/>
          <w:lang w:val="uk-UA" w:eastAsia="uk-UA"/>
        </w:rPr>
        <w:t>Департамент</w:t>
      </w:r>
      <w:r w:rsidRPr="000876A7">
        <w:rPr>
          <w:color w:val="000000"/>
          <w:sz w:val="28"/>
          <w:szCs w:val="28"/>
          <w:lang w:val="uk-UA" w:eastAsia="uk-UA"/>
        </w:rPr>
        <w:t>у</w:t>
      </w:r>
      <w:r w:rsidRPr="00FC6B67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</w:t>
      </w:r>
      <w:r w:rsidRPr="000876A7">
        <w:rPr>
          <w:color w:val="000000"/>
          <w:sz w:val="28"/>
          <w:szCs w:val="28"/>
          <w:lang w:val="uk-UA" w:eastAsia="uk-UA"/>
        </w:rPr>
        <w:t>ва з питань земельних відносин</w:t>
      </w:r>
      <w:r>
        <w:rPr>
          <w:color w:val="000000"/>
          <w:sz w:val="28"/>
          <w:szCs w:val="28"/>
          <w:lang w:val="uk-UA" w:eastAsia="uk-UA"/>
        </w:rPr>
        <w:t xml:space="preserve"> (</w:t>
      </w:r>
      <w:r>
        <w:rPr>
          <w:b/>
          <w:color w:val="000000"/>
          <w:sz w:val="28"/>
          <w:szCs w:val="28"/>
          <w:lang w:val="uk-UA" w:eastAsia="uk-UA"/>
        </w:rPr>
        <w:t>5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FE19BF">
        <w:rPr>
          <w:color w:val="000000"/>
          <w:sz w:val="28"/>
          <w:szCs w:val="28"/>
          <w:lang w:val="uk-UA" w:eastAsia="uk-UA"/>
        </w:rPr>
        <w:t xml:space="preserve"> або </w:t>
      </w:r>
      <w:r>
        <w:rPr>
          <w:b/>
          <w:color w:val="000000"/>
          <w:sz w:val="28"/>
          <w:szCs w:val="28"/>
          <w:lang w:val="uk-UA" w:eastAsia="uk-UA"/>
        </w:rPr>
        <w:t>5,4</w:t>
      </w:r>
      <w:r w:rsidRPr="00FE19BF">
        <w:rPr>
          <w:b/>
          <w:color w:val="000000"/>
          <w:sz w:val="28"/>
          <w:szCs w:val="28"/>
          <w:lang w:val="uk-UA" w:eastAsia="uk-UA"/>
        </w:rPr>
        <w:t>%</w:t>
      </w:r>
      <w:r w:rsidRPr="00FE19BF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0876A7">
        <w:rPr>
          <w:color w:val="000000"/>
          <w:sz w:val="28"/>
          <w:szCs w:val="28"/>
          <w:lang w:val="uk-UA" w:eastAsia="uk-UA"/>
        </w:rPr>
        <w:t>Департамент</w:t>
      </w:r>
      <w:r w:rsidR="005E7386">
        <w:rPr>
          <w:color w:val="000000"/>
          <w:sz w:val="28"/>
          <w:szCs w:val="28"/>
          <w:lang w:val="uk-UA" w:eastAsia="uk-UA"/>
        </w:rPr>
        <w:t>у</w:t>
      </w:r>
      <w:r w:rsidRPr="000876A7">
        <w:rPr>
          <w:color w:val="000000"/>
          <w:sz w:val="28"/>
          <w:szCs w:val="28"/>
          <w:lang w:val="uk-UA" w:eastAsia="uk-UA"/>
        </w:rPr>
        <w:t xml:space="preserve"> судової роботи та експер</w:t>
      </w:r>
      <w:r>
        <w:rPr>
          <w:color w:val="000000"/>
          <w:sz w:val="28"/>
          <w:szCs w:val="28"/>
          <w:lang w:val="uk-UA" w:eastAsia="uk-UA"/>
        </w:rPr>
        <w:t>тного забезпечення правосуддя (</w:t>
      </w:r>
      <w:r>
        <w:rPr>
          <w:b/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val="uk-UA" w:eastAsia="uk-UA"/>
        </w:rPr>
        <w:t xml:space="preserve"> запити </w:t>
      </w:r>
      <w:r w:rsidRPr="00A96C47">
        <w:rPr>
          <w:color w:val="000000"/>
          <w:sz w:val="28"/>
          <w:szCs w:val="28"/>
          <w:lang w:val="uk-UA" w:eastAsia="uk-UA"/>
        </w:rPr>
        <w:t xml:space="preserve">або </w:t>
      </w:r>
      <w:r>
        <w:rPr>
          <w:b/>
          <w:color w:val="000000"/>
          <w:sz w:val="28"/>
          <w:szCs w:val="28"/>
          <w:lang w:val="uk-UA" w:eastAsia="uk-UA"/>
        </w:rPr>
        <w:t>4,3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Pr="000876A7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C6B67">
        <w:rPr>
          <w:color w:val="000000"/>
          <w:sz w:val="28"/>
          <w:szCs w:val="28"/>
          <w:lang w:val="uk-UA" w:eastAsia="uk-UA"/>
        </w:rPr>
        <w:t>Департамент</w:t>
      </w:r>
      <w:r w:rsidRPr="000876A7">
        <w:rPr>
          <w:color w:val="000000"/>
          <w:sz w:val="28"/>
          <w:szCs w:val="28"/>
          <w:lang w:val="uk-UA" w:eastAsia="uk-UA"/>
        </w:rPr>
        <w:t>у</w:t>
      </w:r>
      <w:r w:rsidRPr="00FC6B67">
        <w:rPr>
          <w:color w:val="000000"/>
          <w:sz w:val="28"/>
          <w:szCs w:val="28"/>
          <w:lang w:val="uk-UA" w:eastAsia="uk-UA"/>
        </w:rPr>
        <w:t xml:space="preserve"> з питань банкрутства</w:t>
      </w:r>
      <w:r>
        <w:rPr>
          <w:color w:val="000000"/>
          <w:sz w:val="28"/>
          <w:szCs w:val="28"/>
          <w:lang w:val="uk-UA" w:eastAsia="uk-UA"/>
        </w:rPr>
        <w:t xml:space="preserve"> (</w:t>
      </w:r>
      <w:r>
        <w:rPr>
          <w:b/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запити </w:t>
      </w:r>
      <w:r w:rsidRPr="00A96C47">
        <w:rPr>
          <w:color w:val="000000"/>
          <w:sz w:val="28"/>
          <w:szCs w:val="28"/>
          <w:lang w:val="uk-UA" w:eastAsia="uk-UA"/>
        </w:rPr>
        <w:t xml:space="preserve">або </w:t>
      </w:r>
      <w:r>
        <w:rPr>
          <w:b/>
          <w:color w:val="000000"/>
          <w:sz w:val="28"/>
          <w:szCs w:val="28"/>
          <w:lang w:val="uk-UA" w:eastAsia="uk-UA"/>
        </w:rPr>
        <w:t>3,3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Pr="000876A7">
        <w:rPr>
          <w:color w:val="000000"/>
          <w:sz w:val="28"/>
          <w:szCs w:val="28"/>
          <w:lang w:val="uk-UA" w:eastAsia="uk-UA"/>
        </w:rPr>
        <w:t>),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FE19BF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FC6B67">
        <w:rPr>
          <w:color w:val="000000"/>
          <w:sz w:val="28"/>
          <w:szCs w:val="28"/>
          <w:lang w:val="uk-UA" w:eastAsia="uk-UA"/>
        </w:rPr>
        <w:t>Департамент</w:t>
      </w:r>
      <w:r w:rsidRPr="000876A7">
        <w:rPr>
          <w:color w:val="000000"/>
          <w:sz w:val="28"/>
          <w:szCs w:val="28"/>
          <w:lang w:val="uk-UA" w:eastAsia="uk-UA"/>
        </w:rPr>
        <w:t>у</w:t>
      </w:r>
      <w:r w:rsidRPr="00FC6B67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</w:t>
      </w:r>
      <w:r w:rsidRPr="000876A7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8B719D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8B719D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</w:t>
      </w:r>
      <w:r w:rsidR="0004082E">
        <w:rPr>
          <w:color w:val="000000"/>
          <w:sz w:val="28"/>
          <w:szCs w:val="28"/>
          <w:lang w:val="uk-UA" w:eastAsia="uk-UA"/>
        </w:rPr>
        <w:t xml:space="preserve"> </w:t>
      </w:r>
      <w:r w:rsidR="0004082E" w:rsidRPr="00FE19BF">
        <w:rPr>
          <w:color w:val="000000"/>
          <w:sz w:val="28"/>
          <w:szCs w:val="28"/>
          <w:lang w:val="uk-UA" w:eastAsia="uk-UA"/>
        </w:rPr>
        <w:t>(</w:t>
      </w:r>
      <w:r w:rsidR="0004082E">
        <w:rPr>
          <w:color w:val="000000"/>
          <w:sz w:val="28"/>
          <w:szCs w:val="28"/>
          <w:lang w:val="uk-UA" w:eastAsia="uk-UA"/>
        </w:rPr>
        <w:t xml:space="preserve">по </w:t>
      </w:r>
      <w:r w:rsidR="0004082E" w:rsidRPr="00FE19BF">
        <w:rPr>
          <w:b/>
          <w:color w:val="000000"/>
          <w:sz w:val="28"/>
          <w:szCs w:val="28"/>
          <w:lang w:val="uk-UA" w:eastAsia="uk-UA"/>
        </w:rPr>
        <w:t>2</w:t>
      </w:r>
      <w:r w:rsidR="0004082E" w:rsidRPr="00FE19BF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04082E">
        <w:rPr>
          <w:b/>
          <w:color w:val="000000"/>
          <w:sz w:val="28"/>
          <w:szCs w:val="28"/>
          <w:lang w:val="uk-UA" w:eastAsia="uk-UA"/>
        </w:rPr>
        <w:t>2,2</w:t>
      </w:r>
      <w:r w:rsidR="0004082E" w:rsidRPr="00FE19BF">
        <w:rPr>
          <w:b/>
          <w:color w:val="000000"/>
          <w:sz w:val="28"/>
          <w:szCs w:val="28"/>
          <w:lang w:val="uk-UA" w:eastAsia="uk-UA"/>
        </w:rPr>
        <w:t>%</w:t>
      </w:r>
      <w:r w:rsidR="0004082E" w:rsidRPr="00FE19BF">
        <w:rPr>
          <w:color w:val="000000"/>
          <w:sz w:val="28"/>
          <w:szCs w:val="28"/>
          <w:lang w:val="uk-UA" w:eastAsia="uk-UA"/>
        </w:rPr>
        <w:t>),</w:t>
      </w:r>
      <w:r w:rsidR="0004082E">
        <w:rPr>
          <w:color w:val="000000"/>
          <w:sz w:val="28"/>
          <w:szCs w:val="28"/>
          <w:lang w:val="uk-UA" w:eastAsia="uk-UA"/>
        </w:rPr>
        <w:t xml:space="preserve"> </w:t>
      </w:r>
      <w:r w:rsidR="0004082E" w:rsidRPr="00A96C47"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04082E" w:rsidRPr="00A96C47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04082E" w:rsidRPr="00A96C47">
        <w:rPr>
          <w:color w:val="000000"/>
          <w:sz w:val="28"/>
          <w:szCs w:val="28"/>
          <w:lang w:val="uk-UA" w:eastAsia="uk-UA"/>
        </w:rPr>
        <w:t xml:space="preserve"> діяльності</w:t>
      </w:r>
      <w:r w:rsidR="0004082E">
        <w:rPr>
          <w:color w:val="000000"/>
          <w:sz w:val="28"/>
          <w:szCs w:val="28"/>
          <w:lang w:val="uk-UA" w:eastAsia="uk-UA"/>
        </w:rPr>
        <w:t xml:space="preserve">, </w:t>
      </w:r>
      <w:r w:rsidR="0004082E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4082E" w:rsidRPr="000876A7">
        <w:rPr>
          <w:color w:val="000000"/>
          <w:sz w:val="28"/>
          <w:szCs w:val="28"/>
          <w:lang w:val="uk-UA" w:eastAsia="uk-UA"/>
        </w:rPr>
        <w:t>у юстиції та безпеки,</w:t>
      </w:r>
      <w:r w:rsidR="0004082E">
        <w:rPr>
          <w:color w:val="000000"/>
          <w:sz w:val="28"/>
          <w:szCs w:val="28"/>
          <w:lang w:val="uk-UA" w:eastAsia="uk-UA"/>
        </w:rPr>
        <w:t xml:space="preserve"> </w:t>
      </w:r>
      <w:r w:rsidR="0004082E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4082E" w:rsidRPr="000876A7">
        <w:rPr>
          <w:color w:val="000000"/>
          <w:sz w:val="28"/>
          <w:szCs w:val="28"/>
          <w:lang w:val="uk-UA" w:eastAsia="uk-UA"/>
        </w:rPr>
        <w:t>у</w:t>
      </w:r>
      <w:r w:rsidR="0004082E" w:rsidRPr="00FC6B67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</w:t>
      </w:r>
      <w:r w:rsidR="0004082E" w:rsidRPr="000876A7">
        <w:rPr>
          <w:color w:val="000000"/>
          <w:sz w:val="28"/>
          <w:szCs w:val="28"/>
          <w:lang w:val="uk-UA" w:eastAsia="uk-UA"/>
        </w:rPr>
        <w:t>,</w:t>
      </w:r>
      <w:r w:rsidR="0004082E">
        <w:rPr>
          <w:color w:val="000000"/>
          <w:sz w:val="28"/>
          <w:szCs w:val="28"/>
          <w:lang w:val="uk-UA" w:eastAsia="uk-UA"/>
        </w:rPr>
        <w:t xml:space="preserve"> </w:t>
      </w:r>
      <w:r w:rsidR="0004082E" w:rsidRPr="0004082E">
        <w:rPr>
          <w:color w:val="000000"/>
          <w:sz w:val="28"/>
          <w:szCs w:val="28"/>
          <w:lang w:val="uk-UA" w:eastAsia="uk-UA"/>
        </w:rPr>
        <w:t>Департамент</w:t>
      </w:r>
      <w:r w:rsidR="0004082E">
        <w:rPr>
          <w:color w:val="000000"/>
          <w:sz w:val="28"/>
          <w:szCs w:val="28"/>
          <w:lang w:val="uk-UA" w:eastAsia="uk-UA"/>
        </w:rPr>
        <w:t>у</w:t>
      </w:r>
      <w:r w:rsidR="0004082E" w:rsidRPr="0004082E">
        <w:rPr>
          <w:color w:val="000000"/>
          <w:sz w:val="28"/>
          <w:szCs w:val="28"/>
          <w:lang w:val="uk-UA" w:eastAsia="uk-UA"/>
        </w:rPr>
        <w:t xml:space="preserve"> міжнародного права, повернення активів та відшкодування втрат, завданих тимчасовою окупацією Автономної Республіки Крим</w:t>
      </w:r>
      <w:r w:rsidR="0004082E">
        <w:rPr>
          <w:color w:val="000000"/>
          <w:sz w:val="28"/>
          <w:szCs w:val="28"/>
          <w:lang w:val="uk-UA" w:eastAsia="uk-UA"/>
        </w:rPr>
        <w:t xml:space="preserve">, </w:t>
      </w:r>
      <w:r w:rsidR="0004082E" w:rsidRPr="0004082E">
        <w:rPr>
          <w:color w:val="000000"/>
          <w:sz w:val="28"/>
          <w:szCs w:val="28"/>
          <w:lang w:val="uk-UA" w:eastAsia="uk-UA"/>
        </w:rPr>
        <w:t>Департамент</w:t>
      </w:r>
      <w:r w:rsidR="0004082E">
        <w:rPr>
          <w:color w:val="000000"/>
          <w:sz w:val="28"/>
          <w:szCs w:val="28"/>
          <w:lang w:val="uk-UA" w:eastAsia="uk-UA"/>
        </w:rPr>
        <w:t>у</w:t>
      </w:r>
      <w:r w:rsidR="0004082E" w:rsidRPr="0004082E">
        <w:rPr>
          <w:color w:val="000000"/>
          <w:sz w:val="28"/>
          <w:szCs w:val="28"/>
          <w:lang w:val="uk-UA" w:eastAsia="uk-UA"/>
        </w:rPr>
        <w:t xml:space="preserve"> з питань імплементації Угоди про асоціацію з ЄС, правової експертизи міжнародних договорів та міжнародного співробітництва</w:t>
      </w:r>
      <w:r w:rsidR="0004082E">
        <w:rPr>
          <w:color w:val="000000"/>
          <w:sz w:val="28"/>
          <w:szCs w:val="28"/>
          <w:lang w:val="uk-UA" w:eastAsia="uk-UA"/>
        </w:rPr>
        <w:t>, Урядового уповноваженого</w:t>
      </w:r>
      <w:r w:rsidR="0004082E" w:rsidRPr="0004082E">
        <w:rPr>
          <w:color w:val="000000"/>
          <w:sz w:val="28"/>
          <w:szCs w:val="28"/>
          <w:lang w:val="uk-UA" w:eastAsia="uk-UA"/>
        </w:rPr>
        <w:t xml:space="preserve"> у справах Європейського суду з прав людини</w:t>
      </w:r>
      <w:r w:rsidR="0004082E">
        <w:rPr>
          <w:color w:val="000000"/>
          <w:sz w:val="28"/>
          <w:szCs w:val="28"/>
          <w:lang w:val="uk-UA" w:eastAsia="uk-UA"/>
        </w:rPr>
        <w:t xml:space="preserve"> </w:t>
      </w:r>
      <w:r w:rsidR="0004082E" w:rsidRPr="000876A7">
        <w:rPr>
          <w:color w:val="000000"/>
          <w:sz w:val="28"/>
          <w:szCs w:val="28"/>
          <w:lang w:val="uk-UA" w:eastAsia="uk-UA"/>
        </w:rPr>
        <w:t xml:space="preserve">(по </w:t>
      </w:r>
      <w:r w:rsidR="0004082E" w:rsidRPr="000876A7">
        <w:rPr>
          <w:b/>
          <w:color w:val="000000"/>
          <w:sz w:val="28"/>
          <w:szCs w:val="28"/>
          <w:lang w:val="uk-UA" w:eastAsia="uk-UA"/>
        </w:rPr>
        <w:t>1</w:t>
      </w:r>
      <w:r w:rsidR="0004082E" w:rsidRPr="000876A7">
        <w:rPr>
          <w:color w:val="000000"/>
          <w:sz w:val="28"/>
          <w:szCs w:val="28"/>
          <w:lang w:val="uk-UA" w:eastAsia="uk-UA"/>
        </w:rPr>
        <w:t xml:space="preserve"> запиту або </w:t>
      </w:r>
      <w:r w:rsidR="0004082E">
        <w:rPr>
          <w:b/>
          <w:color w:val="000000"/>
          <w:sz w:val="28"/>
          <w:szCs w:val="28"/>
          <w:lang w:val="uk-UA" w:eastAsia="uk-UA"/>
        </w:rPr>
        <w:t>1</w:t>
      </w:r>
      <w:r w:rsidR="0004082E" w:rsidRPr="000876A7">
        <w:rPr>
          <w:b/>
          <w:color w:val="000000"/>
          <w:sz w:val="28"/>
          <w:szCs w:val="28"/>
          <w:lang w:val="uk-UA" w:eastAsia="uk-UA"/>
        </w:rPr>
        <w:t>,1%</w:t>
      </w:r>
      <w:r w:rsidR="0004082E" w:rsidRPr="000876A7">
        <w:rPr>
          <w:color w:val="000000"/>
          <w:sz w:val="28"/>
          <w:szCs w:val="28"/>
          <w:lang w:val="uk-UA" w:eastAsia="uk-UA"/>
        </w:rPr>
        <w:t>)</w:t>
      </w:r>
      <w:r w:rsidR="0004082E">
        <w:rPr>
          <w:color w:val="000000"/>
          <w:sz w:val="28"/>
          <w:szCs w:val="28"/>
          <w:lang w:val="uk-UA" w:eastAsia="uk-UA"/>
        </w:rPr>
        <w:t>.</w:t>
      </w:r>
      <w:r w:rsidR="0004082E" w:rsidRPr="00FC6B67">
        <w:rPr>
          <w:color w:val="000000"/>
          <w:lang w:val="uk-UA" w:eastAsia="uk-UA"/>
        </w:rPr>
        <w:t xml:space="preserve"> </w:t>
      </w:r>
      <w:r w:rsidR="0004082E" w:rsidRPr="00FC6B67">
        <w:rPr>
          <w:sz w:val="28"/>
          <w:szCs w:val="28"/>
          <w:lang w:val="uk-UA"/>
        </w:rPr>
        <w:t xml:space="preserve"> </w:t>
      </w:r>
    </w:p>
    <w:p w:rsidR="008B719D" w:rsidRDefault="008B719D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A405B" w:rsidRPr="00FE19BF" w:rsidRDefault="00F43299" w:rsidP="001E67E5">
      <w:pPr>
        <w:pStyle w:val="a6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F43299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743575" cy="7877175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C83" w:rsidRPr="00FE19BF" w:rsidRDefault="0004082E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92</w:t>
      </w:r>
      <w:r w:rsidR="005E1C83" w:rsidRPr="00FE19BF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="005E1C83" w:rsidRPr="00FE19B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</w:t>
      </w:r>
      <w:r w:rsidR="005002F7" w:rsidRPr="00FE19B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FE19BF">
        <w:rPr>
          <w:b/>
          <w:sz w:val="28"/>
          <w:szCs w:val="28"/>
          <w:lang w:val="uk-UA"/>
        </w:rPr>
        <w:t xml:space="preserve"> </w:t>
      </w:r>
      <w:r w:rsidR="0004082E">
        <w:rPr>
          <w:b/>
          <w:sz w:val="28"/>
          <w:szCs w:val="28"/>
          <w:lang w:val="uk-UA"/>
        </w:rPr>
        <w:t>36</w:t>
      </w:r>
      <w:r w:rsidR="00FE19BF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>запитів (</w:t>
      </w:r>
      <w:r w:rsidR="00F8453A">
        <w:rPr>
          <w:b/>
          <w:sz w:val="28"/>
          <w:szCs w:val="28"/>
          <w:lang w:val="uk-UA"/>
        </w:rPr>
        <w:t>39,1</w:t>
      </w:r>
      <w:r w:rsidRPr="00FE19BF">
        <w:rPr>
          <w:b/>
          <w:sz w:val="28"/>
          <w:szCs w:val="28"/>
          <w:lang w:val="uk-UA"/>
        </w:rPr>
        <w:t>%), із них: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 xml:space="preserve">на </w:t>
      </w:r>
      <w:r w:rsidR="00F8453A">
        <w:rPr>
          <w:b/>
          <w:sz w:val="28"/>
          <w:szCs w:val="28"/>
          <w:lang w:val="uk-UA"/>
        </w:rPr>
        <w:t>4</w:t>
      </w:r>
      <w:r w:rsidRPr="00FE19BF">
        <w:rPr>
          <w:b/>
          <w:sz w:val="28"/>
          <w:szCs w:val="28"/>
          <w:lang w:val="uk-UA"/>
        </w:rPr>
        <w:t xml:space="preserve"> </w:t>
      </w:r>
      <w:r w:rsidR="005002F7" w:rsidRPr="00FE19BF">
        <w:rPr>
          <w:sz w:val="28"/>
          <w:szCs w:val="28"/>
          <w:lang w:val="uk-UA"/>
        </w:rPr>
        <w:t>запити</w:t>
      </w:r>
      <w:r w:rsidRPr="00FE19BF">
        <w:rPr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>(</w:t>
      </w:r>
      <w:r w:rsidR="00F8453A">
        <w:rPr>
          <w:b/>
          <w:sz w:val="28"/>
          <w:szCs w:val="28"/>
          <w:lang w:val="uk-UA"/>
        </w:rPr>
        <w:t>4,3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>на</w:t>
      </w:r>
      <w:r w:rsidR="002549C3" w:rsidRPr="00FE19BF">
        <w:rPr>
          <w:sz w:val="28"/>
          <w:szCs w:val="28"/>
          <w:lang w:val="uk-UA"/>
        </w:rPr>
        <w:t xml:space="preserve"> </w:t>
      </w:r>
      <w:r w:rsidR="00F8453A">
        <w:rPr>
          <w:b/>
          <w:sz w:val="28"/>
          <w:szCs w:val="28"/>
          <w:lang w:val="uk-UA"/>
        </w:rPr>
        <w:t>32</w:t>
      </w:r>
      <w:r w:rsidRPr="00FE19BF">
        <w:rPr>
          <w:b/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>запит</w:t>
      </w:r>
      <w:r w:rsidR="00F8453A">
        <w:rPr>
          <w:sz w:val="28"/>
          <w:szCs w:val="28"/>
          <w:lang w:val="uk-UA"/>
        </w:rPr>
        <w:t>и</w:t>
      </w:r>
      <w:r w:rsidRPr="00FE19BF">
        <w:rPr>
          <w:sz w:val="28"/>
          <w:szCs w:val="28"/>
          <w:lang w:val="uk-UA"/>
        </w:rPr>
        <w:t xml:space="preserve"> </w:t>
      </w:r>
      <w:r w:rsidR="00F8453A">
        <w:rPr>
          <w:b/>
          <w:sz w:val="28"/>
          <w:szCs w:val="28"/>
          <w:lang w:val="uk-UA"/>
        </w:rPr>
        <w:t>(34,8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FE19B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lastRenderedPageBreak/>
        <w:t>- розглянуто в межах компетенції у Міністерстві юстиції, надано відповідь та</w:t>
      </w:r>
      <w:r w:rsidR="007616C9">
        <w:rPr>
          <w:b/>
          <w:sz w:val="28"/>
          <w:szCs w:val="28"/>
          <w:lang w:val="uk-UA"/>
        </w:rPr>
        <w:t xml:space="preserve"> надіслано для розгляду належн</w:t>
      </w:r>
      <w:r w:rsidR="007616C9" w:rsidRPr="007616C9">
        <w:rPr>
          <w:b/>
          <w:sz w:val="28"/>
          <w:szCs w:val="28"/>
          <w:lang w:val="uk-UA"/>
        </w:rPr>
        <w:t>ому</w:t>
      </w:r>
      <w:r w:rsidR="007616C9">
        <w:rPr>
          <w:b/>
          <w:sz w:val="28"/>
          <w:szCs w:val="28"/>
          <w:lang w:val="uk-UA"/>
        </w:rPr>
        <w:t xml:space="preserve"> розпоряднику</w:t>
      </w:r>
      <w:r w:rsidRPr="00FE19BF">
        <w:rPr>
          <w:b/>
          <w:sz w:val="28"/>
          <w:szCs w:val="28"/>
          <w:lang w:val="uk-UA"/>
        </w:rPr>
        <w:t xml:space="preserve"> </w:t>
      </w:r>
      <w:r w:rsidR="00F8453A">
        <w:rPr>
          <w:b/>
          <w:sz w:val="28"/>
          <w:szCs w:val="28"/>
          <w:lang w:val="uk-UA"/>
        </w:rPr>
        <w:t>3</w:t>
      </w:r>
      <w:r w:rsidRPr="00FE19BF">
        <w:rPr>
          <w:b/>
          <w:sz w:val="28"/>
          <w:szCs w:val="28"/>
          <w:lang w:val="uk-UA"/>
        </w:rPr>
        <w:t xml:space="preserve"> запит</w:t>
      </w:r>
      <w:r w:rsidR="00F8453A">
        <w:rPr>
          <w:b/>
          <w:sz w:val="28"/>
          <w:szCs w:val="28"/>
          <w:lang w:val="uk-UA"/>
        </w:rPr>
        <w:t>и</w:t>
      </w:r>
      <w:r w:rsidRPr="00FE19BF">
        <w:rPr>
          <w:b/>
          <w:sz w:val="28"/>
          <w:szCs w:val="28"/>
          <w:lang w:val="uk-UA"/>
        </w:rPr>
        <w:t xml:space="preserve"> (</w:t>
      </w:r>
      <w:r w:rsidR="00F8453A">
        <w:rPr>
          <w:b/>
          <w:sz w:val="28"/>
          <w:szCs w:val="28"/>
          <w:lang w:val="uk-UA"/>
        </w:rPr>
        <w:t>3</w:t>
      </w:r>
      <w:r w:rsidR="005002F7" w:rsidRPr="00FE19BF">
        <w:rPr>
          <w:b/>
          <w:sz w:val="28"/>
          <w:szCs w:val="28"/>
          <w:lang w:val="uk-UA"/>
        </w:rPr>
        <w:t>,3</w:t>
      </w:r>
      <w:r w:rsidRPr="00FE19BF">
        <w:rPr>
          <w:b/>
          <w:sz w:val="28"/>
          <w:szCs w:val="28"/>
          <w:lang w:val="uk-UA"/>
        </w:rPr>
        <w:t>%);</w:t>
      </w:r>
    </w:p>
    <w:p w:rsidR="005E1C83" w:rsidRDefault="005E1C83" w:rsidP="005002F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- надіслано для розгляду </w:t>
      </w:r>
      <w:r w:rsidR="00F8453A">
        <w:rPr>
          <w:b/>
          <w:sz w:val="28"/>
          <w:szCs w:val="28"/>
          <w:lang w:val="uk-UA"/>
        </w:rPr>
        <w:t>до Державної реєстраційної</w:t>
      </w:r>
      <w:r w:rsidR="005002F7" w:rsidRPr="00FE19BF">
        <w:rPr>
          <w:b/>
          <w:sz w:val="28"/>
          <w:szCs w:val="28"/>
          <w:lang w:val="uk-UA"/>
        </w:rPr>
        <w:t xml:space="preserve"> служби України</w:t>
      </w:r>
      <w:r w:rsidR="005002F7" w:rsidRPr="00FE19BF">
        <w:rPr>
          <w:sz w:val="28"/>
          <w:szCs w:val="28"/>
          <w:lang w:val="uk-UA"/>
        </w:rPr>
        <w:t xml:space="preserve"> </w:t>
      </w:r>
      <w:r w:rsidR="00F8453A">
        <w:rPr>
          <w:b/>
          <w:sz w:val="28"/>
          <w:szCs w:val="28"/>
          <w:lang w:val="uk-UA"/>
        </w:rPr>
        <w:t>6</w:t>
      </w:r>
      <w:r w:rsidR="005002F7" w:rsidRPr="00FE19BF">
        <w:rPr>
          <w:b/>
          <w:sz w:val="28"/>
          <w:szCs w:val="28"/>
          <w:lang w:val="uk-UA"/>
        </w:rPr>
        <w:t xml:space="preserve"> запит</w:t>
      </w:r>
      <w:r w:rsidR="00F8453A">
        <w:rPr>
          <w:b/>
          <w:sz w:val="28"/>
          <w:szCs w:val="28"/>
          <w:lang w:val="uk-UA"/>
        </w:rPr>
        <w:t>ів</w:t>
      </w:r>
      <w:r w:rsidRPr="00FE19BF">
        <w:rPr>
          <w:b/>
          <w:sz w:val="28"/>
          <w:szCs w:val="28"/>
          <w:lang w:val="uk-UA"/>
        </w:rPr>
        <w:t xml:space="preserve"> (</w:t>
      </w:r>
      <w:r w:rsidR="00F8453A">
        <w:rPr>
          <w:b/>
          <w:sz w:val="28"/>
          <w:szCs w:val="28"/>
          <w:lang w:val="uk-UA"/>
        </w:rPr>
        <w:t>6,5</w:t>
      </w:r>
      <w:r w:rsidRPr="00FE19BF">
        <w:rPr>
          <w:b/>
          <w:sz w:val="28"/>
          <w:szCs w:val="28"/>
          <w:lang w:val="uk-UA"/>
        </w:rPr>
        <w:t>%)</w:t>
      </w:r>
    </w:p>
    <w:p w:rsidR="00F8453A" w:rsidRDefault="00F8453A" w:rsidP="005002F7">
      <w:pPr>
        <w:ind w:firstLine="426"/>
        <w:jc w:val="both"/>
        <w:rPr>
          <w:b/>
          <w:sz w:val="28"/>
          <w:szCs w:val="28"/>
          <w:lang w:val="uk-UA"/>
        </w:rPr>
      </w:pPr>
    </w:p>
    <w:p w:rsidR="00F8453A" w:rsidRPr="00FE19BF" w:rsidRDefault="00F8453A" w:rsidP="005002F7">
      <w:pPr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 н</w:t>
      </w:r>
      <w:r w:rsidRPr="00F8453A">
        <w:rPr>
          <w:b/>
          <w:sz w:val="28"/>
          <w:szCs w:val="28"/>
          <w:lang w:val="uk-UA"/>
        </w:rPr>
        <w:t>адіслано за належністю до інших розпорядників інформації для розгляду та надання відповіді 47 запитів або 51,1%</w:t>
      </w:r>
    </w:p>
    <w:p w:rsidR="005E1C83" w:rsidRPr="00FE19BF" w:rsidRDefault="003C7C99" w:rsidP="000876A7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334125" cy="5076825"/>
            <wp:effectExtent l="0" t="0" r="0" b="0"/>
            <wp:docPr id="11" name="Діагра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 </w:t>
      </w:r>
      <w:proofErr w:type="spellStart"/>
      <w:r w:rsidRPr="00FE19BF">
        <w:rPr>
          <w:b/>
          <w:sz w:val="28"/>
          <w:szCs w:val="28"/>
          <w:lang w:val="uk-UA"/>
        </w:rPr>
        <w:t>правоосвітньої</w:t>
      </w:r>
      <w:proofErr w:type="spellEnd"/>
      <w:r w:rsidRPr="00FE19BF">
        <w:rPr>
          <w:b/>
          <w:sz w:val="28"/>
          <w:szCs w:val="28"/>
          <w:lang w:val="uk-UA"/>
        </w:rPr>
        <w:t xml:space="preserve"> діяльності»</w:t>
      </w:r>
    </w:p>
    <w:p w:rsidR="001E5BC3" w:rsidRPr="00FE19B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FE19B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22C" w:rsidRDefault="00F8122C" w:rsidP="00BB617A">
      <w:r>
        <w:separator/>
      </w:r>
    </w:p>
  </w:endnote>
  <w:endnote w:type="continuationSeparator" w:id="0">
    <w:p w:rsidR="00F8122C" w:rsidRDefault="00F8122C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22C" w:rsidRDefault="00F8122C" w:rsidP="00BB617A">
      <w:r>
        <w:separator/>
      </w:r>
    </w:p>
  </w:footnote>
  <w:footnote w:type="continuationSeparator" w:id="0">
    <w:p w:rsidR="00F8122C" w:rsidRDefault="00F8122C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3F72"/>
    <w:rsid w:val="00035A3E"/>
    <w:rsid w:val="00035C76"/>
    <w:rsid w:val="000361D7"/>
    <w:rsid w:val="0004082E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556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0F47"/>
    <w:rsid w:val="006B1327"/>
    <w:rsid w:val="006B14B1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07F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8F723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C6B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65BB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22C"/>
    <w:rsid w:val="00F81561"/>
    <w:rsid w:val="00F8453A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50;&#1086;&#1087;&#1110;&#1103;%20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50;&#1086;&#1087;&#1110;&#1103;%2004-12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50;&#1086;&#1087;&#1110;&#1103;%20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19E-2"/>
                  <c:y val="2.8435039370078775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'25.08.2014-29.08.2014 (8)'!$B$99:$B$100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'25.08.2014-29.08.2014 (8)'!$C$99:$C$100</c:f>
              <c:numCache>
                <c:formatCode>General</c:formatCode>
                <c:ptCount val="2"/>
                <c:pt idx="0">
                  <c:v>65</c:v>
                </c:pt>
                <c:pt idx="1">
                  <c:v>27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16"/>
      <c:perspective val="0"/>
    </c:view3D>
    <c:plotArea>
      <c:layout>
        <c:manualLayout>
          <c:layoutTarget val="inner"/>
          <c:xMode val="edge"/>
          <c:yMode val="edge"/>
          <c:x val="0.15206555366146346"/>
          <c:y val="9.3412599594315732E-4"/>
          <c:w val="0.69236518115647916"/>
          <c:h val="0.40912801267325016"/>
        </c:manualLayout>
      </c:layout>
      <c:pie3DChart>
        <c:varyColors val="1"/>
        <c:ser>
          <c:idx val="0"/>
          <c:order val="0"/>
          <c:explosion val="3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51%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-4.547627422860813E-2"/>
                  <c:y val="-4.4743091324110978E-3"/>
                </c:manualLayout>
              </c:layout>
              <c:showPercent val="1"/>
            </c:dLbl>
            <c:dLbl>
              <c:idx val="2"/>
              <c:layout>
                <c:manualLayout>
                  <c:x val="-6.1321716228770383E-2"/>
                  <c:y val="-3.9146159361658737E-2"/>
                </c:manualLayout>
              </c:layout>
              <c:showPercent val="1"/>
            </c:dLbl>
            <c:dLbl>
              <c:idx val="3"/>
              <c:layout>
                <c:manualLayout>
                  <c:x val="-9.9533511919257522E-2"/>
                  <c:y val="-1.1139265486551024E-2"/>
                </c:manualLayout>
              </c:layout>
              <c:showPercent val="1"/>
            </c:dLbl>
            <c:dLbl>
              <c:idx val="4"/>
              <c:layout>
                <c:manualLayout>
                  <c:x val="-0.10637678022206007"/>
                  <c:y val="-3.9192732487386445E-2"/>
                </c:manualLayout>
              </c:layout>
              <c:showPercent val="1"/>
            </c:dLbl>
            <c:dLbl>
              <c:idx val="5"/>
              <c:layout>
                <c:manualLayout>
                  <c:x val="-9.2650918635170665E-2"/>
                  <c:y val="-5.3816562403383804E-2"/>
                </c:manualLayout>
              </c:layout>
              <c:showPercent val="1"/>
            </c:dLbl>
            <c:dLbl>
              <c:idx val="6"/>
              <c:layout>
                <c:manualLayout>
                  <c:x val="-5.8563375454356872E-2"/>
                  <c:y val="-6.233062972391628E-2"/>
                </c:manualLayout>
              </c:layout>
              <c:showPercent val="1"/>
            </c:dLbl>
            <c:dLbl>
              <c:idx val="7"/>
              <c:layout>
                <c:manualLayout>
                  <c:x val="-2.3421273371756392E-2"/>
                  <c:y val="-6.4575875383998046E-2"/>
                </c:manualLayout>
              </c:layout>
              <c:showPercent val="1"/>
            </c:dLbl>
            <c:dLbl>
              <c:idx val="8"/>
              <c:layout>
                <c:manualLayout>
                  <c:x val="6.3668587818275424E-3"/>
                  <c:y val="-7.3255316769614276E-2"/>
                </c:manualLayout>
              </c:layout>
              <c:showPercent val="1"/>
            </c:dLbl>
            <c:dLbl>
              <c:idx val="9"/>
              <c:layout>
                <c:manualLayout>
                  <c:x val="7.5818744306446431E-2"/>
                  <c:y val="-8.2585597852900011E-2"/>
                </c:manualLayout>
              </c:layout>
              <c:showPercent val="1"/>
            </c:dLbl>
            <c:dLbl>
              <c:idx val="10"/>
              <c:layout>
                <c:manualLayout>
                  <c:x val="9.804691939280806E-2"/>
                  <c:y val="-7.4056269282129314E-2"/>
                </c:manualLayout>
              </c:layout>
              <c:showPercent val="1"/>
            </c:dLbl>
            <c:dLbl>
              <c:idx val="11"/>
              <c:layout>
                <c:manualLayout>
                  <c:x val="0.13660163613568918"/>
                  <c:y val="-6.655641728994402E-2"/>
                </c:manualLayout>
              </c:layout>
              <c:showPercent val="1"/>
            </c:dLbl>
            <c:dLbl>
              <c:idx val="12"/>
              <c:layout>
                <c:manualLayout>
                  <c:x val="0.15070920258679071"/>
                  <c:y val="-3.8974733421480202E-2"/>
                </c:manualLayout>
              </c:layout>
              <c:showPercent val="1"/>
            </c:dLbl>
            <c:dLbl>
              <c:idx val="13"/>
              <c:layout>
                <c:manualLayout>
                  <c:x val="0.14218307763076007"/>
                  <c:y val="-2.0782270637222992E-2"/>
                </c:manualLayout>
              </c:layout>
              <c:showPercent val="1"/>
            </c:dLbl>
            <c:dLbl>
              <c:idx val="14"/>
              <c:layout>
                <c:manualLayout>
                  <c:x val="0.12760613686175826"/>
                  <c:y val="4.6758628855603753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(9)'!$G$6:$G$20</c:f>
              <c:strCache>
                <c:ptCount val="15"/>
                <c:pt idx="0">
                  <c:v>Департамент організаційного та ресурсного забезпечення  - 47 запитів або 51% (всі запити надіслано належним розпорядникам інформації)</c:v>
                </c:pt>
                <c:pt idx="1">
                  <c:v>Департамент конституційного, адміністративного та соціального законодавства  - 13 запитів або 14,1%</c:v>
                </c:pt>
                <c:pt idx="2">
                  <c:v>Департамент взаємодії з органами влади - 9 запитів або 9,8% (з них 5 запитів або 55,5% надіслано для розгляду належним розпорядникам інформації)</c:v>
                </c:pt>
                <c:pt idx="3">
                  <c:v>Департамент цивільного, фінансового законодавства та законодавства з питань земельних відносин - 5 запитів або 5,4%</c:v>
                </c:pt>
                <c:pt idx="4">
                  <c:v>Департамент судової роботи та експертного забезпечення правосуддя - 4 запити або 4,3%</c:v>
                </c:pt>
                <c:pt idx="5">
                  <c:v>Департамент з питань банкрутства  - 3 запити або 3,3%</c:v>
                </c:pt>
                <c:pt idx="6">
                  <c:v>Департамент планово-фінансової діяльності, бухгалтерського обліку та звітності  - 2 запити або 2,2%</c:v>
                </c:pt>
                <c:pt idx="7">
                  <c:v>Секретаріат Урядового уповноваженого у справах Європейського суду з прав людини  - 2 запити або 2,2%</c:v>
                </c:pt>
                <c:pt idx="8">
                  <c:v>Департамент кадрової роботи та державної служби  - 1 запит або 1,1%</c:v>
                </c:pt>
                <c:pt idx="9">
                  <c:v>Департамент реєстрації та систематизації нормативних актів, правоосвітньої діяльності - 1 запит або 1,1%</c:v>
                </c:pt>
                <c:pt idx="10">
                  <c:v>Департамент юстиції та безпеки - 1 запит або 1,1%</c:v>
                </c:pt>
                <c:pt idx="11">
                  <c:v>Департамент антикорупційного законодавства та законодавства про правосуддя - 1 запит або 1,1%</c:v>
                </c:pt>
                <c:pt idx="12">
                  <c:v>Департамент міжнародного права, повернення активів та відшкодування втрат, завданих тимчасовою окупацією Автономної Республіки Крим - 1 запит або 1,1%</c:v>
                </c:pt>
                <c:pt idx="13">
                  <c:v>Департамент з питань імплементації Угоди про асоціацію з ЄС, правової експертизи міжнародних договорів та міжнародного співробітництва  - 1 запит або 1,1%</c:v>
                </c:pt>
                <c:pt idx="14">
                  <c:v>Урядовий уповноважений у справах Європейського суду з прав людини - 1 запит або 1,1%</c:v>
                </c:pt>
              </c:strCache>
            </c:strRef>
          </c:cat>
          <c:val>
            <c:numRef>
              <c:f>'08.09.2014-12.09.2014 (9)'!$H$6:$H$20</c:f>
              <c:numCache>
                <c:formatCode>General</c:formatCode>
                <c:ptCount val="15"/>
                <c:pt idx="0">
                  <c:v>47</c:v>
                </c:pt>
                <c:pt idx="1">
                  <c:v>13</c:v>
                </c:pt>
                <c:pt idx="2">
                  <c:v>9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3.1170459362682635E-2"/>
          <c:y val="0.30904676389135655"/>
          <c:w val="0.96037809706776345"/>
          <c:h val="0.6909532361086454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229"/>
      <c:perspective val="30"/>
    </c:view3D>
    <c:plotArea>
      <c:layout>
        <c:manualLayout>
          <c:layoutTarget val="inner"/>
          <c:xMode val="edge"/>
          <c:yMode val="edge"/>
          <c:x val="9.2768425498537047E-2"/>
          <c:y val="0.135031360516555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1.4887419288720085E-2"/>
                  <c:y val="3.374877060561999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3.9604392707151808E-3"/>
                  <c:y val="-1.719792153739567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1.1995482365400571E-2"/>
                  <c:y val="-4.6188847103965147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3.4869136273541053E-2"/>
                  <c:y val="-3.0516873172583368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5.6348480832731328E-2"/>
                  <c:y val="2.7849236792315515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2.6502584902412227E-2"/>
                  <c:y val="1.189036807942134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'25.08.2014-29.08.2014 (8)'!$B$43:$B$47</c:f>
              <c:strCache>
                <c:ptCount val="5"/>
                <c:pt idx="0">
                  <c:v>На 4 запити або 4,3% надано публічну інформацію</c:v>
                </c:pt>
                <c:pt idx="1">
                  <c:v>На 32 запити або 34,8%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3 запити або 3,3% 
</c:v>
                </c:pt>
                <c:pt idx="3">
                  <c:v>Надіслано за належністю до Державної реєстраційної служби України для розгляду та надання відповіді 6 запитів або 6,5%</c:v>
                </c:pt>
                <c:pt idx="4">
                  <c:v>Надіслано за належністю до інших розпорядників інформації для розгляду та надання відповіді 47 запитів або 51,1%</c:v>
                </c:pt>
              </c:strCache>
            </c:strRef>
          </c:cat>
          <c:val>
            <c:numRef>
              <c:f>'25.08.2014-29.08.2014 (8)'!$C$43:$C$47</c:f>
              <c:numCache>
                <c:formatCode>General</c:formatCode>
                <c:ptCount val="5"/>
                <c:pt idx="0">
                  <c:v>4</c:v>
                </c:pt>
                <c:pt idx="1">
                  <c:v>32</c:v>
                </c:pt>
                <c:pt idx="2">
                  <c:v>3</c:v>
                </c:pt>
                <c:pt idx="3">
                  <c:v>6</c:v>
                </c:pt>
                <c:pt idx="4">
                  <c:v>47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814004283947265"/>
          <c:y val="6.2362540411711728E-2"/>
          <c:w val="0.41482211883292563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2AD7F-F68C-45C6-BDB6-4643F9D3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6</cp:revision>
  <cp:lastPrinted>2014-10-29T07:17:00Z</cp:lastPrinted>
  <dcterms:created xsi:type="dcterms:W3CDTF">2014-10-28T10:30:00Z</dcterms:created>
  <dcterms:modified xsi:type="dcterms:W3CDTF">2016-04-21T08:37:00Z</dcterms:modified>
</cp:coreProperties>
</file>