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18" w:rsidRPr="00BA65C1" w:rsidRDefault="00FA0618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>Прошу у рубриці «</w:t>
      </w:r>
      <w:r w:rsidRPr="00BA65C1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A65C1">
        <w:rPr>
          <w:rStyle w:val="atitle"/>
          <w:sz w:val="27"/>
          <w:szCs w:val="27"/>
          <w:lang w:val="uk-UA"/>
        </w:rPr>
        <w:t>»:</w:t>
      </w:r>
    </w:p>
    <w:p w:rsidR="00FA0618" w:rsidRPr="00BA65C1" w:rsidRDefault="00FA0618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FA0618" w:rsidRPr="00BA65C1" w:rsidRDefault="00FA0618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 xml:space="preserve">у підрубриці </w:t>
      </w:r>
      <w:r w:rsidRPr="00BA65C1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A65C1">
        <w:rPr>
          <w:rStyle w:val="atitle"/>
          <w:sz w:val="27"/>
          <w:szCs w:val="27"/>
          <w:lang w:val="uk-UA"/>
        </w:rPr>
        <w:t xml:space="preserve"> </w:t>
      </w:r>
      <w:r w:rsidRPr="00BA65C1">
        <w:rPr>
          <w:rStyle w:val="atitle"/>
          <w:b/>
          <w:sz w:val="27"/>
          <w:szCs w:val="27"/>
          <w:lang w:val="uk-UA"/>
        </w:rPr>
        <w:t>2014 рік»:</w:t>
      </w:r>
    </w:p>
    <w:p w:rsidR="00FA0618" w:rsidRPr="00BA65C1" w:rsidRDefault="00FA0618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BA65C1">
        <w:rPr>
          <w:rStyle w:val="atitle"/>
          <w:b/>
          <w:sz w:val="27"/>
          <w:szCs w:val="27"/>
          <w:lang w:val="uk-UA"/>
        </w:rPr>
        <w:t xml:space="preserve">- </w:t>
      </w:r>
      <w:r w:rsidRPr="00BA65C1">
        <w:rPr>
          <w:rStyle w:val="atitle"/>
          <w:sz w:val="27"/>
          <w:szCs w:val="27"/>
          <w:lang w:val="uk-UA"/>
        </w:rPr>
        <w:t>розмістити</w:t>
      </w:r>
      <w:r w:rsidRPr="00BA65C1">
        <w:rPr>
          <w:rStyle w:val="atitle"/>
          <w:b/>
          <w:sz w:val="27"/>
          <w:szCs w:val="27"/>
          <w:lang w:val="uk-UA"/>
        </w:rPr>
        <w:t xml:space="preserve"> </w:t>
      </w:r>
      <w:r w:rsidRPr="00BA65C1">
        <w:rPr>
          <w:bCs/>
          <w:sz w:val="27"/>
          <w:szCs w:val="27"/>
          <w:lang w:val="uk-UA"/>
        </w:rPr>
        <w:t>позицію</w:t>
      </w:r>
      <w:r w:rsidRPr="00BA65C1">
        <w:rPr>
          <w:b/>
          <w:bCs/>
          <w:sz w:val="27"/>
          <w:szCs w:val="27"/>
          <w:lang w:val="uk-UA"/>
        </w:rPr>
        <w:t xml:space="preserve"> </w:t>
      </w:r>
      <w:r w:rsidR="00D52F21">
        <w:rPr>
          <w:b/>
          <w:bCs/>
          <w:sz w:val="27"/>
          <w:szCs w:val="27"/>
          <w:lang w:val="uk-UA"/>
        </w:rPr>
        <w:t>«</w:t>
      </w: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8A01C5">
        <w:rPr>
          <w:b/>
          <w:sz w:val="27"/>
          <w:szCs w:val="27"/>
          <w:lang w:val="uk-UA"/>
        </w:rPr>
        <w:t>12.05.2014</w:t>
      </w:r>
      <w:r w:rsidRPr="00BA65C1">
        <w:rPr>
          <w:b/>
          <w:sz w:val="27"/>
          <w:szCs w:val="27"/>
          <w:lang w:val="uk-UA"/>
        </w:rPr>
        <w:t xml:space="preserve"> по </w:t>
      </w:r>
      <w:r w:rsidR="008A01C5">
        <w:rPr>
          <w:b/>
          <w:sz w:val="27"/>
          <w:szCs w:val="27"/>
          <w:lang w:val="uk-UA"/>
        </w:rPr>
        <w:t>16.05.2014</w:t>
      </w:r>
      <w:r w:rsidR="00D52F21">
        <w:rPr>
          <w:b/>
          <w:sz w:val="27"/>
          <w:szCs w:val="27"/>
          <w:lang w:val="uk-UA"/>
        </w:rPr>
        <w:t>»</w:t>
      </w:r>
      <w:r w:rsidRPr="00BA65C1">
        <w:rPr>
          <w:sz w:val="27"/>
          <w:szCs w:val="27"/>
          <w:lang w:val="uk-UA"/>
        </w:rPr>
        <w:t>,</w:t>
      </w:r>
      <w:r w:rsidR="00D52F21">
        <w:rPr>
          <w:sz w:val="27"/>
          <w:szCs w:val="27"/>
          <w:lang w:val="uk-UA"/>
        </w:rPr>
        <w:t xml:space="preserve"> за матеріалами, наданими структурними підрозділами Міністерства юстиції,</w:t>
      </w:r>
      <w:r w:rsidRPr="00BA65C1">
        <w:rPr>
          <w:sz w:val="27"/>
          <w:szCs w:val="27"/>
          <w:lang w:val="uk-UA"/>
        </w:rPr>
        <w:t xml:space="preserve"> </w:t>
      </w:r>
      <w:r w:rsidR="00D52F21">
        <w:rPr>
          <w:sz w:val="27"/>
          <w:szCs w:val="27"/>
          <w:lang w:val="uk-UA"/>
        </w:rPr>
        <w:t>який</w:t>
      </w:r>
      <w:r w:rsidRPr="00BA65C1">
        <w:rPr>
          <w:sz w:val="27"/>
          <w:szCs w:val="27"/>
          <w:lang w:val="uk-UA"/>
        </w:rPr>
        <w:t xml:space="preserve"> зробити гіперпосиланням на таку інформацію:</w:t>
      </w:r>
    </w:p>
    <w:p w:rsidR="00FA0618" w:rsidRDefault="00FA0618" w:rsidP="008F2297">
      <w:pPr>
        <w:ind w:firstLine="708"/>
        <w:jc w:val="center"/>
        <w:rPr>
          <w:b/>
          <w:sz w:val="27"/>
          <w:szCs w:val="27"/>
          <w:lang w:val="uk-UA"/>
        </w:rPr>
      </w:pP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період з </w:t>
      </w:r>
      <w:r w:rsidR="008A01C5">
        <w:rPr>
          <w:b/>
          <w:sz w:val="27"/>
          <w:szCs w:val="27"/>
          <w:lang w:val="uk-UA"/>
        </w:rPr>
        <w:t>12.05.2014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8A01C5">
        <w:rPr>
          <w:b/>
          <w:sz w:val="27"/>
          <w:szCs w:val="27"/>
          <w:lang w:val="uk-UA"/>
        </w:rPr>
        <w:t>16.05.2014</w:t>
      </w:r>
    </w:p>
    <w:p w:rsidR="008F2297" w:rsidRPr="00BA65C1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З </w:t>
      </w:r>
      <w:r w:rsidR="008A01C5">
        <w:rPr>
          <w:sz w:val="27"/>
          <w:szCs w:val="27"/>
          <w:lang w:val="uk-UA"/>
        </w:rPr>
        <w:t>12.05.2014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по </w:t>
      </w:r>
      <w:r w:rsidR="008A01C5">
        <w:rPr>
          <w:sz w:val="27"/>
          <w:szCs w:val="27"/>
          <w:lang w:val="uk-UA"/>
        </w:rPr>
        <w:t>16.05.2014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до Міністерства юстиції надійш</w:t>
      </w:r>
      <w:r w:rsidR="00E07C8A">
        <w:rPr>
          <w:sz w:val="27"/>
          <w:szCs w:val="27"/>
          <w:lang w:val="uk-UA"/>
        </w:rPr>
        <w:t>ло</w:t>
      </w:r>
      <w:r w:rsidRPr="00BA65C1">
        <w:rPr>
          <w:sz w:val="27"/>
          <w:szCs w:val="27"/>
          <w:lang w:val="uk-UA"/>
        </w:rPr>
        <w:t xml:space="preserve"> </w:t>
      </w:r>
      <w:r w:rsidR="00353BDE">
        <w:rPr>
          <w:b/>
          <w:sz w:val="27"/>
          <w:szCs w:val="27"/>
          <w:lang w:val="uk-UA"/>
        </w:rPr>
        <w:t>52</w:t>
      </w:r>
      <w:r w:rsidR="00E81283" w:rsidRPr="00BA65C1">
        <w:rPr>
          <w:sz w:val="27"/>
          <w:szCs w:val="27"/>
          <w:lang w:val="uk-UA"/>
        </w:rPr>
        <w:t xml:space="preserve"> запит</w:t>
      </w:r>
      <w:r w:rsidR="009351A4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BA65C1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BA65C1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BA65C1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фізичних осіб – </w:t>
      </w:r>
      <w:r w:rsidR="00C174D2">
        <w:rPr>
          <w:rStyle w:val="grame"/>
          <w:b/>
          <w:sz w:val="27"/>
          <w:szCs w:val="27"/>
          <w:lang w:val="uk-UA"/>
        </w:rPr>
        <w:t>20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5F092D">
        <w:rPr>
          <w:rStyle w:val="grame"/>
          <w:sz w:val="27"/>
          <w:szCs w:val="27"/>
          <w:lang w:val="uk-UA"/>
        </w:rPr>
        <w:t>1</w:t>
      </w:r>
      <w:r w:rsidR="001079F3">
        <w:rPr>
          <w:rStyle w:val="grame"/>
          <w:sz w:val="27"/>
          <w:szCs w:val="27"/>
          <w:lang w:val="uk-UA"/>
        </w:rPr>
        <w:t>8</w:t>
      </w:r>
      <w:r w:rsidR="00E7221B" w:rsidRPr="00BA65C1">
        <w:rPr>
          <w:rStyle w:val="grame"/>
          <w:sz w:val="27"/>
          <w:szCs w:val="27"/>
          <w:lang w:val="uk-UA"/>
        </w:rPr>
        <w:t>,</w:t>
      </w:r>
      <w:r w:rsidR="00B94436">
        <w:rPr>
          <w:rStyle w:val="grame"/>
          <w:sz w:val="27"/>
          <w:szCs w:val="27"/>
          <w:lang w:val="uk-UA"/>
        </w:rPr>
        <w:t xml:space="preserve"> поштою – </w:t>
      </w:r>
      <w:r w:rsidR="001079F3">
        <w:rPr>
          <w:rStyle w:val="grame"/>
          <w:sz w:val="27"/>
          <w:szCs w:val="27"/>
          <w:lang w:val="uk-UA"/>
        </w:rPr>
        <w:t>2</w:t>
      </w:r>
      <w:r w:rsidRPr="00BA65C1">
        <w:rPr>
          <w:rStyle w:val="grame"/>
          <w:sz w:val="27"/>
          <w:szCs w:val="27"/>
          <w:lang w:val="uk-UA"/>
        </w:rPr>
        <w:t>);</w:t>
      </w:r>
    </w:p>
    <w:p w:rsidR="008F2297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C174D2">
        <w:rPr>
          <w:rStyle w:val="grame"/>
          <w:b/>
          <w:sz w:val="27"/>
          <w:szCs w:val="27"/>
          <w:lang w:val="uk-UA"/>
        </w:rPr>
        <w:t>32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>(електронною поштою –</w:t>
      </w:r>
      <w:r w:rsidR="00ED2C77">
        <w:rPr>
          <w:rStyle w:val="grame"/>
          <w:sz w:val="27"/>
          <w:szCs w:val="27"/>
          <w:lang w:val="uk-UA"/>
        </w:rPr>
        <w:t xml:space="preserve"> </w:t>
      </w:r>
      <w:r w:rsidR="001079F3">
        <w:rPr>
          <w:rStyle w:val="grame"/>
          <w:sz w:val="27"/>
          <w:szCs w:val="27"/>
          <w:lang w:val="uk-UA"/>
        </w:rPr>
        <w:t>30</w:t>
      </w:r>
      <w:r w:rsidR="00E323CE">
        <w:rPr>
          <w:rStyle w:val="grame"/>
          <w:sz w:val="27"/>
          <w:szCs w:val="27"/>
          <w:lang w:val="uk-UA"/>
        </w:rPr>
        <w:t xml:space="preserve">, поштою – </w:t>
      </w:r>
      <w:r w:rsidR="001079F3">
        <w:rPr>
          <w:rStyle w:val="grame"/>
          <w:sz w:val="27"/>
          <w:szCs w:val="27"/>
          <w:lang w:val="uk-UA"/>
        </w:rPr>
        <w:t>2</w:t>
      </w:r>
      <w:r w:rsidRPr="00BA65C1">
        <w:rPr>
          <w:rStyle w:val="grame"/>
          <w:sz w:val="27"/>
          <w:szCs w:val="27"/>
          <w:lang w:val="uk-UA"/>
        </w:rPr>
        <w:t xml:space="preserve">). </w:t>
      </w:r>
    </w:p>
    <w:p w:rsidR="00B147BF" w:rsidRDefault="008A01C5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8A01C5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BA65C1" w:rsidRDefault="008F2297" w:rsidP="008F2297">
      <w:pPr>
        <w:spacing w:after="120"/>
        <w:ind w:firstLine="426"/>
        <w:jc w:val="both"/>
        <w:rPr>
          <w:lang w:val="uk-UA"/>
        </w:rPr>
      </w:pPr>
      <w:r w:rsidRPr="00BA65C1">
        <w:rPr>
          <w:sz w:val="27"/>
          <w:szCs w:val="27"/>
          <w:lang w:val="uk-UA"/>
        </w:rPr>
        <w:t xml:space="preserve">Найбільша кількість запитів надійшла з </w:t>
      </w:r>
      <w:r w:rsidR="00353BDE">
        <w:rPr>
          <w:sz w:val="27"/>
          <w:szCs w:val="27"/>
          <w:lang w:val="uk-UA"/>
        </w:rPr>
        <w:t xml:space="preserve">Київської </w:t>
      </w:r>
      <w:r w:rsidR="00530451">
        <w:rPr>
          <w:sz w:val="27"/>
          <w:szCs w:val="27"/>
          <w:lang w:val="uk-UA"/>
        </w:rPr>
        <w:t>(</w:t>
      </w:r>
      <w:r w:rsidR="00353BDE" w:rsidRPr="004773BA">
        <w:rPr>
          <w:b/>
          <w:sz w:val="27"/>
          <w:szCs w:val="27"/>
          <w:lang w:val="uk-UA"/>
        </w:rPr>
        <w:t>2</w:t>
      </w:r>
      <w:r w:rsidR="00530451" w:rsidRPr="00530451">
        <w:rPr>
          <w:b/>
          <w:sz w:val="27"/>
          <w:szCs w:val="27"/>
          <w:lang w:val="uk-UA"/>
        </w:rPr>
        <w:t>2</w:t>
      </w:r>
      <w:r w:rsidR="00D52F21">
        <w:rPr>
          <w:sz w:val="27"/>
          <w:szCs w:val="27"/>
          <w:lang w:val="uk-UA"/>
        </w:rPr>
        <w:t xml:space="preserve"> запит</w:t>
      </w:r>
      <w:r w:rsidR="00D52F21" w:rsidRPr="00D52F21">
        <w:rPr>
          <w:sz w:val="27"/>
          <w:szCs w:val="27"/>
          <w:lang w:val="uk-UA"/>
        </w:rPr>
        <w:t>и</w:t>
      </w:r>
      <w:r w:rsidR="00530451">
        <w:rPr>
          <w:sz w:val="27"/>
          <w:szCs w:val="27"/>
          <w:lang w:val="uk-UA"/>
        </w:rPr>
        <w:t xml:space="preserve">) </w:t>
      </w:r>
      <w:r w:rsidR="00AF4B8C">
        <w:rPr>
          <w:sz w:val="27"/>
          <w:szCs w:val="27"/>
          <w:lang w:val="uk-UA"/>
        </w:rPr>
        <w:t>та</w:t>
      </w:r>
      <w:r w:rsidR="00442858" w:rsidRPr="00BA65C1">
        <w:rPr>
          <w:sz w:val="27"/>
          <w:szCs w:val="27"/>
          <w:lang w:val="uk-UA"/>
        </w:rPr>
        <w:t xml:space="preserve"> </w:t>
      </w:r>
      <w:r w:rsidR="00353BDE">
        <w:rPr>
          <w:sz w:val="27"/>
          <w:szCs w:val="27"/>
          <w:lang w:val="uk-UA"/>
        </w:rPr>
        <w:t>Херсонської</w:t>
      </w:r>
      <w:r w:rsidR="002F3741">
        <w:rPr>
          <w:sz w:val="27"/>
          <w:szCs w:val="27"/>
          <w:lang w:val="uk-UA"/>
        </w:rPr>
        <w:t xml:space="preserve"> </w:t>
      </w:r>
      <w:r w:rsidR="00E93BDC" w:rsidRPr="00BA65C1">
        <w:rPr>
          <w:sz w:val="27"/>
          <w:szCs w:val="27"/>
          <w:lang w:val="uk-UA"/>
        </w:rPr>
        <w:t>област</w:t>
      </w:r>
      <w:r w:rsidR="00353BDE">
        <w:rPr>
          <w:sz w:val="27"/>
          <w:szCs w:val="27"/>
          <w:lang w:val="uk-UA"/>
        </w:rPr>
        <w:t>ей</w:t>
      </w:r>
      <w:r w:rsidR="00E93BDC" w:rsidRPr="00BA65C1">
        <w:rPr>
          <w:sz w:val="27"/>
          <w:szCs w:val="27"/>
          <w:lang w:val="uk-UA"/>
        </w:rPr>
        <w:t xml:space="preserve"> (</w:t>
      </w:r>
      <w:r w:rsidR="00353BDE">
        <w:rPr>
          <w:b/>
          <w:sz w:val="27"/>
          <w:szCs w:val="27"/>
          <w:lang w:val="uk-UA"/>
        </w:rPr>
        <w:t>4</w:t>
      </w:r>
      <w:r w:rsidR="00E93BDC" w:rsidRPr="00BA65C1">
        <w:rPr>
          <w:sz w:val="27"/>
          <w:szCs w:val="27"/>
          <w:lang w:val="uk-UA"/>
        </w:rPr>
        <w:t xml:space="preserve"> запит</w:t>
      </w:r>
      <w:r w:rsidR="00D52F21">
        <w:rPr>
          <w:sz w:val="27"/>
          <w:szCs w:val="27"/>
          <w:lang w:val="uk-UA"/>
        </w:rPr>
        <w:t>и</w:t>
      </w:r>
      <w:r w:rsidR="00E93BDC" w:rsidRPr="00BA65C1">
        <w:rPr>
          <w:sz w:val="27"/>
          <w:szCs w:val="27"/>
          <w:lang w:val="uk-UA"/>
        </w:rPr>
        <w:t>)</w:t>
      </w:r>
      <w:r w:rsidRPr="00BA65C1">
        <w:rPr>
          <w:sz w:val="27"/>
          <w:szCs w:val="27"/>
          <w:lang w:val="uk-UA"/>
        </w:rPr>
        <w:t>.</w:t>
      </w:r>
      <w:r w:rsidR="00E93BDC" w:rsidRPr="00BA65C1">
        <w:rPr>
          <w:sz w:val="27"/>
          <w:szCs w:val="27"/>
          <w:lang w:val="uk-UA"/>
        </w:rPr>
        <w:t xml:space="preserve"> </w:t>
      </w:r>
    </w:p>
    <w:p w:rsidR="007B0F85" w:rsidRPr="00F658DD" w:rsidRDefault="007B0F85" w:rsidP="007B0F85">
      <w:pPr>
        <w:ind w:firstLine="426"/>
        <w:jc w:val="both"/>
        <w:rPr>
          <w:b/>
          <w:sz w:val="27"/>
          <w:szCs w:val="27"/>
          <w:lang w:val="uk-UA"/>
        </w:rPr>
      </w:pPr>
      <w:r w:rsidRPr="00F658DD">
        <w:rPr>
          <w:b/>
          <w:sz w:val="27"/>
          <w:szCs w:val="27"/>
          <w:lang w:val="uk-UA"/>
        </w:rPr>
        <w:t>Запитуван</w:t>
      </w:r>
      <w:r w:rsidR="00733A63">
        <w:rPr>
          <w:b/>
          <w:sz w:val="27"/>
          <w:szCs w:val="27"/>
          <w:lang w:val="uk-UA"/>
        </w:rPr>
        <w:t>а</w:t>
      </w:r>
      <w:r w:rsidRPr="00F658DD">
        <w:rPr>
          <w:b/>
          <w:sz w:val="27"/>
          <w:szCs w:val="27"/>
          <w:lang w:val="uk-UA"/>
        </w:rPr>
        <w:t xml:space="preserve"> </w:t>
      </w:r>
      <w:r w:rsidR="00733A63">
        <w:rPr>
          <w:b/>
          <w:sz w:val="27"/>
          <w:szCs w:val="27"/>
          <w:lang w:val="uk-UA"/>
        </w:rPr>
        <w:t>інформація про</w:t>
      </w:r>
      <w:r w:rsidRPr="00F658DD">
        <w:rPr>
          <w:b/>
          <w:sz w:val="27"/>
          <w:szCs w:val="27"/>
          <w:lang w:val="uk-UA"/>
        </w:rPr>
        <w:t>:</w:t>
      </w:r>
    </w:p>
    <w:p w:rsidR="00733A63" w:rsidRPr="00733A63" w:rsidRDefault="00733A63" w:rsidP="00733A6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12"/>
          <w:szCs w:val="12"/>
          <w:lang w:val="uk-UA"/>
        </w:rPr>
      </w:pPr>
      <w:r>
        <w:rPr>
          <w:sz w:val="27"/>
          <w:szCs w:val="27"/>
          <w:lang w:val="uk-UA"/>
        </w:rPr>
        <w:t xml:space="preserve">Прес-службу </w:t>
      </w:r>
      <w:r w:rsidR="006261E5">
        <w:rPr>
          <w:sz w:val="27"/>
          <w:szCs w:val="27"/>
          <w:lang w:val="uk-UA"/>
        </w:rPr>
        <w:t xml:space="preserve">Міністерства </w:t>
      </w:r>
      <w:r>
        <w:rPr>
          <w:sz w:val="27"/>
          <w:szCs w:val="27"/>
          <w:lang w:val="uk-UA"/>
        </w:rPr>
        <w:t>та Департамент</w:t>
      </w:r>
      <w:r w:rsidRPr="00733A63">
        <w:rPr>
          <w:lang w:val="uk-UA"/>
        </w:rPr>
        <w:t xml:space="preserve"> </w:t>
      </w:r>
      <w:r w:rsidRPr="00733A63">
        <w:rPr>
          <w:sz w:val="27"/>
          <w:szCs w:val="27"/>
          <w:lang w:val="uk-UA"/>
        </w:rPr>
        <w:t xml:space="preserve">реєстрації та систематизації нормативних актів, </w:t>
      </w:r>
      <w:proofErr w:type="spellStart"/>
      <w:r w:rsidRPr="00733A63">
        <w:rPr>
          <w:sz w:val="27"/>
          <w:szCs w:val="27"/>
          <w:lang w:val="uk-UA"/>
        </w:rPr>
        <w:t>правоосвітньої</w:t>
      </w:r>
      <w:proofErr w:type="spellEnd"/>
      <w:r w:rsidRPr="00733A63">
        <w:rPr>
          <w:sz w:val="27"/>
          <w:szCs w:val="27"/>
          <w:lang w:val="uk-UA"/>
        </w:rPr>
        <w:t xml:space="preserve"> діяльності </w:t>
      </w:r>
      <w:r>
        <w:rPr>
          <w:sz w:val="27"/>
          <w:szCs w:val="27"/>
          <w:lang w:val="uk-UA"/>
        </w:rPr>
        <w:t>Міністерства юстиції</w:t>
      </w:r>
      <w:r w:rsidR="00F658DD">
        <w:rPr>
          <w:sz w:val="27"/>
          <w:szCs w:val="27"/>
          <w:lang w:val="uk-UA"/>
        </w:rPr>
        <w:t>;</w:t>
      </w:r>
    </w:p>
    <w:p w:rsidR="00733A63" w:rsidRPr="00733A63" w:rsidRDefault="00733A63" w:rsidP="00733A6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12"/>
          <w:szCs w:val="12"/>
          <w:lang w:val="uk-UA"/>
        </w:rPr>
      </w:pPr>
      <w:r>
        <w:rPr>
          <w:sz w:val="27"/>
          <w:szCs w:val="27"/>
          <w:lang w:val="uk-UA"/>
        </w:rPr>
        <w:t>автомобілі, які плануються бути відчуженими шляхом продажу на аукціоні.</w:t>
      </w:r>
    </w:p>
    <w:p w:rsidR="008F2297" w:rsidRDefault="00733A63" w:rsidP="00733A63">
      <w:pPr>
        <w:pStyle w:val="a6"/>
        <w:spacing w:after="200" w:line="276" w:lineRule="auto"/>
        <w:ind w:left="426"/>
        <w:jc w:val="both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8F2297" w:rsidRDefault="008F2297" w:rsidP="00140100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8F2297" w:rsidRDefault="00903E4C" w:rsidP="00903E4C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903E4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903E4C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>(</w:t>
      </w:r>
      <w:r w:rsidRPr="00903E4C">
        <w:rPr>
          <w:b/>
          <w:sz w:val="27"/>
          <w:szCs w:val="27"/>
          <w:lang w:val="uk-UA"/>
        </w:rPr>
        <w:t>16</w:t>
      </w:r>
      <w:r w:rsidRPr="00903E4C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ів</w:t>
      </w:r>
      <w:r w:rsidRPr="00903E4C">
        <w:rPr>
          <w:sz w:val="27"/>
          <w:szCs w:val="27"/>
          <w:lang w:val="uk-UA"/>
        </w:rPr>
        <w:t xml:space="preserve"> або </w:t>
      </w:r>
      <w:r w:rsidRPr="00903E4C">
        <w:rPr>
          <w:b/>
          <w:sz w:val="27"/>
          <w:szCs w:val="27"/>
          <w:lang w:val="uk-UA"/>
        </w:rPr>
        <w:t>31%</w:t>
      </w:r>
      <w:r>
        <w:rPr>
          <w:sz w:val="27"/>
          <w:szCs w:val="27"/>
          <w:lang w:val="uk-UA"/>
        </w:rPr>
        <w:t xml:space="preserve">, </w:t>
      </w:r>
      <w:r w:rsidRPr="00903E4C">
        <w:rPr>
          <w:sz w:val="27"/>
          <w:szCs w:val="27"/>
          <w:lang w:val="uk-UA"/>
        </w:rPr>
        <w:t>з них 9 запитів або 56%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903E4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903E4C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 </w:t>
      </w:r>
      <w:r>
        <w:rPr>
          <w:sz w:val="27"/>
          <w:szCs w:val="27"/>
          <w:lang w:val="uk-UA"/>
        </w:rPr>
        <w:t>(</w:t>
      </w:r>
      <w:r w:rsidRPr="00903E4C">
        <w:rPr>
          <w:b/>
          <w:sz w:val="27"/>
          <w:szCs w:val="27"/>
          <w:lang w:val="uk-UA"/>
        </w:rPr>
        <w:t>11</w:t>
      </w:r>
      <w:r w:rsidRPr="00903E4C">
        <w:rPr>
          <w:sz w:val="27"/>
          <w:szCs w:val="27"/>
          <w:lang w:val="uk-UA"/>
        </w:rPr>
        <w:t xml:space="preserve"> запитів або </w:t>
      </w:r>
      <w:r w:rsidRPr="00903E4C">
        <w:rPr>
          <w:b/>
          <w:sz w:val="27"/>
          <w:szCs w:val="27"/>
          <w:lang w:val="uk-UA"/>
        </w:rPr>
        <w:t>21%</w:t>
      </w:r>
      <w:r>
        <w:rPr>
          <w:sz w:val="27"/>
          <w:szCs w:val="27"/>
          <w:lang w:val="uk-UA"/>
        </w:rPr>
        <w:t xml:space="preserve">), </w:t>
      </w:r>
      <w:r w:rsidRPr="00903E4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903E4C">
        <w:rPr>
          <w:sz w:val="27"/>
          <w:szCs w:val="27"/>
          <w:lang w:val="uk-UA"/>
        </w:rPr>
        <w:t xml:space="preserve"> організаційного та ресурсного забезпечення</w:t>
      </w:r>
      <w:r>
        <w:rPr>
          <w:sz w:val="27"/>
          <w:szCs w:val="27"/>
          <w:lang w:val="uk-UA"/>
        </w:rPr>
        <w:t xml:space="preserve"> (</w:t>
      </w:r>
      <w:r w:rsidRPr="00903E4C">
        <w:rPr>
          <w:b/>
          <w:sz w:val="27"/>
          <w:szCs w:val="27"/>
          <w:lang w:val="uk-UA"/>
        </w:rPr>
        <w:t>10</w:t>
      </w:r>
      <w:r w:rsidRPr="00903E4C">
        <w:rPr>
          <w:sz w:val="27"/>
          <w:szCs w:val="27"/>
          <w:lang w:val="uk-UA"/>
        </w:rPr>
        <w:t xml:space="preserve"> запитів або </w:t>
      </w:r>
      <w:r w:rsidRPr="00903E4C">
        <w:rPr>
          <w:b/>
          <w:sz w:val="27"/>
          <w:szCs w:val="27"/>
          <w:lang w:val="uk-UA"/>
        </w:rPr>
        <w:t>19%</w:t>
      </w:r>
      <w:r>
        <w:rPr>
          <w:sz w:val="27"/>
          <w:szCs w:val="27"/>
          <w:lang w:val="uk-UA"/>
        </w:rPr>
        <w:t xml:space="preserve">, </w:t>
      </w:r>
      <w:r w:rsidRPr="00903E4C">
        <w:rPr>
          <w:sz w:val="27"/>
          <w:szCs w:val="27"/>
          <w:lang w:val="uk-UA"/>
        </w:rPr>
        <w:t>з них 9 запитів або 90%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903E4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903E4C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7"/>
          <w:szCs w:val="27"/>
          <w:lang w:val="uk-UA"/>
        </w:rPr>
        <w:t>(</w:t>
      </w:r>
      <w:r w:rsidRPr="00903E4C">
        <w:rPr>
          <w:b/>
          <w:sz w:val="27"/>
          <w:szCs w:val="27"/>
          <w:lang w:val="uk-UA"/>
        </w:rPr>
        <w:t>9</w:t>
      </w:r>
      <w:r w:rsidRPr="00903E4C">
        <w:rPr>
          <w:sz w:val="27"/>
          <w:szCs w:val="27"/>
          <w:lang w:val="uk-UA"/>
        </w:rPr>
        <w:t xml:space="preserve"> запитів або </w:t>
      </w:r>
      <w:r w:rsidRPr="00903E4C">
        <w:rPr>
          <w:b/>
          <w:sz w:val="27"/>
          <w:szCs w:val="27"/>
          <w:lang w:val="uk-UA"/>
        </w:rPr>
        <w:t>17%</w:t>
      </w:r>
      <w:r>
        <w:rPr>
          <w:sz w:val="27"/>
          <w:szCs w:val="27"/>
          <w:lang w:val="uk-UA"/>
        </w:rPr>
        <w:t xml:space="preserve">), </w:t>
      </w:r>
      <w:r w:rsidRPr="00903E4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903E4C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903E4C">
        <w:rPr>
          <w:sz w:val="27"/>
          <w:szCs w:val="27"/>
          <w:lang w:val="uk-UA"/>
        </w:rPr>
        <w:t>правоосвітньої</w:t>
      </w:r>
      <w:proofErr w:type="spellEnd"/>
      <w:r w:rsidRPr="00903E4C">
        <w:rPr>
          <w:sz w:val="27"/>
          <w:szCs w:val="27"/>
          <w:lang w:val="uk-UA"/>
        </w:rPr>
        <w:t xml:space="preserve"> діяльності </w:t>
      </w:r>
      <w:r>
        <w:rPr>
          <w:sz w:val="27"/>
          <w:szCs w:val="27"/>
          <w:lang w:val="uk-UA"/>
        </w:rPr>
        <w:t>(</w:t>
      </w:r>
      <w:r w:rsidRPr="00903E4C">
        <w:rPr>
          <w:b/>
          <w:sz w:val="27"/>
          <w:szCs w:val="27"/>
          <w:lang w:val="uk-UA"/>
        </w:rPr>
        <w:t>3</w:t>
      </w:r>
      <w:r w:rsidRPr="00903E4C">
        <w:rPr>
          <w:sz w:val="27"/>
          <w:szCs w:val="27"/>
          <w:lang w:val="uk-UA"/>
        </w:rPr>
        <w:t xml:space="preserve"> запити або </w:t>
      </w:r>
      <w:r w:rsidRPr="00903E4C">
        <w:rPr>
          <w:b/>
          <w:sz w:val="27"/>
          <w:szCs w:val="27"/>
          <w:lang w:val="uk-UA"/>
        </w:rPr>
        <w:t>6%</w:t>
      </w:r>
      <w:r>
        <w:rPr>
          <w:sz w:val="27"/>
          <w:szCs w:val="27"/>
          <w:lang w:val="uk-UA"/>
        </w:rPr>
        <w:t xml:space="preserve">), Департаменту судової роботи, </w:t>
      </w:r>
      <w:r w:rsidRPr="00903E4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903E4C">
        <w:rPr>
          <w:sz w:val="27"/>
          <w:szCs w:val="27"/>
          <w:lang w:val="uk-UA"/>
        </w:rPr>
        <w:t xml:space="preserve"> кадрової роботи та державної </w:t>
      </w:r>
      <w:r w:rsidRPr="00903E4C">
        <w:rPr>
          <w:sz w:val="27"/>
          <w:szCs w:val="27"/>
          <w:lang w:val="uk-UA"/>
        </w:rPr>
        <w:lastRenderedPageBreak/>
        <w:t>служби</w:t>
      </w:r>
      <w:r>
        <w:rPr>
          <w:sz w:val="27"/>
          <w:szCs w:val="27"/>
          <w:lang w:val="uk-UA"/>
        </w:rPr>
        <w:t xml:space="preserve">, </w:t>
      </w:r>
      <w:r w:rsidRPr="00903E4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903E4C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 </w:t>
      </w:r>
      <w:r>
        <w:rPr>
          <w:sz w:val="27"/>
          <w:szCs w:val="27"/>
          <w:lang w:val="uk-UA"/>
        </w:rPr>
        <w:t xml:space="preserve">(по </w:t>
      </w:r>
      <w:r w:rsidRPr="00903E4C">
        <w:rPr>
          <w:b/>
          <w:sz w:val="27"/>
          <w:szCs w:val="27"/>
          <w:lang w:val="uk-UA"/>
        </w:rPr>
        <w:t>1</w:t>
      </w:r>
      <w:r w:rsidRPr="00903E4C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у</w:t>
      </w:r>
      <w:r w:rsidRPr="00903E4C">
        <w:rPr>
          <w:sz w:val="27"/>
          <w:szCs w:val="27"/>
          <w:lang w:val="uk-UA"/>
        </w:rPr>
        <w:t xml:space="preserve"> або </w:t>
      </w:r>
      <w:r>
        <w:rPr>
          <w:sz w:val="27"/>
          <w:szCs w:val="27"/>
          <w:lang w:val="uk-UA"/>
        </w:rPr>
        <w:t xml:space="preserve">по </w:t>
      </w:r>
      <w:r w:rsidRPr="00903E4C">
        <w:rPr>
          <w:b/>
          <w:sz w:val="27"/>
          <w:szCs w:val="27"/>
          <w:lang w:val="uk-UA"/>
        </w:rPr>
        <w:t>2%</w:t>
      </w:r>
      <w:r>
        <w:rPr>
          <w:sz w:val="27"/>
          <w:szCs w:val="27"/>
          <w:lang w:val="uk-UA"/>
        </w:rPr>
        <w:t xml:space="preserve">). </w:t>
      </w:r>
    </w:p>
    <w:p w:rsidR="00B147BF" w:rsidRDefault="00B147BF" w:rsidP="0070483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</w:p>
    <w:p w:rsidR="00B147BF" w:rsidRPr="00B147BF" w:rsidRDefault="00903E4C" w:rsidP="0070483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903E4C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4600575" cy="7120160"/>
            <wp:effectExtent l="0" t="0" r="0" b="0"/>
            <wp:docPr id="5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BA65C1" w:rsidRDefault="00976ECB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52</w:t>
      </w:r>
      <w:r w:rsidR="008F2297" w:rsidRPr="00BA65C1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и</w:t>
      </w:r>
      <w:r w:rsidR="008F2297" w:rsidRPr="00BA65C1">
        <w:rPr>
          <w:b/>
          <w:sz w:val="27"/>
          <w:szCs w:val="27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8F2297" w:rsidRPr="00BA65C1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B83BBF">
        <w:rPr>
          <w:b/>
          <w:sz w:val="27"/>
          <w:szCs w:val="27"/>
          <w:lang w:val="uk-UA"/>
        </w:rPr>
        <w:t>2</w:t>
      </w:r>
      <w:r w:rsidR="004773BA">
        <w:rPr>
          <w:b/>
          <w:sz w:val="27"/>
          <w:szCs w:val="27"/>
          <w:lang w:val="uk-UA"/>
        </w:rPr>
        <w:t>4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6261E5">
        <w:rPr>
          <w:b/>
          <w:sz w:val="27"/>
          <w:szCs w:val="27"/>
          <w:lang w:val="uk-UA"/>
        </w:rPr>
        <w:t>и</w:t>
      </w:r>
      <w:r w:rsidRPr="00BA65C1">
        <w:rPr>
          <w:b/>
          <w:sz w:val="27"/>
          <w:szCs w:val="27"/>
          <w:lang w:val="uk-UA"/>
        </w:rPr>
        <w:t xml:space="preserve"> (</w:t>
      </w:r>
      <w:r w:rsidR="00B83BBF">
        <w:rPr>
          <w:b/>
          <w:sz w:val="27"/>
          <w:szCs w:val="27"/>
          <w:lang w:val="uk-UA"/>
        </w:rPr>
        <w:t>4</w:t>
      </w:r>
      <w:r w:rsidR="00A26036">
        <w:rPr>
          <w:b/>
          <w:sz w:val="27"/>
          <w:szCs w:val="27"/>
          <w:lang w:val="uk-UA"/>
        </w:rPr>
        <w:t>6</w:t>
      </w:r>
      <w:r w:rsidRPr="00BA65C1">
        <w:rPr>
          <w:b/>
          <w:sz w:val="27"/>
          <w:szCs w:val="27"/>
          <w:lang w:val="uk-UA"/>
        </w:rPr>
        <w:t>%), із них:</w:t>
      </w:r>
    </w:p>
    <w:p w:rsidR="008F2297" w:rsidRPr="00BA65C1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B83BBF">
        <w:rPr>
          <w:b/>
          <w:sz w:val="27"/>
          <w:szCs w:val="27"/>
          <w:lang w:val="uk-UA"/>
        </w:rPr>
        <w:t>2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B83BBF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B83BBF">
        <w:rPr>
          <w:b/>
          <w:sz w:val="27"/>
          <w:szCs w:val="27"/>
          <w:lang w:val="uk-UA"/>
        </w:rPr>
        <w:t>4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B83BBF">
        <w:rPr>
          <w:b/>
          <w:sz w:val="27"/>
          <w:szCs w:val="27"/>
          <w:lang w:val="uk-UA"/>
        </w:rPr>
        <w:t>22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896E46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B83BBF">
        <w:rPr>
          <w:b/>
          <w:sz w:val="27"/>
          <w:szCs w:val="27"/>
          <w:lang w:val="uk-UA"/>
        </w:rPr>
        <w:t>42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F2297" w:rsidRPr="00BA65C1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A26036">
        <w:rPr>
          <w:b/>
          <w:sz w:val="27"/>
          <w:szCs w:val="27"/>
          <w:lang w:val="uk-UA"/>
        </w:rPr>
        <w:t>27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567023">
        <w:rPr>
          <w:b/>
          <w:sz w:val="27"/>
          <w:szCs w:val="27"/>
          <w:lang w:val="uk-UA"/>
        </w:rPr>
        <w:t>ів</w:t>
      </w:r>
      <w:r w:rsidRPr="00BA65C1">
        <w:rPr>
          <w:b/>
          <w:sz w:val="27"/>
          <w:szCs w:val="27"/>
          <w:lang w:val="uk-UA"/>
        </w:rPr>
        <w:t xml:space="preserve"> (</w:t>
      </w:r>
      <w:r w:rsidR="00A26036">
        <w:rPr>
          <w:b/>
          <w:sz w:val="27"/>
          <w:szCs w:val="27"/>
          <w:lang w:val="uk-UA"/>
        </w:rPr>
        <w:t>52</w:t>
      </w:r>
      <w:r w:rsidRPr="00BA65C1">
        <w:rPr>
          <w:b/>
          <w:sz w:val="27"/>
          <w:szCs w:val="27"/>
          <w:lang w:val="uk-UA"/>
        </w:rPr>
        <w:t>%), із них:</w:t>
      </w:r>
      <w:r w:rsidR="00011F50">
        <w:rPr>
          <w:b/>
          <w:sz w:val="27"/>
          <w:szCs w:val="27"/>
          <w:lang w:val="uk-UA"/>
        </w:rPr>
        <w:t xml:space="preserve"> </w:t>
      </w:r>
    </w:p>
    <w:p w:rsidR="00A74EC3" w:rsidRDefault="00A74EC3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lastRenderedPageBreak/>
        <w:t xml:space="preserve">до Державної </w:t>
      </w:r>
      <w:r>
        <w:rPr>
          <w:sz w:val="27"/>
          <w:szCs w:val="27"/>
          <w:lang w:val="uk-UA"/>
        </w:rPr>
        <w:t>реєстраційної</w:t>
      </w:r>
      <w:r w:rsidRPr="00BA65C1">
        <w:rPr>
          <w:sz w:val="27"/>
          <w:szCs w:val="27"/>
          <w:lang w:val="uk-UA"/>
        </w:rPr>
        <w:t xml:space="preserve"> служби України – </w:t>
      </w:r>
      <w:r w:rsidR="00A26036" w:rsidRPr="00A26036">
        <w:rPr>
          <w:b/>
          <w:sz w:val="27"/>
          <w:szCs w:val="27"/>
          <w:lang w:val="uk-UA"/>
        </w:rPr>
        <w:t>4</w:t>
      </w:r>
      <w:r w:rsidRPr="00A26036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DC1D71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(</w:t>
      </w:r>
      <w:r w:rsidR="00A26036">
        <w:rPr>
          <w:b/>
          <w:sz w:val="27"/>
          <w:szCs w:val="27"/>
          <w:lang w:val="uk-UA"/>
        </w:rPr>
        <w:t>8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>;</w:t>
      </w:r>
    </w:p>
    <w:p w:rsidR="00C152D0" w:rsidRPr="00BA65C1" w:rsidRDefault="00C152D0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</w:t>
      </w:r>
      <w:r w:rsidR="00567023">
        <w:rPr>
          <w:sz w:val="27"/>
          <w:szCs w:val="27"/>
          <w:lang w:val="uk-UA"/>
        </w:rPr>
        <w:t>виконавчої</w:t>
      </w:r>
      <w:r w:rsidRPr="00BA65C1">
        <w:rPr>
          <w:sz w:val="27"/>
          <w:szCs w:val="27"/>
          <w:lang w:val="uk-UA"/>
        </w:rPr>
        <w:t xml:space="preserve"> служби України – </w:t>
      </w:r>
      <w:r w:rsidR="00567023">
        <w:rPr>
          <w:b/>
          <w:sz w:val="27"/>
          <w:szCs w:val="27"/>
          <w:lang w:val="uk-UA"/>
        </w:rPr>
        <w:t>1</w:t>
      </w:r>
      <w:r w:rsidRPr="00BA65C1">
        <w:rPr>
          <w:sz w:val="27"/>
          <w:szCs w:val="27"/>
          <w:lang w:val="uk-UA"/>
        </w:rPr>
        <w:t xml:space="preserve"> запит (</w:t>
      </w:r>
      <w:r w:rsidR="00530451">
        <w:rPr>
          <w:b/>
          <w:sz w:val="27"/>
          <w:szCs w:val="27"/>
          <w:lang w:val="uk-UA"/>
        </w:rPr>
        <w:t>2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 w:rsidR="00EF55F9">
        <w:rPr>
          <w:sz w:val="27"/>
          <w:szCs w:val="27"/>
          <w:lang w:val="uk-UA"/>
        </w:rPr>
        <w:t>;</w:t>
      </w: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інших розпорядників інформації – </w:t>
      </w:r>
      <w:r w:rsidR="00A26036">
        <w:rPr>
          <w:b/>
          <w:sz w:val="27"/>
          <w:szCs w:val="27"/>
          <w:lang w:val="uk-UA"/>
        </w:rPr>
        <w:t>22</w:t>
      </w:r>
      <w:r w:rsidRPr="00BA65C1">
        <w:rPr>
          <w:sz w:val="27"/>
          <w:szCs w:val="27"/>
          <w:lang w:val="uk-UA"/>
        </w:rPr>
        <w:t xml:space="preserve"> запит</w:t>
      </w:r>
      <w:r w:rsidR="00A26036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(</w:t>
      </w:r>
      <w:r w:rsidR="00A26036">
        <w:rPr>
          <w:b/>
          <w:sz w:val="27"/>
          <w:szCs w:val="27"/>
          <w:lang w:val="uk-UA"/>
        </w:rPr>
        <w:t>42</w:t>
      </w:r>
      <w:r w:rsidRPr="00BA65C1">
        <w:rPr>
          <w:b/>
          <w:sz w:val="27"/>
          <w:szCs w:val="27"/>
          <w:lang w:val="uk-UA"/>
        </w:rPr>
        <w:t>%</w:t>
      </w:r>
      <w:r w:rsidR="001C5D7B">
        <w:rPr>
          <w:sz w:val="27"/>
          <w:szCs w:val="27"/>
          <w:lang w:val="uk-UA"/>
        </w:rPr>
        <w:t>);</w:t>
      </w:r>
    </w:p>
    <w:p w:rsidR="001C5D7B" w:rsidRDefault="001C5D7B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1C5D7B">
        <w:rPr>
          <w:b/>
          <w:sz w:val="27"/>
          <w:szCs w:val="27"/>
          <w:lang w:val="uk-UA"/>
        </w:rPr>
        <w:t>- у задоволені 1</w:t>
      </w:r>
      <w:r w:rsidR="00A26036">
        <w:rPr>
          <w:b/>
          <w:sz w:val="27"/>
          <w:szCs w:val="27"/>
          <w:lang w:val="uk-UA"/>
        </w:rPr>
        <w:t xml:space="preserve"> </w:t>
      </w:r>
      <w:r w:rsidR="00A26036" w:rsidRPr="00A26036">
        <w:rPr>
          <w:b/>
          <w:sz w:val="27"/>
          <w:szCs w:val="27"/>
          <w:lang w:val="uk-UA"/>
        </w:rPr>
        <w:t>(2%)</w:t>
      </w:r>
      <w:r w:rsidRPr="001C5D7B">
        <w:rPr>
          <w:b/>
          <w:sz w:val="27"/>
          <w:szCs w:val="27"/>
          <w:lang w:val="uk-UA"/>
        </w:rPr>
        <w:t xml:space="preserve"> запиту на інформацію відмовлено.</w:t>
      </w:r>
    </w:p>
    <w:p w:rsidR="00976ECB" w:rsidRPr="001C5D7B" w:rsidRDefault="00976ECB" w:rsidP="008F2297">
      <w:pPr>
        <w:ind w:firstLine="709"/>
        <w:jc w:val="both"/>
        <w:rPr>
          <w:b/>
          <w:sz w:val="27"/>
          <w:szCs w:val="27"/>
          <w:lang w:val="uk-UA"/>
        </w:rPr>
      </w:pPr>
    </w:p>
    <w:p w:rsidR="008F2297" w:rsidRDefault="001C5D7B" w:rsidP="008F2297">
      <w:pPr>
        <w:ind w:firstLine="709"/>
        <w:jc w:val="both"/>
        <w:rPr>
          <w:sz w:val="27"/>
          <w:szCs w:val="27"/>
          <w:lang w:val="uk-UA"/>
        </w:rPr>
      </w:pPr>
      <w:r w:rsidRPr="001C5D7B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6276975" cy="5581650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30451" w:rsidRPr="00BA65C1" w:rsidRDefault="00530451" w:rsidP="008F2297">
      <w:pPr>
        <w:ind w:firstLine="709"/>
        <w:jc w:val="both"/>
        <w:rPr>
          <w:sz w:val="27"/>
          <w:szCs w:val="27"/>
          <w:lang w:val="uk-UA"/>
        </w:rPr>
      </w:pP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та систематизації нормативних актів,</w:t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 </w:t>
      </w:r>
      <w:proofErr w:type="spellStart"/>
      <w:r w:rsidRPr="00BA65C1">
        <w:rPr>
          <w:b/>
          <w:sz w:val="27"/>
          <w:szCs w:val="27"/>
          <w:lang w:val="uk-UA"/>
        </w:rPr>
        <w:t>правоосвітньої</w:t>
      </w:r>
      <w:proofErr w:type="spellEnd"/>
      <w:r w:rsidRPr="00BA65C1">
        <w:rPr>
          <w:b/>
          <w:sz w:val="27"/>
          <w:szCs w:val="27"/>
          <w:lang w:val="uk-UA"/>
        </w:rPr>
        <w:t xml:space="preserve"> діяльності»</w:t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</w:p>
    <w:sectPr w:rsidR="003A5BA7" w:rsidRPr="00BA65C1" w:rsidSect="00353BDE">
      <w:pgSz w:w="11906" w:h="16838"/>
      <w:pgMar w:top="851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ED2" w:rsidRDefault="00914ED2" w:rsidP="00BB617A">
      <w:r>
        <w:separator/>
      </w:r>
    </w:p>
  </w:endnote>
  <w:endnote w:type="continuationSeparator" w:id="0">
    <w:p w:rsidR="00914ED2" w:rsidRDefault="00914ED2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ED2" w:rsidRDefault="00914ED2" w:rsidP="00BB617A">
      <w:r>
        <w:separator/>
      </w:r>
    </w:p>
  </w:footnote>
  <w:footnote w:type="continuationSeparator" w:id="0">
    <w:p w:rsidR="00914ED2" w:rsidRDefault="00914ED2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  <w:sz w:val="27"/>
        <w:szCs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2E76"/>
    <w:rsid w:val="0025599F"/>
    <w:rsid w:val="002559C4"/>
    <w:rsid w:val="00256C51"/>
    <w:rsid w:val="00256DAA"/>
    <w:rsid w:val="00256E6E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2CF2"/>
    <w:rsid w:val="003A3A94"/>
    <w:rsid w:val="003A4B4F"/>
    <w:rsid w:val="003A4F4D"/>
    <w:rsid w:val="003A5BA7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3DBA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5336"/>
    <w:rsid w:val="00461BBF"/>
    <w:rsid w:val="00464542"/>
    <w:rsid w:val="004654AE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2900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F0DF3"/>
    <w:rsid w:val="004F3763"/>
    <w:rsid w:val="004F4617"/>
    <w:rsid w:val="004F5C41"/>
    <w:rsid w:val="005015DC"/>
    <w:rsid w:val="00501E42"/>
    <w:rsid w:val="005021E5"/>
    <w:rsid w:val="00506202"/>
    <w:rsid w:val="00506CD6"/>
    <w:rsid w:val="00511B38"/>
    <w:rsid w:val="00512715"/>
    <w:rsid w:val="0052090D"/>
    <w:rsid w:val="005254A5"/>
    <w:rsid w:val="00525D9A"/>
    <w:rsid w:val="00530451"/>
    <w:rsid w:val="00531760"/>
    <w:rsid w:val="00531DBD"/>
    <w:rsid w:val="005322DE"/>
    <w:rsid w:val="0053369B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4C23"/>
    <w:rsid w:val="00596D87"/>
    <w:rsid w:val="00597121"/>
    <w:rsid w:val="005A07AD"/>
    <w:rsid w:val="005A0923"/>
    <w:rsid w:val="005A3CC0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4ED2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76ECB"/>
    <w:rsid w:val="00980D9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83BBF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4310"/>
    <w:rsid w:val="00C25BAF"/>
    <w:rsid w:val="00C26B36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58F1"/>
    <w:rsid w:val="00D47ABB"/>
    <w:rsid w:val="00D5032F"/>
    <w:rsid w:val="00D518C6"/>
    <w:rsid w:val="00D529D7"/>
    <w:rsid w:val="00D52F21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722E-2"/>
                  <c:y val="2.843503937007878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'05.05.2014-08.05.2014'!$B$102:$B$103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'05.05.2014-08.05.2014'!$C$102:$C$103</c:f>
              <c:numCache>
                <c:formatCode>General</c:formatCode>
                <c:ptCount val="2"/>
                <c:pt idx="0">
                  <c:v>20</c:v>
                </c:pt>
                <c:pt idx="1">
                  <c:v>32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671E-3"/>
          <c:w val="0.6694557399392016"/>
          <c:h val="0.3942802451021170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379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9.2560306229471256E-2"/>
                  <c:y val="-1.2623090010427667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4248E-2"/>
                  <c:y val="-1.8058388457900327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1607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'12.05.2014-16.05.2014 (2)'!$G$6:$G$13</c:f>
              <c:strCache>
                <c:ptCount val="8"/>
                <c:pt idx="0">
                  <c:v>Департамент взаємодії з органами влади - 16 запитів або 31% (з них 9 запитів або 56% надіслано для розгляду належним розпорядникам інформації)</c:v>
                </c:pt>
                <c:pt idx="1">
                  <c:v>Департамент цивільного, фінансового законодавства та законодавства з питань земельних відносин -  11 запитів або 21%</c:v>
                </c:pt>
                <c:pt idx="2">
                  <c:v>Департамент організаційного та ресурсного забезпечення - 10 запитів або 19% (з них 9 запитів або 90% надіслано для розгляду належним розпорядникам інформації)</c:v>
                </c:pt>
                <c:pt idx="3">
                  <c:v>Департамент конституційного, адміністративного та соціального законодавства - 9 запитів або 17%</c:v>
                </c:pt>
                <c:pt idx="4">
                  <c:v>Департамент реєстрації та систематизації нормативних актів, правоосвітньої діяльності - 3 запити або 6%</c:v>
                </c:pt>
                <c:pt idx="5">
                  <c:v>Департамент судової роботи - 1 запит або 2%</c:v>
                </c:pt>
                <c:pt idx="6">
                  <c:v>Департамент кадрової роботи та державної служби - 1 запит або 2%</c:v>
                </c:pt>
                <c:pt idx="7">
                  <c:v>Департамент антикорупційного законодавства та законодавства про правосуддя - 1 запит або 2%</c:v>
                </c:pt>
              </c:strCache>
            </c:strRef>
          </c:cat>
          <c:val>
            <c:numRef>
              <c:f>'12.05.2014-16.05.2014 (2)'!$H$6:$H$13</c:f>
              <c:numCache>
                <c:formatCode>General</c:formatCode>
                <c:ptCount val="8"/>
                <c:pt idx="0">
                  <c:v>16</c:v>
                </c:pt>
                <c:pt idx="1">
                  <c:v>11</c:v>
                </c:pt>
                <c:pt idx="2">
                  <c:v>10</c:v>
                </c:pt>
                <c:pt idx="3">
                  <c:v>9</c:v>
                </c:pt>
                <c:pt idx="4">
                  <c:v>3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3285"/>
          <c:h val="0.66254889606600587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2.913355658128941E-2"/>
                  <c:y val="0.13827395988646998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1.609602678975473E-2"/>
                  <c:y val="5.533120566501957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7597821823996146E-2"/>
                  <c:y val="4.027240726364603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('12.05.2014-16.05.2014 (2)'!$B$43:$B$45,'12.05.2014-16.05.2014 (2)'!$B$47:$B$48,'12.05.2014-16.05.2014 (2)'!$B$50)</c:f>
              <c:strCache>
                <c:ptCount val="6"/>
                <c:pt idx="0">
                  <c:v>На 2 запити або 4% надано публічну інформацію</c:v>
                </c:pt>
                <c:pt idx="1">
                  <c:v>На 22 запити або 42% надано роз'яснення законодавства України</c:v>
                </c:pt>
                <c:pt idx="2">
                  <c:v>Відмовлено в задоволені 1 запиту або 2%</c:v>
                </c:pt>
                <c:pt idx="3">
                  <c:v>Надіслано за належністю до Державної реєстраційної служби України для розгляду та надання відповіді 1 запит або 2%
</c:v>
                </c:pt>
                <c:pt idx="4">
                  <c:v>Надіслано за належністю до Державної виконавчої служби України для розгляду та надання відповіді 4 запити або 8%</c:v>
                </c:pt>
                <c:pt idx="5">
                  <c:v>Надіслано за належністю до інших розпорядників інформації для розгляду та надання відповіді 
22 запити або 42%</c:v>
                </c:pt>
              </c:strCache>
            </c:strRef>
          </c:cat>
          <c:val>
            <c:numRef>
              <c:f>('12.05.2014-16.05.2014 (2)'!$C$43:$C$45,'12.05.2014-16.05.2014 (2)'!$C$47:$C$48,'12.05.2014-16.05.2014 (2)'!$C$50)</c:f>
              <c:numCache>
                <c:formatCode>General</c:formatCode>
                <c:ptCount val="6"/>
                <c:pt idx="0">
                  <c:v>2</c:v>
                </c:pt>
                <c:pt idx="1">
                  <c:v>22</c:v>
                </c:pt>
                <c:pt idx="2">
                  <c:v>1</c:v>
                </c:pt>
                <c:pt idx="3">
                  <c:v>1</c:v>
                </c:pt>
                <c:pt idx="4">
                  <c:v>4</c:v>
                </c:pt>
                <c:pt idx="5">
                  <c:v>22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8836"/>
          <c:y val="0"/>
          <c:w val="0.33924175283111763"/>
          <c:h val="0.96913735076615859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43021-7E44-423D-81A3-66FD2E8E6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1737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16</cp:revision>
  <cp:lastPrinted>2014-06-13T13:42:00Z</cp:lastPrinted>
  <dcterms:created xsi:type="dcterms:W3CDTF">2014-06-12T07:03:00Z</dcterms:created>
  <dcterms:modified xsi:type="dcterms:W3CDTF">2016-04-21T08:38:00Z</dcterms:modified>
</cp:coreProperties>
</file>