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9F30D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9F30DF">
        <w:rPr>
          <w:rStyle w:val="atitle"/>
          <w:sz w:val="28"/>
          <w:szCs w:val="28"/>
          <w:lang w:val="uk-UA"/>
        </w:rPr>
        <w:t>Прошу у рубриці «</w:t>
      </w:r>
      <w:r w:rsidRPr="009F30DF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9F30DF">
        <w:rPr>
          <w:rStyle w:val="atitle"/>
          <w:sz w:val="28"/>
          <w:szCs w:val="28"/>
          <w:lang w:val="uk-UA"/>
        </w:rPr>
        <w:t>»:</w:t>
      </w:r>
    </w:p>
    <w:p w:rsidR="005E1C83" w:rsidRPr="009F30D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9F30DF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9F30DF">
        <w:rPr>
          <w:rStyle w:val="atitle"/>
          <w:sz w:val="28"/>
          <w:szCs w:val="28"/>
          <w:lang w:val="uk-UA"/>
        </w:rPr>
        <w:t xml:space="preserve">у підрубриці </w:t>
      </w:r>
      <w:r w:rsidR="009A449B" w:rsidRPr="009F30DF">
        <w:rPr>
          <w:rStyle w:val="atitle"/>
          <w:b/>
          <w:sz w:val="28"/>
          <w:szCs w:val="28"/>
          <w:lang w:val="uk-UA"/>
        </w:rPr>
        <w:t xml:space="preserve">«Звіти про </w:t>
      </w:r>
      <w:r w:rsidR="009A449B" w:rsidRPr="009F30DF">
        <w:rPr>
          <w:b/>
          <w:sz w:val="28"/>
          <w:szCs w:val="28"/>
          <w:lang w:val="uk-UA"/>
        </w:rPr>
        <w:t>розгляд</w:t>
      </w:r>
      <w:r w:rsidR="009A449B" w:rsidRPr="009F30DF">
        <w:rPr>
          <w:rStyle w:val="atitle"/>
          <w:b/>
          <w:sz w:val="28"/>
          <w:szCs w:val="28"/>
          <w:lang w:val="uk-UA"/>
        </w:rPr>
        <w:t xml:space="preserve"> </w:t>
      </w:r>
      <w:r w:rsidRPr="009F30DF">
        <w:rPr>
          <w:rStyle w:val="atitle"/>
          <w:b/>
          <w:sz w:val="28"/>
          <w:szCs w:val="28"/>
          <w:lang w:val="uk-UA"/>
        </w:rPr>
        <w:t>запитів на отримання інформації/</w:t>
      </w:r>
      <w:r w:rsidRPr="009F30DF">
        <w:rPr>
          <w:rStyle w:val="atitle"/>
          <w:sz w:val="28"/>
          <w:szCs w:val="28"/>
          <w:lang w:val="uk-UA"/>
        </w:rPr>
        <w:t xml:space="preserve"> </w:t>
      </w:r>
      <w:r w:rsidRPr="009F30DF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9F30D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9F30DF">
        <w:rPr>
          <w:rStyle w:val="atitle"/>
          <w:b/>
          <w:sz w:val="28"/>
          <w:szCs w:val="28"/>
          <w:lang w:val="uk-UA"/>
        </w:rPr>
        <w:t xml:space="preserve">- </w:t>
      </w:r>
      <w:r w:rsidRPr="009F30DF">
        <w:rPr>
          <w:rStyle w:val="atitle"/>
          <w:sz w:val="28"/>
          <w:szCs w:val="28"/>
          <w:lang w:val="uk-UA"/>
        </w:rPr>
        <w:t>розмістити</w:t>
      </w:r>
      <w:r w:rsidRPr="009F30DF">
        <w:rPr>
          <w:rStyle w:val="atitle"/>
          <w:b/>
          <w:sz w:val="28"/>
          <w:szCs w:val="28"/>
          <w:lang w:val="uk-UA"/>
        </w:rPr>
        <w:t xml:space="preserve"> </w:t>
      </w:r>
      <w:r w:rsidRPr="009F30DF">
        <w:rPr>
          <w:bCs/>
          <w:sz w:val="28"/>
          <w:szCs w:val="28"/>
          <w:lang w:val="uk-UA"/>
        </w:rPr>
        <w:t>позицію</w:t>
      </w:r>
      <w:r w:rsidRPr="009F30DF">
        <w:rPr>
          <w:b/>
          <w:bCs/>
          <w:sz w:val="28"/>
          <w:szCs w:val="28"/>
          <w:lang w:val="uk-UA"/>
        </w:rPr>
        <w:t xml:space="preserve"> «</w:t>
      </w:r>
      <w:r w:rsidRPr="009F30DF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03264A">
        <w:rPr>
          <w:b/>
          <w:sz w:val="28"/>
          <w:szCs w:val="28"/>
          <w:lang w:val="uk-UA"/>
        </w:rPr>
        <w:t>01.12.2014</w:t>
      </w:r>
      <w:r w:rsidR="00033F72" w:rsidRPr="009F30DF">
        <w:rPr>
          <w:b/>
          <w:sz w:val="28"/>
          <w:szCs w:val="28"/>
          <w:lang w:val="uk-UA"/>
        </w:rPr>
        <w:t xml:space="preserve"> </w:t>
      </w:r>
      <w:r w:rsidRPr="009F30DF">
        <w:rPr>
          <w:b/>
          <w:sz w:val="28"/>
          <w:szCs w:val="28"/>
          <w:lang w:val="uk-UA"/>
        </w:rPr>
        <w:t xml:space="preserve">по </w:t>
      </w:r>
      <w:r w:rsidR="0003264A">
        <w:rPr>
          <w:b/>
          <w:sz w:val="28"/>
          <w:szCs w:val="28"/>
          <w:lang w:val="uk-UA"/>
        </w:rPr>
        <w:t>12.12.2014</w:t>
      </w:r>
      <w:r w:rsidRPr="009F30DF">
        <w:rPr>
          <w:b/>
          <w:sz w:val="28"/>
          <w:szCs w:val="28"/>
          <w:lang w:val="uk-UA"/>
        </w:rPr>
        <w:t>»</w:t>
      </w:r>
      <w:r w:rsidRPr="009F30DF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9F30D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9F30D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за період з </w:t>
      </w:r>
      <w:r w:rsidR="0003264A">
        <w:rPr>
          <w:b/>
          <w:sz w:val="28"/>
          <w:szCs w:val="28"/>
          <w:lang w:val="uk-UA"/>
        </w:rPr>
        <w:t>01.12.2014</w:t>
      </w:r>
      <w:r w:rsidR="00033F72" w:rsidRPr="009F30DF">
        <w:rPr>
          <w:b/>
          <w:sz w:val="28"/>
          <w:szCs w:val="28"/>
          <w:lang w:val="uk-UA"/>
        </w:rPr>
        <w:t xml:space="preserve"> </w:t>
      </w:r>
      <w:r w:rsidRPr="009F30DF">
        <w:rPr>
          <w:b/>
          <w:sz w:val="28"/>
          <w:szCs w:val="28"/>
          <w:lang w:val="uk-UA"/>
        </w:rPr>
        <w:t xml:space="preserve">по </w:t>
      </w:r>
      <w:r w:rsidR="0003264A">
        <w:rPr>
          <w:b/>
          <w:sz w:val="28"/>
          <w:szCs w:val="28"/>
          <w:lang w:val="uk-UA"/>
        </w:rPr>
        <w:t>12.12.2014</w:t>
      </w:r>
    </w:p>
    <w:p w:rsidR="005E1C83" w:rsidRPr="009F30DF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 xml:space="preserve">З </w:t>
      </w:r>
      <w:r w:rsidR="0003264A">
        <w:rPr>
          <w:sz w:val="28"/>
          <w:szCs w:val="28"/>
          <w:lang w:val="uk-UA"/>
        </w:rPr>
        <w:t>01.12.2014</w:t>
      </w:r>
      <w:r w:rsidR="00033F72" w:rsidRPr="009F30DF">
        <w:rPr>
          <w:sz w:val="28"/>
          <w:szCs w:val="28"/>
          <w:lang w:val="uk-UA"/>
        </w:rPr>
        <w:t xml:space="preserve"> </w:t>
      </w:r>
      <w:r w:rsidRPr="009F30DF">
        <w:rPr>
          <w:sz w:val="28"/>
          <w:szCs w:val="28"/>
          <w:lang w:val="uk-UA"/>
        </w:rPr>
        <w:t xml:space="preserve">по </w:t>
      </w:r>
      <w:r w:rsidR="0003264A">
        <w:rPr>
          <w:sz w:val="28"/>
          <w:szCs w:val="28"/>
          <w:lang w:val="uk-UA"/>
        </w:rPr>
        <w:t>12.12.2014</w:t>
      </w:r>
      <w:r w:rsidR="00033F72" w:rsidRPr="009F30DF">
        <w:rPr>
          <w:sz w:val="28"/>
          <w:szCs w:val="28"/>
          <w:lang w:val="uk-UA"/>
        </w:rPr>
        <w:t xml:space="preserve"> </w:t>
      </w:r>
      <w:r w:rsidRPr="009F30DF">
        <w:rPr>
          <w:sz w:val="28"/>
          <w:szCs w:val="28"/>
          <w:lang w:val="uk-UA"/>
        </w:rPr>
        <w:t xml:space="preserve">до Міністерства юстиції надійшло </w:t>
      </w:r>
      <w:r w:rsidR="0003264A" w:rsidRPr="0003264A">
        <w:rPr>
          <w:b/>
          <w:sz w:val="28"/>
          <w:szCs w:val="28"/>
        </w:rPr>
        <w:t>14</w:t>
      </w:r>
      <w:r w:rsidR="00544652">
        <w:rPr>
          <w:b/>
          <w:sz w:val="28"/>
          <w:szCs w:val="28"/>
          <w:lang w:val="uk-UA"/>
        </w:rPr>
        <w:t>6</w:t>
      </w:r>
      <w:r w:rsidRPr="009F30DF">
        <w:rPr>
          <w:sz w:val="28"/>
          <w:szCs w:val="28"/>
          <w:lang w:val="uk-UA"/>
        </w:rPr>
        <w:t xml:space="preserve"> запит</w:t>
      </w:r>
      <w:r w:rsidR="000B600B">
        <w:rPr>
          <w:sz w:val="28"/>
          <w:szCs w:val="28"/>
          <w:lang w:val="uk-UA"/>
        </w:rPr>
        <w:t>ів</w:t>
      </w:r>
      <w:r w:rsidRPr="009F30DF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9F30DF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9F30DF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9F30DF" w:rsidRDefault="005E1C83" w:rsidP="0003264A">
      <w:pPr>
        <w:ind w:right="-41" w:firstLine="426"/>
        <w:jc w:val="both"/>
        <w:rPr>
          <w:rStyle w:val="grame"/>
          <w:b/>
          <w:sz w:val="28"/>
          <w:szCs w:val="28"/>
          <w:lang w:val="uk-UA"/>
        </w:rPr>
      </w:pPr>
      <w:r w:rsidRPr="009F30DF">
        <w:rPr>
          <w:rStyle w:val="grame"/>
          <w:sz w:val="28"/>
          <w:szCs w:val="28"/>
          <w:lang w:val="uk-UA"/>
        </w:rPr>
        <w:t xml:space="preserve">від фізичних осіб – </w:t>
      </w:r>
      <w:r w:rsidR="00544652">
        <w:rPr>
          <w:rStyle w:val="grame"/>
          <w:b/>
          <w:sz w:val="28"/>
          <w:szCs w:val="28"/>
          <w:lang w:val="uk-UA"/>
        </w:rPr>
        <w:t>8</w:t>
      </w:r>
      <w:r w:rsidR="0003264A" w:rsidRPr="0003264A">
        <w:rPr>
          <w:rStyle w:val="grame"/>
          <w:b/>
          <w:sz w:val="28"/>
          <w:szCs w:val="28"/>
        </w:rPr>
        <w:t>9</w:t>
      </w:r>
      <w:r w:rsidRPr="009F30DF">
        <w:rPr>
          <w:rStyle w:val="grame"/>
          <w:b/>
          <w:sz w:val="28"/>
          <w:szCs w:val="28"/>
          <w:lang w:val="uk-UA"/>
        </w:rPr>
        <w:t xml:space="preserve"> </w:t>
      </w:r>
      <w:r w:rsidRPr="009F30DF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03264A" w:rsidRPr="0003264A">
        <w:rPr>
          <w:rStyle w:val="grame"/>
          <w:sz w:val="28"/>
          <w:szCs w:val="28"/>
        </w:rPr>
        <w:t>62</w:t>
      </w:r>
      <w:r w:rsidRPr="009F30DF">
        <w:rPr>
          <w:rStyle w:val="grame"/>
          <w:sz w:val="28"/>
          <w:szCs w:val="28"/>
          <w:lang w:val="uk-UA"/>
        </w:rPr>
        <w:t xml:space="preserve">, поштою – </w:t>
      </w:r>
      <w:r w:rsidR="0003264A" w:rsidRPr="0003264A">
        <w:rPr>
          <w:rStyle w:val="grame"/>
          <w:sz w:val="28"/>
          <w:szCs w:val="28"/>
        </w:rPr>
        <w:t>23</w:t>
      </w:r>
      <w:r w:rsidR="0003264A">
        <w:rPr>
          <w:rStyle w:val="grame"/>
          <w:sz w:val="28"/>
          <w:szCs w:val="28"/>
          <w:lang w:val="uk-UA"/>
        </w:rPr>
        <w:t>,</w:t>
      </w:r>
      <w:r w:rsidR="0003264A" w:rsidRPr="0003264A">
        <w:rPr>
          <w:rStyle w:val="grame"/>
          <w:sz w:val="28"/>
          <w:szCs w:val="28"/>
        </w:rPr>
        <w:t xml:space="preserve"> </w:t>
      </w:r>
      <w:r w:rsidR="0003264A">
        <w:rPr>
          <w:rStyle w:val="grame"/>
          <w:sz w:val="28"/>
          <w:szCs w:val="28"/>
          <w:lang w:val="uk-UA"/>
        </w:rPr>
        <w:t xml:space="preserve">особисто – </w:t>
      </w:r>
      <w:r w:rsidR="0003264A" w:rsidRPr="0003264A">
        <w:rPr>
          <w:rStyle w:val="grame"/>
          <w:sz w:val="28"/>
          <w:szCs w:val="28"/>
        </w:rPr>
        <w:t>4</w:t>
      </w:r>
      <w:r w:rsidRPr="009F30DF">
        <w:rPr>
          <w:rStyle w:val="grame"/>
          <w:sz w:val="28"/>
          <w:szCs w:val="28"/>
          <w:lang w:val="uk-UA"/>
        </w:rPr>
        <w:t>);</w:t>
      </w:r>
    </w:p>
    <w:p w:rsidR="005E1C83" w:rsidRPr="009F30DF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9F30DF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03264A" w:rsidRPr="0003264A">
        <w:rPr>
          <w:rStyle w:val="grame"/>
          <w:b/>
          <w:sz w:val="28"/>
          <w:szCs w:val="28"/>
        </w:rPr>
        <w:t>57</w:t>
      </w:r>
      <w:r w:rsidRPr="009F30DF">
        <w:rPr>
          <w:rStyle w:val="grame"/>
          <w:b/>
          <w:sz w:val="28"/>
          <w:szCs w:val="28"/>
          <w:lang w:val="uk-UA"/>
        </w:rPr>
        <w:t xml:space="preserve"> </w:t>
      </w:r>
      <w:r w:rsidRPr="009F30DF">
        <w:rPr>
          <w:rStyle w:val="grame"/>
          <w:sz w:val="28"/>
          <w:szCs w:val="28"/>
          <w:lang w:val="uk-UA"/>
        </w:rPr>
        <w:t>(</w:t>
      </w:r>
      <w:r w:rsidR="00E10599" w:rsidRPr="009F30DF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03264A" w:rsidRPr="0003264A">
        <w:rPr>
          <w:rStyle w:val="grame"/>
          <w:sz w:val="28"/>
          <w:szCs w:val="28"/>
        </w:rPr>
        <w:t>42</w:t>
      </w:r>
      <w:r w:rsidR="0003264A">
        <w:rPr>
          <w:rStyle w:val="grame"/>
          <w:sz w:val="28"/>
          <w:szCs w:val="28"/>
          <w:lang w:val="uk-UA"/>
        </w:rPr>
        <w:t xml:space="preserve">, поштою – </w:t>
      </w:r>
      <w:r w:rsidR="0003264A" w:rsidRPr="0003264A">
        <w:rPr>
          <w:rStyle w:val="grame"/>
          <w:sz w:val="28"/>
          <w:szCs w:val="28"/>
        </w:rPr>
        <w:t>12</w:t>
      </w:r>
      <w:r w:rsidR="008D6129">
        <w:rPr>
          <w:rStyle w:val="grame"/>
          <w:sz w:val="28"/>
          <w:szCs w:val="28"/>
          <w:lang w:val="uk-UA"/>
        </w:rPr>
        <w:t>, особисто – 3</w:t>
      </w:r>
      <w:r w:rsidRPr="009F30DF">
        <w:rPr>
          <w:rStyle w:val="grame"/>
          <w:sz w:val="28"/>
          <w:szCs w:val="28"/>
          <w:lang w:val="uk-UA"/>
        </w:rPr>
        <w:t xml:space="preserve">). </w:t>
      </w:r>
    </w:p>
    <w:p w:rsidR="00203FA1" w:rsidRPr="009F30DF" w:rsidRDefault="000901FC" w:rsidP="000901FC">
      <w:pPr>
        <w:spacing w:after="120"/>
        <w:ind w:left="-567"/>
        <w:jc w:val="center"/>
        <w:rPr>
          <w:sz w:val="28"/>
          <w:szCs w:val="28"/>
          <w:lang w:val="uk-UA"/>
        </w:rPr>
      </w:pPr>
      <w:r w:rsidRPr="000901F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19800" cy="2133600"/>
            <wp:effectExtent l="19050" t="0" r="1905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1C83" w:rsidRPr="009F30DF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Найбільша кількість запитів надійшла з</w:t>
      </w:r>
      <w:r w:rsidR="00E10599" w:rsidRPr="009F30DF">
        <w:rPr>
          <w:sz w:val="28"/>
          <w:szCs w:val="28"/>
          <w:lang w:val="uk-UA"/>
        </w:rPr>
        <w:t xml:space="preserve"> </w:t>
      </w:r>
      <w:r w:rsidR="00E10599" w:rsidRPr="009F30DF">
        <w:rPr>
          <w:color w:val="000000"/>
          <w:sz w:val="28"/>
          <w:szCs w:val="28"/>
          <w:lang w:val="uk-UA"/>
        </w:rPr>
        <w:t xml:space="preserve">м. Києва </w:t>
      </w:r>
      <w:r w:rsidR="004E6A4F">
        <w:rPr>
          <w:sz w:val="28"/>
          <w:szCs w:val="28"/>
          <w:lang w:val="uk-UA"/>
        </w:rPr>
        <w:t>(</w:t>
      </w:r>
      <w:r w:rsidR="00FA7A21" w:rsidRPr="00870A40">
        <w:rPr>
          <w:b/>
          <w:sz w:val="28"/>
          <w:szCs w:val="28"/>
          <w:lang w:val="uk-UA"/>
        </w:rPr>
        <w:t>39</w:t>
      </w:r>
      <w:r w:rsidR="00FA7A21">
        <w:rPr>
          <w:sz w:val="28"/>
          <w:szCs w:val="28"/>
          <w:lang w:val="uk-UA"/>
        </w:rPr>
        <w:t xml:space="preserve"> запит</w:t>
      </w:r>
      <w:r w:rsidR="00FA7A21" w:rsidRPr="00870A40">
        <w:rPr>
          <w:sz w:val="28"/>
          <w:szCs w:val="28"/>
          <w:lang w:val="uk-UA"/>
        </w:rPr>
        <w:t>ів</w:t>
      </w:r>
      <w:r w:rsidR="00E10599" w:rsidRPr="009F30DF">
        <w:rPr>
          <w:sz w:val="28"/>
          <w:szCs w:val="28"/>
          <w:lang w:val="uk-UA"/>
        </w:rPr>
        <w:t>) та</w:t>
      </w:r>
      <w:r w:rsidR="00FA7A21">
        <w:rPr>
          <w:sz w:val="28"/>
          <w:szCs w:val="28"/>
          <w:lang w:val="uk-UA"/>
        </w:rPr>
        <w:t xml:space="preserve"> Київської </w:t>
      </w:r>
      <w:r w:rsidR="00154847">
        <w:rPr>
          <w:sz w:val="28"/>
          <w:szCs w:val="28"/>
          <w:lang w:val="uk-UA"/>
        </w:rPr>
        <w:t xml:space="preserve"> </w:t>
      </w:r>
      <w:r w:rsidR="006B14B1" w:rsidRPr="009F30DF">
        <w:rPr>
          <w:sz w:val="28"/>
          <w:szCs w:val="28"/>
          <w:lang w:val="uk-UA"/>
        </w:rPr>
        <w:t xml:space="preserve">області </w:t>
      </w:r>
      <w:r w:rsidR="006F1005" w:rsidRPr="009F30DF">
        <w:rPr>
          <w:sz w:val="28"/>
          <w:szCs w:val="28"/>
          <w:lang w:val="uk-UA"/>
        </w:rPr>
        <w:t>(</w:t>
      </w:r>
      <w:r w:rsidR="004E6A4F">
        <w:rPr>
          <w:b/>
          <w:sz w:val="28"/>
          <w:szCs w:val="28"/>
          <w:lang w:val="uk-UA"/>
        </w:rPr>
        <w:t>8</w:t>
      </w:r>
      <w:r w:rsidR="00154847">
        <w:rPr>
          <w:sz w:val="28"/>
          <w:szCs w:val="28"/>
          <w:lang w:val="uk-UA"/>
        </w:rPr>
        <w:t xml:space="preserve"> запитів</w:t>
      </w:r>
      <w:r w:rsidR="006F1005" w:rsidRPr="009F30DF">
        <w:rPr>
          <w:sz w:val="28"/>
          <w:szCs w:val="28"/>
          <w:lang w:val="uk-UA"/>
        </w:rPr>
        <w:t>)</w:t>
      </w:r>
      <w:r w:rsidRPr="009F30DF">
        <w:rPr>
          <w:sz w:val="28"/>
          <w:szCs w:val="28"/>
          <w:lang w:val="uk-UA"/>
        </w:rPr>
        <w:t xml:space="preserve">. </w:t>
      </w:r>
    </w:p>
    <w:p w:rsidR="00DC53AF" w:rsidRPr="009F30DF" w:rsidRDefault="00DC53AF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9F30DF">
        <w:rPr>
          <w:sz w:val="28"/>
          <w:szCs w:val="28"/>
          <w:lang w:val="uk-UA"/>
        </w:rPr>
        <w:t>Запитувані документи</w:t>
      </w:r>
      <w:r w:rsidR="00787DB4" w:rsidRPr="009F30DF">
        <w:rPr>
          <w:sz w:val="28"/>
          <w:szCs w:val="28"/>
          <w:lang w:val="uk-UA"/>
        </w:rPr>
        <w:t xml:space="preserve"> та інформація</w:t>
      </w:r>
      <w:r w:rsidRPr="009F30DF">
        <w:rPr>
          <w:sz w:val="28"/>
          <w:szCs w:val="28"/>
          <w:lang w:val="uk-UA"/>
        </w:rPr>
        <w:t>:</w:t>
      </w:r>
    </w:p>
    <w:p w:rsidR="00E97556" w:rsidRDefault="00E97556" w:rsidP="00E97556">
      <w:pPr>
        <w:pStyle w:val="a6"/>
        <w:ind w:left="0" w:firstLine="425"/>
        <w:jc w:val="both"/>
        <w:rPr>
          <w:b/>
          <w:sz w:val="28"/>
          <w:szCs w:val="28"/>
          <w:lang w:val="uk-UA"/>
        </w:rPr>
      </w:pPr>
      <w:r w:rsidRPr="00F16170">
        <w:rPr>
          <w:b/>
          <w:sz w:val="28"/>
          <w:szCs w:val="28"/>
          <w:lang w:val="uk-UA"/>
        </w:rPr>
        <w:t>документи:</w:t>
      </w:r>
    </w:p>
    <w:p w:rsidR="00E97556" w:rsidRPr="00D507CA" w:rsidRDefault="00E97556" w:rsidP="00E97556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ind w:left="0" w:firstLine="709"/>
        <w:jc w:val="both"/>
        <w:rPr>
          <w:rStyle w:val="FontStyle74"/>
          <w:b/>
          <w:sz w:val="28"/>
          <w:szCs w:val="28"/>
          <w:lang w:val="uk-UA"/>
        </w:rPr>
      </w:pPr>
      <w:r w:rsidRPr="003E7049">
        <w:rPr>
          <w:rStyle w:val="FontStyle74"/>
          <w:spacing w:val="0"/>
          <w:sz w:val="28"/>
          <w:szCs w:val="28"/>
          <w:lang w:val="uk-UA"/>
        </w:rPr>
        <w:t>наказ Міністерства юстиції від 17 червня 2014 року № 953/5 «Про невідкладні заходи щодо захисту прав громадян на території проведення антитерористичної операції»</w:t>
      </w:r>
      <w:r>
        <w:rPr>
          <w:rStyle w:val="FontStyle74"/>
          <w:sz w:val="28"/>
          <w:szCs w:val="28"/>
          <w:lang w:val="uk-UA"/>
        </w:rPr>
        <w:t>;</w:t>
      </w:r>
    </w:p>
    <w:p w:rsidR="00E97556" w:rsidRPr="00D507CA" w:rsidRDefault="00E97556" w:rsidP="00E97556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ind w:left="0" w:firstLine="709"/>
        <w:jc w:val="both"/>
        <w:rPr>
          <w:rStyle w:val="FontStyle74"/>
          <w:b/>
          <w:spacing w:val="0"/>
          <w:sz w:val="28"/>
          <w:szCs w:val="28"/>
          <w:lang w:val="uk-UA"/>
        </w:rPr>
      </w:pPr>
      <w:r w:rsidRPr="00D507CA">
        <w:rPr>
          <w:rStyle w:val="FontStyle74"/>
          <w:spacing w:val="0"/>
          <w:sz w:val="28"/>
          <w:szCs w:val="28"/>
          <w:lang w:val="uk-UA"/>
        </w:rPr>
        <w:t>наказ</w:t>
      </w:r>
      <w:r w:rsidRPr="00D507CA">
        <w:rPr>
          <w:rStyle w:val="FontStyle74"/>
          <w:b/>
          <w:spacing w:val="0"/>
          <w:sz w:val="28"/>
          <w:szCs w:val="28"/>
          <w:lang w:val="uk-UA"/>
        </w:rPr>
        <w:t xml:space="preserve"> </w:t>
      </w:r>
      <w:r w:rsidRPr="00D507CA">
        <w:rPr>
          <w:rStyle w:val="FontStyle74"/>
          <w:spacing w:val="0"/>
          <w:sz w:val="28"/>
          <w:szCs w:val="28"/>
          <w:lang w:val="uk-UA"/>
        </w:rPr>
        <w:t>Міністерства юстиції від 06 грудня 2014 року № 2071/5 «Про припинення повноважень Громадської ради при Міністерстві юстиції України»;</w:t>
      </w:r>
    </w:p>
    <w:p w:rsidR="00E97556" w:rsidRPr="00E97556" w:rsidRDefault="00E97556" w:rsidP="00E97556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b/>
          <w:spacing w:val="10"/>
          <w:sz w:val="28"/>
          <w:szCs w:val="28"/>
          <w:lang w:val="uk-UA"/>
        </w:rPr>
      </w:pPr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проект Закону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України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«Про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внесення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змі</w:t>
      </w:r>
      <w:proofErr w:type="gram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н</w:t>
      </w:r>
      <w:proofErr w:type="spellEnd"/>
      <w:proofErr w:type="gram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до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деяких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законодавчих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актів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України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щодо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здійснення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адвокатської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proofErr w:type="spellStart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діяльності</w:t>
      </w:r>
      <w:proofErr w:type="spellEnd"/>
      <w:r w:rsidRPr="008578D9">
        <w:rPr>
          <w:rStyle w:val="FontStyle95"/>
          <w:rFonts w:ascii="Times New Roman" w:hAnsi="Times New Roman" w:cs="Times New Roman"/>
          <w:b w:val="0"/>
          <w:spacing w:val="0"/>
          <w:sz w:val="28"/>
          <w:szCs w:val="28"/>
        </w:rPr>
        <w:t>»</w:t>
      </w:r>
      <w:r w:rsidR="00814186" w:rsidRPr="00814186">
        <w:rPr>
          <w:rStyle w:val="FontStyle95"/>
          <w:rFonts w:ascii="Times New Roman" w:hAnsi="Times New Roman" w:cs="Times New Roman"/>
          <w:b w:val="0"/>
          <w:sz w:val="28"/>
          <w:szCs w:val="28"/>
          <w:lang w:val="uk-UA"/>
        </w:rPr>
        <w:t>;</w:t>
      </w:r>
      <w:r w:rsidRPr="00E97556">
        <w:rPr>
          <w:b/>
          <w:sz w:val="28"/>
          <w:szCs w:val="28"/>
          <w:lang w:val="uk-UA"/>
        </w:rPr>
        <w:t xml:space="preserve">   </w:t>
      </w:r>
    </w:p>
    <w:p w:rsidR="00E97556" w:rsidRPr="00E97556" w:rsidRDefault="00E97556" w:rsidP="00E97556">
      <w:pPr>
        <w:tabs>
          <w:tab w:val="left" w:pos="993"/>
          <w:tab w:val="left" w:pos="1276"/>
        </w:tabs>
        <w:ind w:left="709"/>
        <w:jc w:val="both"/>
        <w:rPr>
          <w:rFonts w:ascii="Arial" w:hAnsi="Arial" w:cs="Arial"/>
          <w:b/>
          <w:spacing w:val="10"/>
          <w:sz w:val="28"/>
          <w:szCs w:val="28"/>
          <w:lang w:val="uk-UA"/>
        </w:rPr>
      </w:pPr>
    </w:p>
    <w:p w:rsidR="00E97556" w:rsidRDefault="00E97556" w:rsidP="00E97556">
      <w:pPr>
        <w:pStyle w:val="a6"/>
        <w:tabs>
          <w:tab w:val="left" w:pos="426"/>
        </w:tabs>
        <w:ind w:left="0" w:firstLine="426"/>
        <w:jc w:val="both"/>
        <w:rPr>
          <w:b/>
          <w:sz w:val="28"/>
          <w:szCs w:val="28"/>
          <w:lang w:val="uk-UA"/>
        </w:rPr>
      </w:pPr>
      <w:r w:rsidRPr="00F16170">
        <w:rPr>
          <w:b/>
          <w:sz w:val="28"/>
          <w:szCs w:val="28"/>
          <w:lang w:val="uk-UA"/>
        </w:rPr>
        <w:t>інформація про:</w:t>
      </w:r>
    </w:p>
    <w:p w:rsidR="00E97556" w:rsidRPr="003E7049" w:rsidRDefault="00E97556" w:rsidP="00E97556">
      <w:pPr>
        <w:pStyle w:val="Style6"/>
        <w:widowControl/>
        <w:spacing w:line="240" w:lineRule="auto"/>
        <w:rPr>
          <w:rStyle w:val="FontStyle87"/>
          <w:b w:val="0"/>
          <w:sz w:val="28"/>
          <w:szCs w:val="28"/>
        </w:rPr>
      </w:pPr>
      <w:r>
        <w:rPr>
          <w:b/>
          <w:sz w:val="28"/>
          <w:szCs w:val="28"/>
        </w:rPr>
        <w:t>-</w:t>
      </w:r>
      <w:r w:rsidRPr="003E70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3E7049">
        <w:rPr>
          <w:rStyle w:val="FontStyle87"/>
          <w:b w:val="0"/>
          <w:sz w:val="28"/>
          <w:szCs w:val="28"/>
        </w:rPr>
        <w:t>територіальні органи юстиції, установ</w:t>
      </w:r>
      <w:r>
        <w:rPr>
          <w:rStyle w:val="FontStyle87"/>
          <w:b w:val="0"/>
          <w:sz w:val="28"/>
          <w:szCs w:val="28"/>
        </w:rPr>
        <w:t>и</w:t>
      </w:r>
      <w:r w:rsidRPr="003E7049">
        <w:rPr>
          <w:rStyle w:val="FontStyle87"/>
          <w:b w:val="0"/>
          <w:sz w:val="28"/>
          <w:szCs w:val="28"/>
        </w:rPr>
        <w:t>, підприємств</w:t>
      </w:r>
      <w:r>
        <w:rPr>
          <w:rStyle w:val="FontStyle87"/>
          <w:b w:val="0"/>
          <w:sz w:val="28"/>
          <w:szCs w:val="28"/>
        </w:rPr>
        <w:t>а</w:t>
      </w:r>
      <w:r w:rsidRPr="003E7049">
        <w:rPr>
          <w:rStyle w:val="FontStyle87"/>
          <w:b w:val="0"/>
          <w:sz w:val="28"/>
          <w:szCs w:val="28"/>
        </w:rPr>
        <w:t xml:space="preserve">, що належать до сфери управління Міністерства юстиції, які переміщені </w:t>
      </w:r>
      <w:r w:rsidRPr="003E7049">
        <w:rPr>
          <w:rStyle w:val="FontStyle69"/>
          <w:b w:val="0"/>
          <w:sz w:val="28"/>
          <w:szCs w:val="28"/>
        </w:rPr>
        <w:t xml:space="preserve">з </w:t>
      </w:r>
      <w:r w:rsidRPr="003E7049">
        <w:rPr>
          <w:rStyle w:val="FontStyle87"/>
          <w:b w:val="0"/>
          <w:sz w:val="28"/>
          <w:szCs w:val="28"/>
        </w:rPr>
        <w:t>тимчасово неконтрольованої території;</w:t>
      </w:r>
    </w:p>
    <w:p w:rsidR="00E97556" w:rsidRPr="003E7049" w:rsidRDefault="00E97556" w:rsidP="00E97556">
      <w:pPr>
        <w:pStyle w:val="Style6"/>
        <w:widowControl/>
        <w:tabs>
          <w:tab w:val="left" w:pos="709"/>
        </w:tabs>
        <w:spacing w:line="240" w:lineRule="auto"/>
        <w:ind w:firstLine="0"/>
        <w:rPr>
          <w:rStyle w:val="FontStyle74"/>
          <w:spacing w:val="0"/>
          <w:sz w:val="28"/>
          <w:szCs w:val="28"/>
        </w:rPr>
      </w:pPr>
      <w:r>
        <w:rPr>
          <w:rStyle w:val="FontStyle87"/>
          <w:sz w:val="28"/>
          <w:szCs w:val="28"/>
        </w:rPr>
        <w:t xml:space="preserve">          </w:t>
      </w:r>
      <w:r w:rsidRPr="003E7049">
        <w:rPr>
          <w:rStyle w:val="FontStyle87"/>
          <w:sz w:val="28"/>
          <w:szCs w:val="28"/>
        </w:rPr>
        <w:t>-</w:t>
      </w:r>
      <w:r w:rsidRPr="003E7049">
        <w:rPr>
          <w:rStyle w:val="FontStyle87"/>
          <w:b w:val="0"/>
          <w:sz w:val="28"/>
          <w:szCs w:val="28"/>
        </w:rPr>
        <w:t xml:space="preserve"> </w:t>
      </w:r>
      <w:r>
        <w:rPr>
          <w:rStyle w:val="FontStyle87"/>
          <w:b w:val="0"/>
          <w:sz w:val="28"/>
          <w:szCs w:val="28"/>
        </w:rPr>
        <w:t xml:space="preserve"> </w:t>
      </w:r>
      <w:r w:rsidRPr="003E7049">
        <w:rPr>
          <w:rStyle w:val="FontStyle74"/>
          <w:spacing w:val="0"/>
          <w:sz w:val="28"/>
          <w:szCs w:val="28"/>
        </w:rPr>
        <w:t>кількість актів реагування на звернення громадян, що надійшли на електронну лінію повідомлень про випадки корупції в органах юстиції;</w:t>
      </w:r>
    </w:p>
    <w:p w:rsidR="00E97556" w:rsidRPr="00044724" w:rsidRDefault="00E97556" w:rsidP="00E97556">
      <w:pPr>
        <w:pStyle w:val="Style27"/>
        <w:widowControl/>
        <w:spacing w:line="240" w:lineRule="auto"/>
        <w:ind w:left="29"/>
        <w:rPr>
          <w:rStyle w:val="FontStyle74"/>
          <w:spacing w:val="0"/>
          <w:sz w:val="28"/>
          <w:szCs w:val="28"/>
        </w:rPr>
      </w:pPr>
      <w:r w:rsidRPr="003E7049">
        <w:rPr>
          <w:rStyle w:val="FontStyle74"/>
          <w:b/>
          <w:spacing w:val="0"/>
          <w:sz w:val="28"/>
          <w:szCs w:val="28"/>
        </w:rPr>
        <w:lastRenderedPageBreak/>
        <w:t xml:space="preserve"> -</w:t>
      </w:r>
      <w:r w:rsidRPr="003E7049">
        <w:rPr>
          <w:rStyle w:val="FontStyle74"/>
          <w:spacing w:val="0"/>
          <w:sz w:val="28"/>
          <w:szCs w:val="28"/>
        </w:rPr>
        <w:t xml:space="preserve">  </w:t>
      </w:r>
      <w:r>
        <w:rPr>
          <w:rStyle w:val="FontStyle74"/>
          <w:spacing w:val="0"/>
          <w:sz w:val="28"/>
          <w:szCs w:val="28"/>
        </w:rPr>
        <w:t xml:space="preserve">  </w:t>
      </w:r>
      <w:r w:rsidRPr="00044724">
        <w:rPr>
          <w:rStyle w:val="FontStyle74"/>
          <w:spacing w:val="0"/>
          <w:sz w:val="28"/>
          <w:szCs w:val="28"/>
        </w:rPr>
        <w:t xml:space="preserve">кількість порушених справ про банкрутство у період 2012 та 2013 років у розрізі </w:t>
      </w:r>
      <w:r w:rsidRPr="00044724">
        <w:rPr>
          <w:rStyle w:val="FontStyle87"/>
          <w:b w:val="0"/>
          <w:sz w:val="28"/>
          <w:szCs w:val="28"/>
        </w:rPr>
        <w:t>областей</w:t>
      </w:r>
      <w:r w:rsidRPr="00044724">
        <w:rPr>
          <w:rStyle w:val="FontStyle74"/>
          <w:spacing w:val="0"/>
          <w:sz w:val="28"/>
          <w:szCs w:val="28"/>
        </w:rPr>
        <w:t>;</w:t>
      </w:r>
    </w:p>
    <w:p w:rsidR="00E97556" w:rsidRPr="00044724" w:rsidRDefault="00E97556" w:rsidP="00E97556">
      <w:pPr>
        <w:pStyle w:val="Style27"/>
        <w:widowControl/>
        <w:tabs>
          <w:tab w:val="left" w:pos="851"/>
          <w:tab w:val="left" w:pos="993"/>
        </w:tabs>
        <w:spacing w:line="240" w:lineRule="auto"/>
        <w:ind w:left="29" w:firstLine="680"/>
        <w:rPr>
          <w:rStyle w:val="FontStyle74"/>
          <w:spacing w:val="0"/>
          <w:sz w:val="28"/>
          <w:szCs w:val="28"/>
        </w:rPr>
      </w:pPr>
      <w:r w:rsidRPr="00044724">
        <w:rPr>
          <w:rStyle w:val="FontStyle74"/>
          <w:b/>
          <w:spacing w:val="0"/>
          <w:sz w:val="28"/>
          <w:szCs w:val="28"/>
        </w:rPr>
        <w:t xml:space="preserve">-   </w:t>
      </w:r>
      <w:r w:rsidR="00E46A88" w:rsidRPr="00044724">
        <w:rPr>
          <w:rStyle w:val="FontStyle87"/>
          <w:b w:val="0"/>
          <w:sz w:val="28"/>
          <w:szCs w:val="28"/>
        </w:rPr>
        <w:t xml:space="preserve">кількість рішень </w:t>
      </w:r>
      <w:r w:rsidR="00E46A88" w:rsidRPr="00044724">
        <w:rPr>
          <w:rStyle w:val="FontStyle87"/>
          <w:b w:val="0"/>
          <w:sz w:val="28"/>
          <w:szCs w:val="28"/>
          <w:lang w:val="ru-RU"/>
        </w:rPr>
        <w:t>Є</w:t>
      </w:r>
      <w:proofErr w:type="spellStart"/>
      <w:r w:rsidRPr="00044724">
        <w:rPr>
          <w:rStyle w:val="FontStyle87"/>
          <w:b w:val="0"/>
          <w:sz w:val="28"/>
          <w:szCs w:val="28"/>
        </w:rPr>
        <w:t>вропейського</w:t>
      </w:r>
      <w:proofErr w:type="spellEnd"/>
      <w:r w:rsidRPr="00044724">
        <w:rPr>
          <w:rStyle w:val="FontStyle87"/>
          <w:sz w:val="28"/>
          <w:szCs w:val="28"/>
        </w:rPr>
        <w:t xml:space="preserve"> </w:t>
      </w:r>
      <w:r w:rsidRPr="00044724">
        <w:rPr>
          <w:rStyle w:val="FontStyle74"/>
          <w:spacing w:val="0"/>
          <w:sz w:val="28"/>
          <w:szCs w:val="28"/>
        </w:rPr>
        <w:t xml:space="preserve">суду з прав людини, </w:t>
      </w:r>
      <w:r w:rsidRPr="00044724">
        <w:rPr>
          <w:rStyle w:val="FontStyle87"/>
          <w:b w:val="0"/>
          <w:sz w:val="28"/>
          <w:szCs w:val="28"/>
        </w:rPr>
        <w:t xml:space="preserve">винесених проти України </w:t>
      </w:r>
      <w:r w:rsidRPr="00044724">
        <w:rPr>
          <w:rStyle w:val="FontStyle74"/>
          <w:spacing w:val="0"/>
          <w:sz w:val="28"/>
          <w:szCs w:val="28"/>
        </w:rPr>
        <w:t>у</w:t>
      </w:r>
      <w:r w:rsidRPr="00044724">
        <w:rPr>
          <w:rStyle w:val="FontStyle74"/>
          <w:b/>
          <w:spacing w:val="0"/>
          <w:sz w:val="28"/>
          <w:szCs w:val="28"/>
        </w:rPr>
        <w:t xml:space="preserve"> </w:t>
      </w:r>
      <w:r w:rsidRPr="00044724">
        <w:rPr>
          <w:rStyle w:val="FontStyle87"/>
          <w:b w:val="0"/>
          <w:sz w:val="28"/>
          <w:szCs w:val="28"/>
        </w:rPr>
        <w:t>2014</w:t>
      </w:r>
      <w:r w:rsidRPr="00044724">
        <w:rPr>
          <w:rStyle w:val="FontStyle87"/>
          <w:sz w:val="28"/>
          <w:szCs w:val="28"/>
        </w:rPr>
        <w:t xml:space="preserve"> </w:t>
      </w:r>
      <w:r w:rsidRPr="00044724">
        <w:rPr>
          <w:rStyle w:val="FontStyle74"/>
          <w:spacing w:val="0"/>
          <w:sz w:val="28"/>
          <w:szCs w:val="28"/>
        </w:rPr>
        <w:t>році;</w:t>
      </w:r>
    </w:p>
    <w:p w:rsidR="00E97556" w:rsidRPr="00044724" w:rsidRDefault="00E97556" w:rsidP="00E97556">
      <w:pPr>
        <w:pStyle w:val="Style27"/>
        <w:widowControl/>
        <w:tabs>
          <w:tab w:val="left" w:pos="851"/>
          <w:tab w:val="left" w:pos="993"/>
        </w:tabs>
        <w:spacing w:line="240" w:lineRule="auto"/>
        <w:ind w:left="29" w:firstLine="680"/>
        <w:rPr>
          <w:rStyle w:val="FontStyle74"/>
          <w:spacing w:val="0"/>
          <w:sz w:val="28"/>
          <w:szCs w:val="28"/>
        </w:rPr>
      </w:pPr>
      <w:r w:rsidRPr="00044724">
        <w:rPr>
          <w:rStyle w:val="FontStyle74"/>
          <w:b/>
          <w:spacing w:val="0"/>
          <w:sz w:val="28"/>
          <w:szCs w:val="28"/>
        </w:rPr>
        <w:t xml:space="preserve"> -   </w:t>
      </w:r>
      <w:r w:rsidRPr="00044724">
        <w:rPr>
          <w:rStyle w:val="FontStyle74"/>
          <w:spacing w:val="0"/>
          <w:sz w:val="28"/>
          <w:szCs w:val="28"/>
        </w:rPr>
        <w:t>кількість</w:t>
      </w:r>
      <w:r w:rsidRPr="00044724">
        <w:rPr>
          <w:rStyle w:val="FontStyle74"/>
          <w:b/>
          <w:spacing w:val="0"/>
          <w:sz w:val="28"/>
          <w:szCs w:val="28"/>
        </w:rPr>
        <w:t xml:space="preserve"> </w:t>
      </w:r>
      <w:r w:rsidRPr="00044724">
        <w:rPr>
          <w:rStyle w:val="FontStyle108"/>
          <w:sz w:val="28"/>
          <w:szCs w:val="28"/>
        </w:rPr>
        <w:t>зареєстрованих договорів купівлі-продажу, міни, дарування, спадкування земельних ділянок в Україні за 2013-2014 роки</w:t>
      </w:r>
      <w:r w:rsidR="00E46A88" w:rsidRPr="00044724">
        <w:rPr>
          <w:rStyle w:val="FontStyle108"/>
          <w:sz w:val="28"/>
          <w:szCs w:val="28"/>
        </w:rPr>
        <w:t>;</w:t>
      </w:r>
    </w:p>
    <w:p w:rsidR="00E97556" w:rsidRPr="00044724" w:rsidRDefault="00E97556" w:rsidP="00E97556">
      <w:pPr>
        <w:pStyle w:val="Style27"/>
        <w:widowControl/>
        <w:tabs>
          <w:tab w:val="left" w:pos="851"/>
          <w:tab w:val="left" w:pos="993"/>
          <w:tab w:val="left" w:pos="1134"/>
        </w:tabs>
        <w:spacing w:line="240" w:lineRule="auto"/>
        <w:ind w:left="29" w:firstLine="680"/>
        <w:rPr>
          <w:rStyle w:val="FontStyle74"/>
          <w:spacing w:val="0"/>
          <w:sz w:val="28"/>
          <w:szCs w:val="28"/>
        </w:rPr>
      </w:pPr>
      <w:r w:rsidRPr="00044724">
        <w:rPr>
          <w:rStyle w:val="FontStyle74"/>
          <w:b/>
          <w:spacing w:val="0"/>
          <w:sz w:val="28"/>
          <w:szCs w:val="28"/>
        </w:rPr>
        <w:t xml:space="preserve"> - </w:t>
      </w:r>
      <w:r w:rsidRPr="00044724">
        <w:rPr>
          <w:rStyle w:val="FontStyle74"/>
          <w:spacing w:val="0"/>
          <w:sz w:val="28"/>
          <w:szCs w:val="28"/>
        </w:rPr>
        <w:t>нормативно-правові акти Міністерства юстиції, якими регулюються питання, пов'язані з реєстрацією (легалізацією) об'єднань громадян;</w:t>
      </w:r>
    </w:p>
    <w:p w:rsidR="00E97556" w:rsidRPr="00044724" w:rsidRDefault="00E97556" w:rsidP="00E97556">
      <w:pPr>
        <w:pStyle w:val="Style27"/>
        <w:widowControl/>
        <w:tabs>
          <w:tab w:val="left" w:pos="851"/>
          <w:tab w:val="left" w:pos="993"/>
        </w:tabs>
        <w:spacing w:line="240" w:lineRule="auto"/>
        <w:ind w:left="29" w:firstLine="680"/>
        <w:rPr>
          <w:rStyle w:val="FontStyle74"/>
          <w:spacing w:val="0"/>
          <w:sz w:val="28"/>
          <w:szCs w:val="28"/>
        </w:rPr>
      </w:pPr>
      <w:r w:rsidRPr="00044724">
        <w:rPr>
          <w:rStyle w:val="FontStyle74"/>
          <w:b/>
          <w:spacing w:val="0"/>
          <w:sz w:val="28"/>
          <w:szCs w:val="28"/>
        </w:rPr>
        <w:t xml:space="preserve"> -</w:t>
      </w:r>
      <w:r w:rsidRPr="00044724">
        <w:rPr>
          <w:rStyle w:val="FontStyle74"/>
          <w:spacing w:val="0"/>
          <w:sz w:val="28"/>
          <w:szCs w:val="28"/>
        </w:rPr>
        <w:t xml:space="preserve">   особу судового експерта.</w:t>
      </w:r>
    </w:p>
    <w:p w:rsidR="00BA79F4" w:rsidRPr="00044724" w:rsidRDefault="00BA79F4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5B7DD1" w:rsidRDefault="005B7DD1" w:rsidP="0033499F">
      <w:pPr>
        <w:pStyle w:val="a6"/>
        <w:spacing w:before="120" w:after="200" w:line="276" w:lineRule="auto"/>
        <w:ind w:left="0" w:firstLine="709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8716AA" w:rsidRPr="008716AA" w:rsidRDefault="008716AA" w:rsidP="0033499F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716AA">
        <w:rPr>
          <w:color w:val="000000"/>
          <w:sz w:val="28"/>
          <w:szCs w:val="28"/>
          <w:lang w:val="uk-UA" w:eastAsia="uk-UA"/>
        </w:rPr>
        <w:t>Департаменту</w:t>
      </w:r>
      <w:r w:rsidRPr="00961210">
        <w:rPr>
          <w:color w:val="000000"/>
          <w:sz w:val="28"/>
          <w:szCs w:val="28"/>
          <w:lang w:val="uk-UA" w:eastAsia="uk-UA"/>
        </w:rPr>
        <w:t xml:space="preserve"> організаційного</w:t>
      </w:r>
      <w:r w:rsidRPr="008716AA">
        <w:rPr>
          <w:color w:val="000000"/>
          <w:sz w:val="28"/>
          <w:szCs w:val="28"/>
          <w:lang w:val="uk-UA" w:eastAsia="uk-UA"/>
        </w:rPr>
        <w:t xml:space="preserve"> та ресурсного забезпечення (</w:t>
      </w:r>
      <w:r w:rsidRPr="008716AA">
        <w:rPr>
          <w:b/>
          <w:color w:val="000000"/>
          <w:sz w:val="28"/>
          <w:szCs w:val="28"/>
          <w:lang w:val="uk-UA" w:eastAsia="uk-UA"/>
        </w:rPr>
        <w:t>3</w:t>
      </w:r>
      <w:r w:rsidRPr="00961210">
        <w:rPr>
          <w:b/>
          <w:color w:val="000000"/>
          <w:sz w:val="28"/>
          <w:szCs w:val="28"/>
          <w:lang w:val="uk-UA" w:eastAsia="uk-UA"/>
        </w:rPr>
        <w:t>6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61210">
        <w:rPr>
          <w:b/>
          <w:color w:val="000000"/>
          <w:sz w:val="28"/>
          <w:szCs w:val="28"/>
          <w:lang w:val="uk-UA" w:eastAsia="uk-UA"/>
        </w:rPr>
        <w:t xml:space="preserve">24,5% </w:t>
      </w:r>
      <w:r w:rsidRPr="00961210">
        <w:rPr>
          <w:color w:val="000000"/>
          <w:sz w:val="28"/>
          <w:szCs w:val="28"/>
          <w:lang w:val="uk-UA" w:eastAsia="uk-UA"/>
        </w:rPr>
        <w:t>(всі запити надіслано належним розпорядникам інформації)</w:t>
      </w:r>
      <w:r w:rsidRPr="008716AA">
        <w:rPr>
          <w:color w:val="000000"/>
          <w:sz w:val="28"/>
          <w:szCs w:val="28"/>
          <w:lang w:val="uk-UA" w:eastAsia="uk-UA"/>
        </w:rPr>
        <w:t>, Департаменту</w:t>
      </w:r>
      <w:r w:rsidRPr="00961210">
        <w:rPr>
          <w:color w:val="000000"/>
          <w:sz w:val="28"/>
          <w:szCs w:val="28"/>
          <w:lang w:val="uk-UA" w:eastAsia="uk-UA"/>
        </w:rPr>
        <w:t xml:space="preserve"> реєстрації та систематизації нормативних акт</w:t>
      </w:r>
      <w:r w:rsidRPr="008716AA">
        <w:rPr>
          <w:color w:val="000000"/>
          <w:sz w:val="28"/>
          <w:szCs w:val="28"/>
          <w:lang w:val="uk-UA" w:eastAsia="uk-UA"/>
        </w:rPr>
        <w:t xml:space="preserve">ів, </w:t>
      </w:r>
      <w:proofErr w:type="spellStart"/>
      <w:r w:rsidRPr="008716AA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Pr="008716AA">
        <w:rPr>
          <w:color w:val="000000"/>
          <w:sz w:val="28"/>
          <w:szCs w:val="28"/>
          <w:lang w:val="uk-UA" w:eastAsia="uk-UA"/>
        </w:rPr>
        <w:t xml:space="preserve"> діяльності (</w:t>
      </w:r>
      <w:r w:rsidRPr="00961210">
        <w:rPr>
          <w:b/>
          <w:color w:val="000000"/>
          <w:sz w:val="28"/>
          <w:szCs w:val="28"/>
          <w:lang w:val="uk-UA" w:eastAsia="uk-UA"/>
        </w:rPr>
        <w:t xml:space="preserve">22 </w:t>
      </w:r>
      <w:r w:rsidRPr="00961210">
        <w:rPr>
          <w:color w:val="000000"/>
          <w:sz w:val="28"/>
          <w:szCs w:val="28"/>
          <w:lang w:val="uk-UA" w:eastAsia="uk-UA"/>
        </w:rPr>
        <w:t xml:space="preserve">запити або </w:t>
      </w:r>
      <w:r w:rsidRPr="00961210">
        <w:rPr>
          <w:b/>
          <w:color w:val="000000"/>
          <w:sz w:val="28"/>
          <w:szCs w:val="28"/>
          <w:lang w:val="uk-UA" w:eastAsia="uk-UA"/>
        </w:rPr>
        <w:t>15,1%</w:t>
      </w:r>
      <w:r w:rsidRPr="008716AA">
        <w:rPr>
          <w:color w:val="000000"/>
          <w:sz w:val="28"/>
          <w:szCs w:val="28"/>
          <w:lang w:val="uk-UA" w:eastAsia="uk-UA"/>
        </w:rPr>
        <w:t>), Департаменту взаємодії з органами влади (</w:t>
      </w:r>
      <w:r w:rsidRPr="00961210">
        <w:rPr>
          <w:b/>
          <w:color w:val="000000"/>
          <w:sz w:val="28"/>
          <w:szCs w:val="28"/>
          <w:lang w:val="uk-UA" w:eastAsia="uk-UA"/>
        </w:rPr>
        <w:t>18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61210">
        <w:rPr>
          <w:b/>
          <w:color w:val="000000"/>
          <w:sz w:val="28"/>
          <w:szCs w:val="28"/>
          <w:lang w:val="uk-UA" w:eastAsia="uk-UA"/>
        </w:rPr>
        <w:t>12,3%</w:t>
      </w:r>
      <w:r w:rsidRPr="008716AA">
        <w:rPr>
          <w:color w:val="000000"/>
          <w:sz w:val="28"/>
          <w:szCs w:val="28"/>
          <w:lang w:val="uk-UA" w:eastAsia="uk-UA"/>
        </w:rPr>
        <w:t>), Департаменту</w:t>
      </w:r>
      <w:r w:rsidRPr="00961210">
        <w:rPr>
          <w:color w:val="000000"/>
          <w:sz w:val="28"/>
          <w:szCs w:val="28"/>
          <w:lang w:val="uk-UA" w:eastAsia="uk-UA"/>
        </w:rPr>
        <w:t xml:space="preserve"> нотаріату та фінансового моніторингу</w:t>
      </w:r>
      <w:r w:rsidRPr="008716AA">
        <w:rPr>
          <w:color w:val="000000"/>
          <w:sz w:val="28"/>
          <w:szCs w:val="28"/>
          <w:lang w:val="uk-UA" w:eastAsia="uk-UA"/>
        </w:rPr>
        <w:t xml:space="preserve"> (</w:t>
      </w:r>
      <w:r w:rsidRPr="00961210">
        <w:rPr>
          <w:b/>
          <w:color w:val="000000"/>
          <w:sz w:val="28"/>
          <w:szCs w:val="28"/>
          <w:lang w:val="uk-UA" w:eastAsia="uk-UA"/>
        </w:rPr>
        <w:t xml:space="preserve">11 </w:t>
      </w:r>
      <w:r w:rsidRPr="00961210">
        <w:rPr>
          <w:color w:val="000000"/>
          <w:sz w:val="28"/>
          <w:szCs w:val="28"/>
          <w:lang w:val="uk-UA" w:eastAsia="uk-UA"/>
        </w:rPr>
        <w:t xml:space="preserve">запитів або </w:t>
      </w:r>
      <w:r w:rsidRPr="00961210">
        <w:rPr>
          <w:b/>
          <w:color w:val="000000"/>
          <w:sz w:val="28"/>
          <w:szCs w:val="28"/>
          <w:lang w:val="uk-UA" w:eastAsia="uk-UA"/>
        </w:rPr>
        <w:t>7,5%</w:t>
      </w:r>
      <w:r w:rsidRPr="008716AA">
        <w:rPr>
          <w:color w:val="000000"/>
          <w:sz w:val="28"/>
          <w:szCs w:val="28"/>
          <w:lang w:val="uk-UA" w:eastAsia="uk-UA"/>
        </w:rPr>
        <w:t>),  Департаменту</w:t>
      </w:r>
      <w:r w:rsidRPr="00961210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законодавств</w:t>
      </w:r>
      <w:r w:rsidRPr="008716AA">
        <w:rPr>
          <w:color w:val="000000"/>
          <w:sz w:val="28"/>
          <w:szCs w:val="28"/>
          <w:lang w:val="uk-UA" w:eastAsia="uk-UA"/>
        </w:rPr>
        <w:t>а з питань земельних відносин (</w:t>
      </w:r>
      <w:r w:rsidRPr="00961210">
        <w:rPr>
          <w:b/>
          <w:color w:val="000000"/>
          <w:sz w:val="28"/>
          <w:szCs w:val="28"/>
          <w:lang w:val="uk-UA" w:eastAsia="uk-UA"/>
        </w:rPr>
        <w:t>10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61210">
        <w:rPr>
          <w:b/>
          <w:color w:val="000000"/>
          <w:sz w:val="28"/>
          <w:szCs w:val="28"/>
          <w:lang w:val="uk-UA" w:eastAsia="uk-UA"/>
        </w:rPr>
        <w:t>6,8%</w:t>
      </w:r>
      <w:r w:rsidRPr="008716AA">
        <w:rPr>
          <w:color w:val="000000"/>
          <w:sz w:val="28"/>
          <w:szCs w:val="28"/>
          <w:lang w:val="uk-UA" w:eastAsia="uk-UA"/>
        </w:rPr>
        <w:t>), Департаменту з питань люстрації (</w:t>
      </w:r>
      <w:r w:rsidRPr="00961210">
        <w:rPr>
          <w:b/>
          <w:color w:val="000000"/>
          <w:sz w:val="28"/>
          <w:szCs w:val="28"/>
          <w:lang w:val="uk-UA" w:eastAsia="uk-UA"/>
        </w:rPr>
        <w:t>9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61210">
        <w:rPr>
          <w:b/>
          <w:color w:val="000000"/>
          <w:sz w:val="28"/>
          <w:szCs w:val="28"/>
          <w:lang w:val="uk-UA" w:eastAsia="uk-UA"/>
        </w:rPr>
        <w:t>6,2%</w:t>
      </w:r>
      <w:r w:rsidRPr="008716AA">
        <w:rPr>
          <w:color w:val="000000"/>
          <w:sz w:val="28"/>
          <w:szCs w:val="28"/>
          <w:lang w:val="uk-UA" w:eastAsia="uk-UA"/>
        </w:rPr>
        <w:t>), Департаменту</w:t>
      </w:r>
      <w:r w:rsidRPr="00961210">
        <w:rPr>
          <w:color w:val="000000"/>
          <w:sz w:val="28"/>
          <w:szCs w:val="28"/>
          <w:lang w:val="uk-UA" w:eastAsia="uk-UA"/>
        </w:rPr>
        <w:t xml:space="preserve"> судової роботи та експер</w:t>
      </w:r>
      <w:r>
        <w:rPr>
          <w:color w:val="000000"/>
          <w:sz w:val="28"/>
          <w:szCs w:val="28"/>
          <w:lang w:val="uk-UA" w:eastAsia="uk-UA"/>
        </w:rPr>
        <w:t>тного забезпечення правосуддя</w:t>
      </w:r>
      <w:r w:rsidRPr="008716AA">
        <w:rPr>
          <w:color w:val="000000"/>
          <w:sz w:val="28"/>
          <w:szCs w:val="28"/>
          <w:lang w:val="uk-UA" w:eastAsia="uk-UA"/>
        </w:rPr>
        <w:t>, Департаменту</w:t>
      </w:r>
      <w:r w:rsidRPr="00961210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бухгалт</w:t>
      </w:r>
      <w:r w:rsidRPr="008716AA">
        <w:rPr>
          <w:color w:val="000000"/>
          <w:sz w:val="28"/>
          <w:szCs w:val="28"/>
          <w:lang w:val="uk-UA" w:eastAsia="uk-UA"/>
        </w:rPr>
        <w:t xml:space="preserve">ерського обліку та звітності (по </w:t>
      </w:r>
      <w:r w:rsidRPr="00961210">
        <w:rPr>
          <w:b/>
          <w:color w:val="000000"/>
          <w:sz w:val="28"/>
          <w:szCs w:val="28"/>
          <w:lang w:val="uk-UA" w:eastAsia="uk-UA"/>
        </w:rPr>
        <w:t>8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61210">
        <w:rPr>
          <w:b/>
          <w:color w:val="000000"/>
          <w:sz w:val="28"/>
          <w:szCs w:val="28"/>
          <w:lang w:val="uk-UA" w:eastAsia="uk-UA"/>
        </w:rPr>
        <w:t>5,5%</w:t>
      </w:r>
      <w:r w:rsidRPr="008716AA">
        <w:rPr>
          <w:color w:val="000000"/>
          <w:sz w:val="28"/>
          <w:szCs w:val="28"/>
          <w:lang w:val="uk-UA" w:eastAsia="uk-UA"/>
        </w:rPr>
        <w:t>), Департаменту</w:t>
      </w:r>
      <w:r w:rsidRPr="00961210">
        <w:rPr>
          <w:color w:val="000000"/>
          <w:sz w:val="28"/>
          <w:szCs w:val="28"/>
          <w:lang w:val="uk-UA" w:eastAsia="uk-UA"/>
        </w:rPr>
        <w:t xml:space="preserve"> конституційного, адміністративного </w:t>
      </w:r>
      <w:r>
        <w:rPr>
          <w:color w:val="000000"/>
          <w:sz w:val="28"/>
          <w:szCs w:val="28"/>
          <w:lang w:val="uk-UA" w:eastAsia="uk-UA"/>
        </w:rPr>
        <w:t xml:space="preserve">та соціального законодавства </w:t>
      </w:r>
      <w:r w:rsidRPr="008716AA">
        <w:rPr>
          <w:color w:val="000000"/>
          <w:sz w:val="28"/>
          <w:szCs w:val="28"/>
          <w:lang w:val="uk-UA" w:eastAsia="uk-UA"/>
        </w:rPr>
        <w:t>(</w:t>
      </w:r>
      <w:r w:rsidRPr="00961210">
        <w:rPr>
          <w:b/>
          <w:color w:val="000000"/>
          <w:sz w:val="28"/>
          <w:szCs w:val="28"/>
          <w:lang w:val="uk-UA" w:eastAsia="uk-UA"/>
        </w:rPr>
        <w:t>7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61210">
        <w:rPr>
          <w:b/>
          <w:color w:val="000000"/>
          <w:sz w:val="28"/>
          <w:szCs w:val="28"/>
          <w:lang w:val="uk-UA" w:eastAsia="uk-UA"/>
        </w:rPr>
        <w:t>4,8%</w:t>
      </w:r>
      <w:r w:rsidRPr="008716AA">
        <w:rPr>
          <w:color w:val="000000"/>
          <w:sz w:val="28"/>
          <w:szCs w:val="28"/>
          <w:lang w:val="uk-UA" w:eastAsia="uk-UA"/>
        </w:rPr>
        <w:t xml:space="preserve">), </w:t>
      </w:r>
      <w:r w:rsidRPr="00961210">
        <w:rPr>
          <w:color w:val="000000"/>
          <w:sz w:val="28"/>
          <w:szCs w:val="28"/>
          <w:lang w:val="uk-UA" w:eastAsia="uk-UA"/>
        </w:rPr>
        <w:t>Секретаріат</w:t>
      </w:r>
      <w:r w:rsidRPr="008716AA">
        <w:rPr>
          <w:color w:val="000000"/>
          <w:sz w:val="28"/>
          <w:szCs w:val="28"/>
          <w:lang w:val="uk-UA" w:eastAsia="uk-UA"/>
        </w:rPr>
        <w:t>у</w:t>
      </w:r>
      <w:r w:rsidRPr="00961210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Євр</w:t>
      </w:r>
      <w:r w:rsidRPr="008716AA">
        <w:rPr>
          <w:color w:val="000000"/>
          <w:sz w:val="28"/>
          <w:szCs w:val="28"/>
          <w:lang w:val="uk-UA" w:eastAsia="uk-UA"/>
        </w:rPr>
        <w:t>опейського суду з прав людини (</w:t>
      </w:r>
      <w:r w:rsidRPr="00961210">
        <w:rPr>
          <w:b/>
          <w:color w:val="000000"/>
          <w:sz w:val="28"/>
          <w:szCs w:val="28"/>
          <w:lang w:val="uk-UA" w:eastAsia="uk-UA"/>
        </w:rPr>
        <w:t>5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961210">
        <w:rPr>
          <w:b/>
          <w:color w:val="000000"/>
          <w:sz w:val="28"/>
          <w:szCs w:val="28"/>
          <w:lang w:val="uk-UA" w:eastAsia="uk-UA"/>
        </w:rPr>
        <w:t>3,4%</w:t>
      </w:r>
      <w:r w:rsidRPr="008716AA">
        <w:rPr>
          <w:color w:val="000000"/>
          <w:sz w:val="28"/>
          <w:szCs w:val="28"/>
          <w:lang w:val="uk-UA" w:eastAsia="uk-UA"/>
        </w:rPr>
        <w:t xml:space="preserve">), Департаменту з питань банкрутства, Департаменту юстиції та безпеки (по </w:t>
      </w:r>
      <w:r w:rsidRPr="00961210">
        <w:rPr>
          <w:b/>
          <w:color w:val="000000"/>
          <w:sz w:val="28"/>
          <w:szCs w:val="28"/>
          <w:lang w:val="uk-UA" w:eastAsia="uk-UA"/>
        </w:rPr>
        <w:t>3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961210">
        <w:rPr>
          <w:b/>
          <w:color w:val="000000"/>
          <w:sz w:val="28"/>
          <w:szCs w:val="28"/>
          <w:lang w:val="uk-UA" w:eastAsia="uk-UA"/>
        </w:rPr>
        <w:t>2,1%</w:t>
      </w:r>
      <w:r w:rsidRPr="008716AA">
        <w:rPr>
          <w:color w:val="000000"/>
          <w:sz w:val="28"/>
          <w:szCs w:val="28"/>
          <w:lang w:val="uk-UA" w:eastAsia="uk-UA"/>
        </w:rPr>
        <w:t>), Департаменту антикорупційної політики, Департаменту</w:t>
      </w:r>
      <w:r w:rsidRPr="00961210">
        <w:rPr>
          <w:color w:val="000000"/>
          <w:sz w:val="28"/>
          <w:szCs w:val="28"/>
          <w:lang w:val="uk-UA" w:eastAsia="uk-UA"/>
        </w:rPr>
        <w:t xml:space="preserve"> кадрово</w:t>
      </w:r>
      <w:r w:rsidRPr="008716AA">
        <w:rPr>
          <w:color w:val="000000"/>
          <w:sz w:val="28"/>
          <w:szCs w:val="28"/>
          <w:lang w:val="uk-UA" w:eastAsia="uk-UA"/>
        </w:rPr>
        <w:t xml:space="preserve">ї роботи та державної служби (по </w:t>
      </w:r>
      <w:r w:rsidRPr="00961210">
        <w:rPr>
          <w:b/>
          <w:color w:val="000000"/>
          <w:sz w:val="28"/>
          <w:szCs w:val="28"/>
          <w:lang w:val="uk-UA" w:eastAsia="uk-UA"/>
        </w:rPr>
        <w:t>2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961210">
        <w:rPr>
          <w:b/>
          <w:color w:val="000000"/>
          <w:sz w:val="28"/>
          <w:szCs w:val="28"/>
          <w:lang w:val="uk-UA" w:eastAsia="uk-UA"/>
        </w:rPr>
        <w:t>1,4%</w:t>
      </w:r>
      <w:r w:rsidRPr="008716AA">
        <w:rPr>
          <w:color w:val="000000"/>
          <w:sz w:val="28"/>
          <w:szCs w:val="28"/>
          <w:lang w:val="uk-UA" w:eastAsia="uk-UA"/>
        </w:rPr>
        <w:t>), Департаменту</w:t>
      </w:r>
      <w:r w:rsidRPr="00961210">
        <w:rPr>
          <w:color w:val="000000"/>
          <w:sz w:val="28"/>
          <w:szCs w:val="28"/>
          <w:lang w:val="uk-UA" w:eastAsia="uk-UA"/>
        </w:rPr>
        <w:t xml:space="preserve"> міжнародного права, повернення активів та відшкодування втрат, завданих тимчасовою окупацією Автономної Республіки Крим</w:t>
      </w:r>
      <w:r w:rsidRPr="008716AA">
        <w:rPr>
          <w:color w:val="000000"/>
          <w:sz w:val="28"/>
          <w:szCs w:val="28"/>
          <w:lang w:val="uk-UA" w:eastAsia="uk-UA"/>
        </w:rPr>
        <w:t xml:space="preserve">, Департаменту європейської інтеграції (по </w:t>
      </w:r>
      <w:r w:rsidRPr="00961210">
        <w:rPr>
          <w:b/>
          <w:color w:val="000000"/>
          <w:sz w:val="28"/>
          <w:szCs w:val="28"/>
          <w:lang w:val="uk-UA" w:eastAsia="uk-UA"/>
        </w:rPr>
        <w:t>1</w:t>
      </w:r>
      <w:r w:rsidRPr="00961210">
        <w:rPr>
          <w:color w:val="000000"/>
          <w:sz w:val="28"/>
          <w:szCs w:val="28"/>
          <w:lang w:val="uk-UA" w:eastAsia="uk-UA"/>
        </w:rPr>
        <w:t xml:space="preserve"> запит</w:t>
      </w:r>
      <w:r w:rsidRPr="008716AA">
        <w:rPr>
          <w:color w:val="000000"/>
          <w:sz w:val="28"/>
          <w:szCs w:val="28"/>
          <w:lang w:val="uk-UA" w:eastAsia="uk-UA"/>
        </w:rPr>
        <w:t>у</w:t>
      </w:r>
      <w:r w:rsidRPr="00961210">
        <w:rPr>
          <w:color w:val="000000"/>
          <w:sz w:val="28"/>
          <w:szCs w:val="28"/>
          <w:lang w:val="uk-UA" w:eastAsia="uk-UA"/>
        </w:rPr>
        <w:t xml:space="preserve"> або </w:t>
      </w:r>
      <w:r w:rsidRPr="00961210">
        <w:rPr>
          <w:b/>
          <w:color w:val="000000"/>
          <w:sz w:val="28"/>
          <w:szCs w:val="28"/>
          <w:lang w:val="uk-UA" w:eastAsia="uk-UA"/>
        </w:rPr>
        <w:t>0,7%</w:t>
      </w:r>
      <w:r w:rsidRPr="008716AA">
        <w:rPr>
          <w:color w:val="000000"/>
          <w:sz w:val="28"/>
          <w:szCs w:val="28"/>
          <w:lang w:val="uk-UA" w:eastAsia="uk-UA"/>
        </w:rPr>
        <w:t>).</w:t>
      </w:r>
    </w:p>
    <w:p w:rsidR="008716AA" w:rsidRDefault="008716AA" w:rsidP="005B7DD1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8716AA" w:rsidRDefault="008716AA" w:rsidP="005B7DD1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CA70CE" w:rsidRDefault="008716AA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  <w:r w:rsidRPr="008716AA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534025" cy="8210550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B7DD1" w:rsidRPr="00A43D82" w:rsidRDefault="00F13FDB" w:rsidP="005B7DD1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</w:t>
      </w:r>
      <w:r w:rsidR="005B7DD1">
        <w:rPr>
          <w:b/>
          <w:sz w:val="28"/>
          <w:szCs w:val="28"/>
          <w:lang w:val="uk-UA"/>
        </w:rPr>
        <w:t>6</w:t>
      </w:r>
      <w:r w:rsidR="005B7DD1" w:rsidRPr="00A43D82">
        <w:rPr>
          <w:b/>
          <w:sz w:val="28"/>
          <w:szCs w:val="28"/>
          <w:lang w:val="uk-UA"/>
        </w:rPr>
        <w:t xml:space="preserve"> запит</w:t>
      </w:r>
      <w:r w:rsidR="005B7DD1">
        <w:rPr>
          <w:b/>
          <w:sz w:val="28"/>
          <w:szCs w:val="28"/>
          <w:lang w:val="uk-UA"/>
        </w:rPr>
        <w:t>ів на інформацію розглянуті</w:t>
      </w:r>
      <w:r w:rsidR="005B7DD1" w:rsidRPr="00A43D82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5B7DD1" w:rsidRPr="00A43D82" w:rsidRDefault="005B7DD1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7343DF">
        <w:rPr>
          <w:b/>
          <w:sz w:val="28"/>
          <w:szCs w:val="28"/>
          <w:lang w:val="uk-UA"/>
        </w:rPr>
        <w:t>86</w:t>
      </w:r>
      <w:r>
        <w:rPr>
          <w:b/>
          <w:sz w:val="28"/>
          <w:szCs w:val="28"/>
          <w:lang w:val="uk-UA"/>
        </w:rPr>
        <w:t xml:space="preserve"> запитів</w:t>
      </w:r>
      <w:r w:rsidRPr="00A43D82">
        <w:rPr>
          <w:b/>
          <w:sz w:val="28"/>
          <w:szCs w:val="28"/>
          <w:lang w:val="uk-UA"/>
        </w:rPr>
        <w:t xml:space="preserve"> (</w:t>
      </w:r>
      <w:r w:rsidR="007343DF">
        <w:rPr>
          <w:b/>
          <w:sz w:val="28"/>
          <w:szCs w:val="28"/>
          <w:lang w:val="uk-UA"/>
        </w:rPr>
        <w:t>59</w:t>
      </w:r>
      <w:r w:rsidRPr="00A43D82">
        <w:rPr>
          <w:b/>
          <w:sz w:val="28"/>
          <w:szCs w:val="28"/>
          <w:lang w:val="uk-UA"/>
        </w:rPr>
        <w:t>%), із них:</w:t>
      </w:r>
    </w:p>
    <w:p w:rsidR="005B7DD1" w:rsidRPr="00A43D82" w:rsidRDefault="005B7DD1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ab/>
        <w:t xml:space="preserve">на </w:t>
      </w:r>
      <w:r w:rsidR="007343DF">
        <w:rPr>
          <w:b/>
          <w:sz w:val="28"/>
          <w:szCs w:val="28"/>
          <w:lang w:val="uk-UA"/>
        </w:rPr>
        <w:t>14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 xml:space="preserve">запитів </w:t>
      </w:r>
      <w:r w:rsidRPr="00A43D82">
        <w:rPr>
          <w:b/>
          <w:sz w:val="28"/>
          <w:szCs w:val="28"/>
          <w:lang w:val="uk-UA"/>
        </w:rPr>
        <w:t>(</w:t>
      </w:r>
      <w:r w:rsidR="007343DF">
        <w:rPr>
          <w:b/>
          <w:sz w:val="28"/>
          <w:szCs w:val="28"/>
          <w:lang w:val="uk-UA"/>
        </w:rPr>
        <w:t>9,6</w:t>
      </w:r>
      <w:r w:rsidRPr="00A43D82">
        <w:rPr>
          <w:b/>
          <w:sz w:val="28"/>
          <w:szCs w:val="28"/>
          <w:lang w:val="uk-UA"/>
        </w:rPr>
        <w:t>%)</w:t>
      </w:r>
      <w:r w:rsidRPr="00A43D82">
        <w:rPr>
          <w:sz w:val="28"/>
          <w:szCs w:val="28"/>
          <w:lang w:val="uk-UA"/>
        </w:rPr>
        <w:t xml:space="preserve"> надано публічну інформацію;</w:t>
      </w:r>
    </w:p>
    <w:p w:rsidR="005B7DD1" w:rsidRPr="00A43D82" w:rsidRDefault="005B7DD1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ab/>
        <w:t xml:space="preserve">на </w:t>
      </w:r>
      <w:r w:rsidR="007343DF">
        <w:rPr>
          <w:b/>
          <w:sz w:val="28"/>
          <w:szCs w:val="28"/>
          <w:lang w:val="uk-UA"/>
        </w:rPr>
        <w:t>72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A43D82">
        <w:rPr>
          <w:sz w:val="28"/>
          <w:szCs w:val="28"/>
          <w:lang w:val="uk-UA"/>
        </w:rPr>
        <w:t xml:space="preserve"> </w:t>
      </w:r>
      <w:r w:rsidRPr="00A43D82">
        <w:rPr>
          <w:b/>
          <w:sz w:val="28"/>
          <w:szCs w:val="28"/>
          <w:lang w:val="uk-UA"/>
        </w:rPr>
        <w:t>(</w:t>
      </w:r>
      <w:r w:rsidR="007343DF">
        <w:rPr>
          <w:b/>
          <w:sz w:val="28"/>
          <w:szCs w:val="28"/>
          <w:lang w:val="uk-UA"/>
        </w:rPr>
        <w:t>49,4</w:t>
      </w:r>
      <w:r w:rsidRPr="00A43D82">
        <w:rPr>
          <w:b/>
          <w:sz w:val="28"/>
          <w:szCs w:val="28"/>
          <w:lang w:val="uk-UA"/>
        </w:rPr>
        <w:t>%)</w:t>
      </w:r>
      <w:r w:rsidRPr="00A43D82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B7DD1" w:rsidRPr="00A43D82" w:rsidRDefault="005B7DD1" w:rsidP="005B7DD1">
      <w:pPr>
        <w:tabs>
          <w:tab w:val="left" w:pos="900"/>
        </w:tabs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7343DF">
        <w:rPr>
          <w:b/>
          <w:sz w:val="28"/>
          <w:szCs w:val="28"/>
          <w:lang w:val="uk-UA"/>
        </w:rPr>
        <w:t>14</w:t>
      </w:r>
      <w:r w:rsidRPr="00A43D82">
        <w:rPr>
          <w:b/>
          <w:sz w:val="28"/>
          <w:szCs w:val="28"/>
          <w:lang w:val="uk-UA"/>
        </w:rPr>
        <w:t xml:space="preserve"> запит</w:t>
      </w:r>
      <w:r w:rsidR="007343DF">
        <w:rPr>
          <w:b/>
          <w:sz w:val="28"/>
          <w:szCs w:val="28"/>
          <w:lang w:val="uk-UA"/>
        </w:rPr>
        <w:t>ів</w:t>
      </w:r>
      <w:r w:rsidRPr="00A43D82">
        <w:rPr>
          <w:b/>
          <w:sz w:val="28"/>
          <w:szCs w:val="28"/>
          <w:lang w:val="uk-UA"/>
        </w:rPr>
        <w:t xml:space="preserve"> (</w:t>
      </w:r>
      <w:r w:rsidR="007343DF">
        <w:rPr>
          <w:b/>
          <w:sz w:val="28"/>
          <w:szCs w:val="28"/>
          <w:lang w:val="uk-UA"/>
        </w:rPr>
        <w:t>9,6</w:t>
      </w:r>
      <w:r w:rsidRPr="00A43D82">
        <w:rPr>
          <w:b/>
          <w:sz w:val="28"/>
          <w:szCs w:val="28"/>
          <w:lang w:val="uk-UA"/>
        </w:rPr>
        <w:t>%);</w:t>
      </w:r>
    </w:p>
    <w:p w:rsidR="005B7DD1" w:rsidRPr="00A43D82" w:rsidRDefault="005B7DD1" w:rsidP="005B7DD1">
      <w:pPr>
        <w:ind w:firstLine="709"/>
        <w:jc w:val="both"/>
        <w:rPr>
          <w:b/>
          <w:sz w:val="28"/>
          <w:szCs w:val="28"/>
          <w:lang w:val="uk-UA"/>
        </w:rPr>
      </w:pPr>
      <w:r w:rsidRPr="00A43D8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7343DF">
        <w:rPr>
          <w:b/>
          <w:sz w:val="28"/>
          <w:szCs w:val="28"/>
          <w:lang w:val="uk-UA"/>
        </w:rPr>
        <w:t>46 запитів</w:t>
      </w:r>
      <w:r w:rsidRPr="00A43D82">
        <w:rPr>
          <w:b/>
          <w:sz w:val="28"/>
          <w:szCs w:val="28"/>
          <w:lang w:val="uk-UA"/>
        </w:rPr>
        <w:t xml:space="preserve"> (</w:t>
      </w:r>
      <w:r w:rsidR="007343DF">
        <w:rPr>
          <w:b/>
          <w:sz w:val="28"/>
          <w:szCs w:val="28"/>
          <w:lang w:val="uk-UA"/>
        </w:rPr>
        <w:t>31</w:t>
      </w:r>
      <w:r w:rsidR="00922739">
        <w:rPr>
          <w:b/>
          <w:sz w:val="28"/>
          <w:szCs w:val="28"/>
          <w:lang w:val="uk-UA"/>
        </w:rPr>
        <w:t>,4</w:t>
      </w:r>
      <w:r w:rsidRPr="00A43D82">
        <w:rPr>
          <w:b/>
          <w:sz w:val="28"/>
          <w:szCs w:val="28"/>
          <w:lang w:val="uk-UA"/>
        </w:rPr>
        <w:t xml:space="preserve">%), із них: </w:t>
      </w:r>
    </w:p>
    <w:p w:rsidR="005B7DD1" w:rsidRDefault="005B7DD1" w:rsidP="005B7DD1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до Державної реєстраційної служби – </w:t>
      </w:r>
      <w:r w:rsidR="007343DF">
        <w:rPr>
          <w:b/>
          <w:sz w:val="28"/>
          <w:szCs w:val="28"/>
          <w:lang w:val="uk-UA"/>
        </w:rPr>
        <w:t>11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запитів (</w:t>
      </w:r>
      <w:r w:rsidR="007343DF">
        <w:rPr>
          <w:b/>
          <w:sz w:val="28"/>
          <w:szCs w:val="28"/>
          <w:lang w:val="uk-UA"/>
        </w:rPr>
        <w:t>7,5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);</w:t>
      </w:r>
    </w:p>
    <w:p w:rsidR="005B7DD1" w:rsidRDefault="005B7DD1" w:rsidP="005B7DD1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Державної виконавчої</w:t>
      </w:r>
      <w:r w:rsidRPr="00A43D82">
        <w:rPr>
          <w:sz w:val="28"/>
          <w:szCs w:val="28"/>
          <w:lang w:val="uk-UA"/>
        </w:rPr>
        <w:t xml:space="preserve"> служби – </w:t>
      </w:r>
      <w:r w:rsidR="007343DF">
        <w:rPr>
          <w:b/>
          <w:sz w:val="28"/>
          <w:szCs w:val="28"/>
          <w:lang w:val="uk-UA"/>
        </w:rPr>
        <w:t>4</w:t>
      </w:r>
      <w:r w:rsidRPr="00A43D82">
        <w:rPr>
          <w:b/>
          <w:sz w:val="28"/>
          <w:szCs w:val="28"/>
          <w:lang w:val="uk-UA"/>
        </w:rPr>
        <w:t xml:space="preserve"> </w:t>
      </w:r>
      <w:r w:rsidRPr="00A43D8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A43D82">
        <w:rPr>
          <w:sz w:val="28"/>
          <w:szCs w:val="28"/>
          <w:lang w:val="uk-UA"/>
        </w:rPr>
        <w:t xml:space="preserve"> (</w:t>
      </w:r>
      <w:r w:rsidR="007343DF">
        <w:rPr>
          <w:b/>
          <w:sz w:val="28"/>
          <w:szCs w:val="28"/>
          <w:lang w:val="uk-UA"/>
        </w:rPr>
        <w:t>2,7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);</w:t>
      </w:r>
    </w:p>
    <w:p w:rsidR="005B7DD1" w:rsidRPr="00A43D82" w:rsidRDefault="005B7DD1" w:rsidP="005B7DD1">
      <w:pPr>
        <w:ind w:firstLine="709"/>
        <w:jc w:val="both"/>
        <w:rPr>
          <w:sz w:val="28"/>
          <w:szCs w:val="28"/>
          <w:lang w:val="uk-UA"/>
        </w:rPr>
      </w:pPr>
      <w:r w:rsidRPr="00A43D82">
        <w:rPr>
          <w:sz w:val="28"/>
          <w:szCs w:val="28"/>
          <w:lang w:val="uk-UA"/>
        </w:rPr>
        <w:t xml:space="preserve">до інших розпорядників інформації – </w:t>
      </w:r>
      <w:r w:rsidR="007343DF">
        <w:rPr>
          <w:b/>
          <w:sz w:val="28"/>
          <w:szCs w:val="28"/>
          <w:lang w:val="uk-UA"/>
        </w:rPr>
        <w:t>31</w:t>
      </w:r>
      <w:r w:rsidRPr="00A43D82">
        <w:rPr>
          <w:sz w:val="28"/>
          <w:szCs w:val="28"/>
          <w:lang w:val="uk-UA"/>
        </w:rPr>
        <w:t xml:space="preserve"> запит (</w:t>
      </w:r>
      <w:r w:rsidR="007343DF">
        <w:rPr>
          <w:b/>
          <w:sz w:val="28"/>
          <w:szCs w:val="28"/>
          <w:lang w:val="uk-UA"/>
        </w:rPr>
        <w:t>21,2</w:t>
      </w:r>
      <w:r w:rsidRPr="00A43D82">
        <w:rPr>
          <w:b/>
          <w:sz w:val="28"/>
          <w:szCs w:val="28"/>
          <w:lang w:val="uk-UA"/>
        </w:rPr>
        <w:t>%</w:t>
      </w:r>
      <w:r w:rsidRPr="00A43D82">
        <w:rPr>
          <w:sz w:val="28"/>
          <w:szCs w:val="28"/>
          <w:lang w:val="uk-UA"/>
        </w:rPr>
        <w:t>).</w:t>
      </w:r>
    </w:p>
    <w:p w:rsidR="005B7DD1" w:rsidRPr="009F30DF" w:rsidRDefault="005B7DD1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88305C" w:rsidRPr="009F30DF" w:rsidRDefault="00F13FDB" w:rsidP="00F93EBB">
      <w:pPr>
        <w:jc w:val="both"/>
        <w:rPr>
          <w:b/>
          <w:sz w:val="28"/>
          <w:szCs w:val="28"/>
          <w:lang w:val="uk-UA"/>
        </w:rPr>
      </w:pPr>
      <w:r w:rsidRPr="00F13FDB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4596349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E1C83" w:rsidRPr="009F30DF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9F30DF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9F30DF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Default="0087123E" w:rsidP="007343DF">
      <w:pPr>
        <w:ind w:firstLine="426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правоосвітньої</w:t>
      </w:r>
      <w:proofErr w:type="spellEnd"/>
      <w:r>
        <w:rPr>
          <w:b/>
          <w:sz w:val="28"/>
          <w:szCs w:val="28"/>
          <w:lang w:val="uk-UA"/>
        </w:rPr>
        <w:t xml:space="preserve"> діяльності</w:t>
      </w:r>
    </w:p>
    <w:p w:rsidR="007343DF" w:rsidRDefault="007343DF" w:rsidP="007343DF">
      <w:pPr>
        <w:ind w:firstLine="426"/>
        <w:jc w:val="right"/>
        <w:rPr>
          <w:b/>
          <w:sz w:val="28"/>
          <w:szCs w:val="28"/>
          <w:lang w:val="uk-UA"/>
        </w:rPr>
      </w:pPr>
    </w:p>
    <w:p w:rsidR="007343DF" w:rsidRPr="007343DF" w:rsidRDefault="007343DF" w:rsidP="007343DF">
      <w:pPr>
        <w:ind w:firstLine="426"/>
        <w:jc w:val="right"/>
        <w:rPr>
          <w:sz w:val="28"/>
          <w:szCs w:val="28"/>
        </w:rPr>
      </w:pPr>
    </w:p>
    <w:p w:rsidR="001E5BC3" w:rsidRPr="009F30DF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9F30DF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724" w:rsidRDefault="00044724" w:rsidP="00BB617A">
      <w:r>
        <w:separator/>
      </w:r>
    </w:p>
  </w:endnote>
  <w:endnote w:type="continuationSeparator" w:id="0">
    <w:p w:rsidR="00044724" w:rsidRDefault="00044724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724" w:rsidRDefault="00044724" w:rsidP="00BB617A">
      <w:r>
        <w:separator/>
      </w:r>
    </w:p>
  </w:footnote>
  <w:footnote w:type="continuationSeparator" w:id="0">
    <w:p w:rsidR="00044724" w:rsidRDefault="00044724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BBA"/>
    <w:rsid w:val="00085D0F"/>
    <w:rsid w:val="000876A7"/>
    <w:rsid w:val="000878F6"/>
    <w:rsid w:val="00087A43"/>
    <w:rsid w:val="000901FC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600B"/>
    <w:rsid w:val="000B733A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929"/>
    <w:rsid w:val="00207ADA"/>
    <w:rsid w:val="00215C51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6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7C99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73B6"/>
    <w:rsid w:val="004B78BA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E6A4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2B0B"/>
    <w:rsid w:val="006C7AE7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22BA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3D2D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4186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779A"/>
    <w:rsid w:val="00921263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089C"/>
    <w:rsid w:val="009E3EA9"/>
    <w:rsid w:val="009E40F7"/>
    <w:rsid w:val="009E44DC"/>
    <w:rsid w:val="009E622A"/>
    <w:rsid w:val="009E7450"/>
    <w:rsid w:val="009E74FF"/>
    <w:rsid w:val="009F01B9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3631"/>
    <w:rsid w:val="00A23C52"/>
    <w:rsid w:val="00A24366"/>
    <w:rsid w:val="00A2539F"/>
    <w:rsid w:val="00A26036"/>
    <w:rsid w:val="00A268E5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2C0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4851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42A03"/>
    <w:rsid w:val="00C4327A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4D61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02A1"/>
    <w:rsid w:val="00D829C5"/>
    <w:rsid w:val="00D84AA8"/>
    <w:rsid w:val="00D853F2"/>
    <w:rsid w:val="00D85530"/>
    <w:rsid w:val="00D85DBB"/>
    <w:rsid w:val="00D90077"/>
    <w:rsid w:val="00D91E71"/>
    <w:rsid w:val="00D936B5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6529"/>
    <w:rsid w:val="00DC6E8D"/>
    <w:rsid w:val="00DC7044"/>
    <w:rsid w:val="00DD007C"/>
    <w:rsid w:val="00DD07EC"/>
    <w:rsid w:val="00DD2A21"/>
    <w:rsid w:val="00DD2FC5"/>
    <w:rsid w:val="00DD39C8"/>
    <w:rsid w:val="00DD3E3B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77A"/>
    <w:rsid w:val="00E52286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556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3FDB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3299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677E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2CA5"/>
    <w:rsid w:val="00F92D19"/>
    <w:rsid w:val="00F934EB"/>
    <w:rsid w:val="00F93585"/>
    <w:rsid w:val="00F93EBB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eastAsiaTheme="minorEastAsia" w:hAnsi="Corbel" w:cstheme="minorBidi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rFonts w:eastAsiaTheme="minorEastAsia"/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\03.11-14.11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\01.12-12.11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\01.12-12.11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336E-2"/>
                  <c:y val="2.843503937007877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'20.10.2014-31.10.2014 (9)'!$B$100:$B$101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'20.10.2014-31.10.2014 (9)'!$C$100:$C$101</c:f>
              <c:numCache>
                <c:formatCode>General</c:formatCode>
                <c:ptCount val="2"/>
                <c:pt idx="0">
                  <c:v>89</c:v>
                </c:pt>
                <c:pt idx="1">
                  <c:v>57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360"/>
      <c:perspective val="0"/>
    </c:view3D>
    <c:plotArea>
      <c:layout>
        <c:manualLayout>
          <c:layoutTarget val="inner"/>
          <c:xMode val="edge"/>
          <c:yMode val="edge"/>
          <c:x val="0.15206555366146393"/>
          <c:y val="9.3412599594315732E-4"/>
          <c:w val="0.69236518115647916"/>
          <c:h val="0.40912801267325077"/>
        </c:manualLayout>
      </c:layout>
      <c:pie3DChart>
        <c:varyColors val="1"/>
        <c:ser>
          <c:idx val="0"/>
          <c:order val="0"/>
          <c:explosion val="24"/>
          <c:dLbls>
            <c:dLbl>
              <c:idx val="0"/>
              <c:layout>
                <c:manualLayout>
                  <c:x val="2.5807109162901052E-2"/>
                  <c:y val="-3.179602549681289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24,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0.10343552416772646"/>
                  <c:y val="2.2090659720166556E-3"/>
                </c:manualLayout>
              </c:layout>
              <c:showPercent val="1"/>
            </c:dLbl>
            <c:dLbl>
              <c:idx val="2"/>
              <c:layout>
                <c:manualLayout>
                  <c:x val="1.7820867233525873E-2"/>
                  <c:y val="1.1540656080197343E-2"/>
                </c:manualLayout>
              </c:layout>
              <c:showPercent val="1"/>
            </c:dLbl>
            <c:dLbl>
              <c:idx val="3"/>
              <c:layout>
                <c:manualLayout>
                  <c:x val="1.520458029268807E-2"/>
                  <c:y val="1.7281837037196462E-2"/>
                </c:manualLayout>
              </c:layout>
              <c:showPercent val="1"/>
            </c:dLbl>
            <c:dLbl>
              <c:idx val="4"/>
              <c:layout>
                <c:manualLayout>
                  <c:x val="-1.698394189910957E-2"/>
                  <c:y val="2.1594118295855315E-2"/>
                </c:manualLayout>
              </c:layout>
              <c:showPercent val="1"/>
            </c:dLbl>
            <c:dLbl>
              <c:idx val="5"/>
              <c:layout>
                <c:manualLayout>
                  <c:x val="-3.9406413632572142E-2"/>
                  <c:y val="9.2966650436204831E-3"/>
                </c:manualLayout>
              </c:layout>
              <c:showPercent val="1"/>
            </c:dLbl>
            <c:dLbl>
              <c:idx val="6"/>
              <c:layout>
                <c:manualLayout>
                  <c:x val="-4.0815438835536691E-2"/>
                  <c:y val="1.434066214903868E-2"/>
                </c:manualLayout>
              </c:layout>
              <c:showPercent val="1"/>
            </c:dLbl>
            <c:dLbl>
              <c:idx val="7"/>
              <c:layout>
                <c:manualLayout>
                  <c:x val="-6.1136251479380392E-2"/>
                  <c:y val="-5.7779726628807574E-3"/>
                </c:manualLayout>
              </c:layout>
              <c:showPercent val="1"/>
            </c:dLbl>
            <c:dLbl>
              <c:idx val="8"/>
              <c:layout>
                <c:manualLayout>
                  <c:x val="-9.3466794188164171E-2"/>
                  <c:y val="-2.1685259960885484E-2"/>
                </c:manualLayout>
              </c:layout>
              <c:showPercent val="1"/>
            </c:dLbl>
            <c:dLbl>
              <c:idx val="9"/>
              <c:layout>
                <c:manualLayout>
                  <c:x val="-0.10388180678746264"/>
                  <c:y val="-4.4393523238703575E-2"/>
                </c:manualLayout>
              </c:layout>
              <c:showPercent val="1"/>
            </c:dLbl>
            <c:dLbl>
              <c:idx val="10"/>
              <c:layout>
                <c:manualLayout>
                  <c:x val="-7.2779488254483993E-2"/>
                  <c:y val="-5.2227079404620035E-2"/>
                </c:manualLayout>
              </c:layout>
              <c:showPercent val="1"/>
            </c:dLbl>
            <c:dLbl>
              <c:idx val="11"/>
              <c:layout>
                <c:manualLayout>
                  <c:x val="-7.6025521768181689E-3"/>
                  <c:y val="-5.3538034428306736E-2"/>
                </c:manualLayout>
              </c:layout>
              <c:showPercent val="1"/>
            </c:dLbl>
            <c:dLbl>
              <c:idx val="12"/>
              <c:layout>
                <c:manualLayout>
                  <c:x val="5.5312711535018377E-2"/>
                  <c:y val="-3.6745055697469296E-2"/>
                </c:manualLayout>
              </c:layout>
              <c:showPercent val="1"/>
            </c:dLbl>
            <c:dLbl>
              <c:idx val="13"/>
              <c:layout>
                <c:manualLayout>
                  <c:x val="6.4534786729029917E-2"/>
                  <c:y val="-1.966748303619241E-2"/>
                </c:manualLayout>
              </c:layout>
              <c:showPercent val="1"/>
            </c:dLbl>
            <c:dLbl>
              <c:idx val="14"/>
              <c:layout>
                <c:manualLayout>
                  <c:x val="8.5454251662801711E-2"/>
                  <c:y val="-1.427619624470018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'20.10.2014-31.10.2014 (9)'!$G$6:$G$21</c:f>
              <c:strCache>
                <c:ptCount val="16"/>
                <c:pt idx="0">
                  <c:v>Департамент організаційного та ресурсного забезпечення  - 36 запитів або 24,5% (всі запити надіслано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- 22 запити або 15,1%</c:v>
                </c:pt>
                <c:pt idx="2">
                  <c:v>Департамент взаємодії з органами влади - 18 запитів або 12,3%</c:v>
                </c:pt>
                <c:pt idx="3">
                  <c:v>Департамент нотаріату та фінансового моніторингу - 11 запитів або 7,5%</c:v>
                </c:pt>
                <c:pt idx="4">
                  <c:v>Департамент цивільного, фінансового законодавства та законодавства з питань земельних відносин - 10 запитів або 6,8%</c:v>
                </c:pt>
                <c:pt idx="5">
                  <c:v>Департамент з питань люстрації 9 запитів або 6,2%</c:v>
                </c:pt>
                <c:pt idx="6">
                  <c:v>Департамент судової роботи та експертного забезпечення правосуддя - 8 запитів або 5,5%</c:v>
                </c:pt>
                <c:pt idx="7">
                  <c:v>Департамент планово-фінансової діяльності, бухгалтерського обліку та звітності  - 8 запитів або 5,5%</c:v>
                </c:pt>
                <c:pt idx="8">
                  <c:v>Департамент конституційного, адміністративного та соціального законодавства  - 7 запитів або 4,8%</c:v>
                </c:pt>
                <c:pt idx="9">
                  <c:v>Секретаріат Урядового уповноваженого у справах Європейського суду з прав людини - 5 запитів або 3,4%</c:v>
                </c:pt>
                <c:pt idx="10">
                  <c:v>Департамент з питань банкрутства - 3 запити або 2,1%</c:v>
                </c:pt>
                <c:pt idx="11">
                  <c:v>Департамент юстиції та безпеки  - 3 запити або 2,1%</c:v>
                </c:pt>
                <c:pt idx="12">
                  <c:v>Департамент антикорупційної політики - 2 запити або 1,4%</c:v>
                </c:pt>
                <c:pt idx="13">
                  <c:v>Департамент кадрової роботи та державної служби  - 2 запити або 1,4%</c:v>
                </c:pt>
                <c:pt idx="14">
                  <c:v>Департамент міжнародного права, повернення активів та відшкодування втрат, завданих тимчасовою окупацією Автономної Республіки Крим - 1 запит або 0,7%</c:v>
                </c:pt>
                <c:pt idx="15">
                  <c:v>Департамент європейської інтеграції  - 1 запит або 0,7% </c:v>
                </c:pt>
              </c:strCache>
            </c:strRef>
          </c:cat>
          <c:val>
            <c:numRef>
              <c:f>'20.10.2014-31.10.2014 (9)'!$H$6:$H$21</c:f>
              <c:numCache>
                <c:formatCode>General</c:formatCode>
                <c:ptCount val="16"/>
                <c:pt idx="0">
                  <c:v>36</c:v>
                </c:pt>
                <c:pt idx="1">
                  <c:v>22</c:v>
                </c:pt>
                <c:pt idx="2">
                  <c:v>18</c:v>
                </c:pt>
                <c:pt idx="3">
                  <c:v>11</c:v>
                </c:pt>
                <c:pt idx="4">
                  <c:v>10</c:v>
                </c:pt>
                <c:pt idx="5">
                  <c:v>9</c:v>
                </c:pt>
                <c:pt idx="6">
                  <c:v>8</c:v>
                </c:pt>
                <c:pt idx="7">
                  <c:v>8</c:v>
                </c:pt>
                <c:pt idx="8">
                  <c:v>7</c:v>
                </c:pt>
                <c:pt idx="9">
                  <c:v>5</c:v>
                </c:pt>
                <c:pt idx="10">
                  <c:v>3</c:v>
                </c:pt>
                <c:pt idx="11">
                  <c:v>3</c:v>
                </c:pt>
                <c:pt idx="12">
                  <c:v>2</c:v>
                </c:pt>
                <c:pt idx="13">
                  <c:v>2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0"/>
          <c:y val="0.30904676389135766"/>
          <c:w val="0.99250653909225184"/>
          <c:h val="0.68447132043529368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rotY val="263"/>
      <c:perspective val="30"/>
    </c:view3D>
    <c:plotArea>
      <c:layout>
        <c:manualLayout>
          <c:layoutTarget val="inner"/>
          <c:xMode val="edge"/>
          <c:yMode val="edge"/>
          <c:x val="5.0384252021936471E-2"/>
          <c:y val="0.13503138194682249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2.5253866646346083E-3"/>
                  <c:y val="-3.212781011069268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5465611995704854E-2"/>
                  <c:y val="-2.373360721214199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49,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2.4357514989486007E-2"/>
                  <c:y val="1.3863745292708039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6.5987636290132006E-3"/>
                  <c:y val="9.7058413220233227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4560675053195674E-2"/>
                  <c:y val="3.271245007417551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2.4736997408283952E-2"/>
                  <c:y val="1.189017459774053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'20.10.2014-31.10.2014 (9)'!$B$43:$B$48</c:f>
              <c:strCache>
                <c:ptCount val="6"/>
                <c:pt idx="0">
                  <c:v>На 14 запитів або 9,6% надано публічну інформацію</c:v>
                </c:pt>
                <c:pt idx="1">
                  <c:v>На 72 запити або 49,4%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інформації 14 запитів або 9,6% 
</c:v>
                </c:pt>
                <c:pt idx="3">
                  <c:v>Надіслано за належністю до Державної реєстраційної служби для розгляду та надання відповіді 11 запитів або 7,5%</c:v>
                </c:pt>
                <c:pt idx="4">
                  <c:v>Надіслано за належністю до Державної виконавчої служби для розгляду та надання відповіді 4 запити або 2,7%</c:v>
                </c:pt>
                <c:pt idx="5">
                  <c:v>Надіслано за належністю до інших розпорядників інформації для розгляду та надання відповіді 31 запит або 21,2%</c:v>
                </c:pt>
              </c:strCache>
            </c:strRef>
          </c:cat>
          <c:val>
            <c:numRef>
              <c:f>'20.10.2014-31.10.2014 (9)'!$C$43:$C$48</c:f>
              <c:numCache>
                <c:formatCode>General</c:formatCode>
                <c:ptCount val="6"/>
                <c:pt idx="0">
                  <c:v>14</c:v>
                </c:pt>
                <c:pt idx="1">
                  <c:v>72</c:v>
                </c:pt>
                <c:pt idx="2">
                  <c:v>14</c:v>
                </c:pt>
                <c:pt idx="3">
                  <c:v>11</c:v>
                </c:pt>
                <c:pt idx="4">
                  <c:v>4</c:v>
                </c:pt>
                <c:pt idx="5">
                  <c:v>31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5.7962101130064024E-2"/>
          <c:w val="0.42892727157624055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F5B52-C485-499F-AAD9-664D04112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564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</cp:revision>
  <cp:lastPrinted>2015-01-29T10:16:00Z</cp:lastPrinted>
  <dcterms:created xsi:type="dcterms:W3CDTF">2015-01-30T07:27:00Z</dcterms:created>
  <dcterms:modified xsi:type="dcterms:W3CDTF">2015-01-30T07:27:00Z</dcterms:modified>
</cp:coreProperties>
</file>