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A65C1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BB617A" w:rsidRPr="00BA65C1" w:rsidRDefault="00BB617A" w:rsidP="00BB617A">
      <w:pPr>
        <w:ind w:firstLine="708"/>
        <w:jc w:val="both"/>
        <w:rPr>
          <w:rStyle w:val="atitle"/>
          <w:sz w:val="12"/>
          <w:szCs w:val="12"/>
          <w:lang w:val="uk-UA"/>
        </w:rPr>
      </w:pPr>
    </w:p>
    <w:p w:rsidR="00BB617A" w:rsidRPr="00BA65C1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BB617A" w:rsidRPr="00BA65C1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3510D2" w:rsidRPr="00BA65C1">
        <w:rPr>
          <w:b/>
          <w:sz w:val="27"/>
          <w:szCs w:val="27"/>
          <w:lang w:val="uk-UA"/>
        </w:rPr>
        <w:t>24.03.2014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3510D2" w:rsidRPr="00BA65C1">
        <w:rPr>
          <w:b/>
          <w:sz w:val="27"/>
          <w:szCs w:val="27"/>
          <w:lang w:val="uk-UA"/>
        </w:rPr>
        <w:t>28.03.2014</w:t>
      </w:r>
      <w:r w:rsidRPr="00BA65C1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Pr="00BA65C1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3510D2" w:rsidRPr="00BA65C1">
        <w:rPr>
          <w:b/>
          <w:sz w:val="27"/>
          <w:szCs w:val="27"/>
          <w:lang w:val="uk-UA"/>
        </w:rPr>
        <w:t>24.03.2014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3510D2" w:rsidRPr="00BA65C1">
        <w:rPr>
          <w:b/>
          <w:sz w:val="27"/>
          <w:szCs w:val="27"/>
          <w:lang w:val="uk-UA"/>
        </w:rPr>
        <w:t>28.03.2014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3510D2" w:rsidRPr="00BA65C1">
        <w:rPr>
          <w:sz w:val="27"/>
          <w:szCs w:val="27"/>
          <w:lang w:val="uk-UA"/>
        </w:rPr>
        <w:t>24.03.2014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3510D2" w:rsidRPr="00BA65C1">
        <w:rPr>
          <w:sz w:val="27"/>
          <w:szCs w:val="27"/>
          <w:lang w:val="uk-UA"/>
        </w:rPr>
        <w:t>28.03.2014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BC3824" w:rsidRPr="00BA65C1">
        <w:rPr>
          <w:sz w:val="27"/>
          <w:szCs w:val="27"/>
          <w:lang w:val="uk-UA"/>
        </w:rPr>
        <w:t>ов</w:t>
      </w:r>
      <w:r w:rsidRPr="00BA65C1">
        <w:rPr>
          <w:sz w:val="27"/>
          <w:szCs w:val="27"/>
          <w:lang w:val="uk-UA"/>
        </w:rPr>
        <w:t xml:space="preserve"> </w:t>
      </w:r>
      <w:r w:rsidR="003510D2" w:rsidRPr="00BA65C1">
        <w:rPr>
          <w:b/>
          <w:sz w:val="27"/>
          <w:szCs w:val="27"/>
          <w:lang w:val="uk-UA"/>
        </w:rPr>
        <w:t>31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DD07EC" w:rsidRPr="00BA65C1">
        <w:rPr>
          <w:rStyle w:val="grame"/>
          <w:b/>
          <w:sz w:val="27"/>
          <w:szCs w:val="27"/>
          <w:lang w:val="uk-UA"/>
        </w:rPr>
        <w:t>2</w:t>
      </w:r>
      <w:r w:rsidR="00C642D7" w:rsidRPr="00BA65C1">
        <w:rPr>
          <w:rStyle w:val="grame"/>
          <w:b/>
          <w:sz w:val="27"/>
          <w:szCs w:val="27"/>
          <w:lang w:val="uk-UA"/>
        </w:rPr>
        <w:t>3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3061A3" w:rsidRPr="00BA65C1">
        <w:rPr>
          <w:rStyle w:val="grame"/>
          <w:sz w:val="27"/>
          <w:szCs w:val="27"/>
          <w:lang w:val="uk-UA"/>
        </w:rPr>
        <w:t>22</w:t>
      </w:r>
      <w:r w:rsidR="00E7221B" w:rsidRPr="00BA65C1">
        <w:rPr>
          <w:rStyle w:val="grame"/>
          <w:sz w:val="27"/>
          <w:szCs w:val="27"/>
          <w:lang w:val="uk-UA"/>
        </w:rPr>
        <w:t xml:space="preserve">, поштою – </w:t>
      </w:r>
      <w:r w:rsidR="003061A3" w:rsidRPr="00BA65C1">
        <w:rPr>
          <w:rStyle w:val="grame"/>
          <w:sz w:val="27"/>
          <w:szCs w:val="27"/>
          <w:lang w:val="uk-UA"/>
        </w:rPr>
        <w:t>1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Pr="00BA65C1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F65320" w:rsidRPr="00BA65C1">
        <w:rPr>
          <w:rStyle w:val="grame"/>
          <w:b/>
          <w:sz w:val="27"/>
          <w:szCs w:val="27"/>
          <w:lang w:val="uk-UA"/>
        </w:rPr>
        <w:t>8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7D1992" w:rsidRPr="00BA65C1">
        <w:rPr>
          <w:rStyle w:val="grame"/>
          <w:sz w:val="27"/>
          <w:szCs w:val="27"/>
          <w:lang w:val="uk-UA"/>
        </w:rPr>
        <w:t>3</w:t>
      </w:r>
      <w:r w:rsidRPr="00BA65C1">
        <w:rPr>
          <w:rStyle w:val="grame"/>
          <w:sz w:val="27"/>
          <w:szCs w:val="27"/>
          <w:lang w:val="uk-UA"/>
        </w:rPr>
        <w:t xml:space="preserve">, поштою – </w:t>
      </w:r>
      <w:r w:rsidR="007D1992" w:rsidRPr="00BA65C1">
        <w:rPr>
          <w:rStyle w:val="grame"/>
          <w:sz w:val="27"/>
          <w:szCs w:val="27"/>
          <w:lang w:val="uk-UA"/>
        </w:rPr>
        <w:t>4</w:t>
      </w:r>
      <w:r w:rsidR="003061A3" w:rsidRPr="00BA65C1">
        <w:rPr>
          <w:rStyle w:val="grame"/>
          <w:sz w:val="27"/>
          <w:szCs w:val="27"/>
          <w:lang w:val="uk-UA"/>
        </w:rPr>
        <w:t>, на особистому прийомі – 1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8F2297" w:rsidRPr="00BA65C1" w:rsidRDefault="00F74C7D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(</w:t>
      </w:r>
      <w:r w:rsidR="00BC3824" w:rsidRPr="00BA65C1">
        <w:rPr>
          <w:b/>
          <w:sz w:val="27"/>
          <w:szCs w:val="27"/>
          <w:lang w:val="uk-UA"/>
        </w:rPr>
        <w:t>5</w:t>
      </w:r>
      <w:r w:rsidRPr="00BA65C1">
        <w:rPr>
          <w:sz w:val="27"/>
          <w:szCs w:val="27"/>
          <w:lang w:val="uk-UA"/>
        </w:rPr>
        <w:t xml:space="preserve"> запит</w:t>
      </w:r>
      <w:r w:rsidR="00442858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>)</w:t>
      </w:r>
      <w:r w:rsidR="007E2A57" w:rsidRPr="00BA65C1">
        <w:rPr>
          <w:sz w:val="27"/>
          <w:szCs w:val="27"/>
          <w:lang w:val="uk-UA"/>
        </w:rPr>
        <w:t>,</w:t>
      </w:r>
      <w:r w:rsidR="00442858" w:rsidRPr="00BA65C1">
        <w:rPr>
          <w:sz w:val="27"/>
          <w:szCs w:val="27"/>
          <w:lang w:val="uk-UA"/>
        </w:rPr>
        <w:t xml:space="preserve"> </w:t>
      </w:r>
      <w:r w:rsidR="007E2A57" w:rsidRPr="00BA65C1">
        <w:rPr>
          <w:sz w:val="27"/>
          <w:szCs w:val="27"/>
          <w:lang w:val="uk-UA"/>
        </w:rPr>
        <w:t>Київської</w:t>
      </w:r>
      <w:r w:rsidR="00442858" w:rsidRPr="00BA65C1">
        <w:rPr>
          <w:sz w:val="27"/>
          <w:szCs w:val="27"/>
          <w:lang w:val="uk-UA"/>
        </w:rPr>
        <w:t xml:space="preserve"> </w:t>
      </w:r>
      <w:r w:rsidR="007E2A57" w:rsidRPr="00BA65C1">
        <w:rPr>
          <w:sz w:val="27"/>
          <w:szCs w:val="27"/>
          <w:lang w:val="uk-UA"/>
        </w:rPr>
        <w:t xml:space="preserve">та Одеської </w:t>
      </w:r>
      <w:r w:rsidR="00E93BDC" w:rsidRPr="00BA65C1">
        <w:rPr>
          <w:sz w:val="27"/>
          <w:szCs w:val="27"/>
          <w:lang w:val="uk-UA"/>
        </w:rPr>
        <w:t>област</w:t>
      </w:r>
      <w:r w:rsidR="007E2A57" w:rsidRPr="00BA65C1">
        <w:rPr>
          <w:sz w:val="27"/>
          <w:szCs w:val="27"/>
          <w:lang w:val="uk-UA"/>
        </w:rPr>
        <w:t>ей</w:t>
      </w:r>
      <w:r w:rsidR="00E93BDC" w:rsidRPr="00BA65C1">
        <w:rPr>
          <w:sz w:val="27"/>
          <w:szCs w:val="27"/>
          <w:lang w:val="uk-UA"/>
        </w:rPr>
        <w:t xml:space="preserve"> (</w:t>
      </w:r>
      <w:r w:rsidR="007E2A57" w:rsidRPr="00BA65C1">
        <w:rPr>
          <w:sz w:val="27"/>
          <w:szCs w:val="27"/>
          <w:lang w:val="uk-UA"/>
        </w:rPr>
        <w:t xml:space="preserve">по </w:t>
      </w:r>
      <w:r w:rsidR="007E2A57" w:rsidRPr="00BA65C1">
        <w:rPr>
          <w:b/>
          <w:sz w:val="27"/>
          <w:szCs w:val="27"/>
          <w:lang w:val="uk-UA"/>
        </w:rPr>
        <w:t>4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7E2A57" w:rsidRPr="00BA65C1">
        <w:rPr>
          <w:sz w:val="27"/>
          <w:szCs w:val="27"/>
          <w:lang w:val="uk-UA"/>
        </w:rPr>
        <w:t>и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F94227" w:rsidRPr="00BA65C1" w:rsidRDefault="00F94227" w:rsidP="00F94227">
      <w:pPr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Запитувані документи та інформація:</w:t>
      </w:r>
    </w:p>
    <w:p w:rsidR="00F94227" w:rsidRPr="00BA65C1" w:rsidRDefault="00F94227" w:rsidP="00F94227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документи:</w:t>
      </w:r>
    </w:p>
    <w:p w:rsidR="00F94227" w:rsidRPr="00BA65C1" w:rsidRDefault="00A24366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декларація</w:t>
      </w:r>
      <w:r w:rsidR="00035A3E" w:rsidRPr="00BA65C1">
        <w:rPr>
          <w:sz w:val="27"/>
          <w:szCs w:val="27"/>
          <w:lang w:val="uk-UA"/>
        </w:rPr>
        <w:t xml:space="preserve"> про майно, доходи, витрати і зобов’язання фінансового характеру за 2013 рік Міністра юстиції Петренка П.Д.</w:t>
      </w:r>
      <w:r w:rsidRPr="00BA65C1">
        <w:rPr>
          <w:sz w:val="27"/>
          <w:szCs w:val="27"/>
          <w:lang w:val="uk-UA"/>
        </w:rPr>
        <w:t>;</w:t>
      </w:r>
    </w:p>
    <w:p w:rsidR="000049CE" w:rsidRPr="00BA65C1" w:rsidRDefault="0059712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висновок Міністерства юстиції за результатами правової експертизи проекту розпорядження Кабінету Міністрів України «Про погодження умов продажу державного пакету акцій публічного акціонерного товариства «Донецькобленерго» від 01 листопада 2011 року</w:t>
      </w:r>
      <w:r w:rsidR="00BA65C1" w:rsidRPr="00BA65C1">
        <w:rPr>
          <w:sz w:val="27"/>
          <w:szCs w:val="27"/>
          <w:lang w:val="uk-UA"/>
        </w:rPr>
        <w:t xml:space="preserve"> та завізований</w:t>
      </w:r>
      <w:r w:rsidR="00BA65C1">
        <w:rPr>
          <w:sz w:val="27"/>
          <w:szCs w:val="27"/>
          <w:lang w:val="uk-UA"/>
        </w:rPr>
        <w:t xml:space="preserve"> проект акту</w:t>
      </w:r>
      <w:r w:rsidR="000049CE" w:rsidRPr="00BA65C1">
        <w:rPr>
          <w:sz w:val="27"/>
          <w:szCs w:val="27"/>
          <w:lang w:val="uk-UA"/>
        </w:rPr>
        <w:t>;</w:t>
      </w:r>
    </w:p>
    <w:p w:rsidR="00597121" w:rsidRPr="00BA65C1" w:rsidRDefault="0059712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лист Міністерства юстиції від 02 грудня № 9.2-48/1227 до Національного банку України;</w:t>
      </w:r>
    </w:p>
    <w:p w:rsidR="00597121" w:rsidRPr="00BA65C1" w:rsidRDefault="0059712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лист Міністерства юстиції від 20 січня № 9.2-</w:t>
      </w:r>
      <w:r w:rsidR="00A24366" w:rsidRPr="00BA65C1">
        <w:rPr>
          <w:sz w:val="27"/>
          <w:szCs w:val="27"/>
          <w:lang w:val="uk-UA"/>
        </w:rPr>
        <w:t>26</w:t>
      </w:r>
      <w:r w:rsidRPr="00BA65C1">
        <w:rPr>
          <w:sz w:val="27"/>
          <w:szCs w:val="27"/>
          <w:lang w:val="uk-UA"/>
        </w:rPr>
        <w:t>/</w:t>
      </w:r>
      <w:r w:rsidR="00A24366" w:rsidRPr="00BA65C1">
        <w:rPr>
          <w:sz w:val="27"/>
          <w:szCs w:val="27"/>
          <w:lang w:val="uk-UA"/>
        </w:rPr>
        <w:t>68</w:t>
      </w:r>
      <w:r w:rsidRPr="00BA65C1">
        <w:rPr>
          <w:sz w:val="27"/>
          <w:szCs w:val="27"/>
          <w:lang w:val="uk-UA"/>
        </w:rPr>
        <w:t xml:space="preserve"> до </w:t>
      </w:r>
      <w:r w:rsidR="00A24366" w:rsidRPr="00BA65C1">
        <w:rPr>
          <w:sz w:val="27"/>
          <w:szCs w:val="27"/>
          <w:lang w:val="uk-UA"/>
        </w:rPr>
        <w:t>Міністерства внутрішніх справ</w:t>
      </w:r>
      <w:r w:rsidRPr="00BA65C1">
        <w:rPr>
          <w:sz w:val="27"/>
          <w:szCs w:val="27"/>
          <w:lang w:val="uk-UA"/>
        </w:rPr>
        <w:t>;</w:t>
      </w:r>
    </w:p>
    <w:p w:rsidR="00A24366" w:rsidRPr="00BA65C1" w:rsidRDefault="00A24366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лист Міністерства юстиції від 28 лютого № 9.2-25/237 до Прокуратури Деснянського району міста Києва;</w:t>
      </w:r>
    </w:p>
    <w:p w:rsidR="00A24366" w:rsidRPr="00BA65C1" w:rsidRDefault="00A24366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договір про надання послуг з ремонтування периферійного устаткування.</w:t>
      </w:r>
    </w:p>
    <w:p w:rsidR="00F94227" w:rsidRPr="00BA65C1" w:rsidRDefault="00F94227" w:rsidP="00F94227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інформація про:</w:t>
      </w:r>
    </w:p>
    <w:p w:rsidR="00035A3E" w:rsidRPr="00BA65C1" w:rsidRDefault="00597121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>суму неоплачених рішень Європейського суду з прав людини в частині сплати справедливої сатисфакції</w:t>
      </w:r>
      <w:r w:rsidR="006F2D51">
        <w:rPr>
          <w:sz w:val="27"/>
          <w:szCs w:val="27"/>
          <w:lang w:val="uk-UA"/>
        </w:rPr>
        <w:t xml:space="preserve"> та в частині виконання рішень національного суду</w:t>
      </w:r>
      <w:r w:rsidRPr="00BA65C1">
        <w:rPr>
          <w:sz w:val="27"/>
          <w:szCs w:val="27"/>
          <w:lang w:val="uk-UA"/>
        </w:rPr>
        <w:t>, які перебувають в Міністерстві юстиції;</w:t>
      </w:r>
    </w:p>
    <w:p w:rsidR="00A24366" w:rsidRPr="00BA65C1" w:rsidRDefault="00A24366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суму коштів, передбачених Кошторисом витрат на 2014 рік за бюджетною програмою 3601170 «Платежі на виконання рішень закордонних юрисдикційних </w:t>
      </w:r>
      <w:r w:rsidR="008D4EFF" w:rsidRPr="00BA65C1">
        <w:rPr>
          <w:sz w:val="27"/>
          <w:szCs w:val="27"/>
          <w:lang w:val="uk-UA"/>
        </w:rPr>
        <w:t>органів, прийнятих за наслідками розгляду справ проти України»</w:t>
      </w:r>
      <w:r w:rsidR="006F2D51">
        <w:rPr>
          <w:sz w:val="27"/>
          <w:szCs w:val="27"/>
          <w:lang w:val="uk-UA"/>
        </w:rPr>
        <w:t xml:space="preserve"> Міністерству юстиції для виконання рішень Європейського суду з прав людини</w:t>
      </w:r>
      <w:r w:rsidR="008D4EFF" w:rsidRPr="00BA65C1">
        <w:rPr>
          <w:sz w:val="27"/>
          <w:szCs w:val="27"/>
          <w:lang w:val="uk-UA"/>
        </w:rPr>
        <w:t>;</w:t>
      </w:r>
    </w:p>
    <w:p w:rsidR="000049CE" w:rsidRPr="00BA65C1" w:rsidRDefault="00A24366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службові автомобілі, які Міністерство юстиції планує відчужувати шляхом продажу на аукціоні згідно з вимогами постанови Кабінету Міністрів України від 06 червня 2007 року № 803 «Про затвердження Порядку відчуження </w:t>
      </w:r>
      <w:r w:rsidR="005C33CC" w:rsidRPr="00BA65C1">
        <w:rPr>
          <w:sz w:val="27"/>
          <w:szCs w:val="27"/>
          <w:lang w:val="uk-UA"/>
        </w:rPr>
        <w:t>об’єктів</w:t>
      </w:r>
      <w:r w:rsidRPr="00BA65C1">
        <w:rPr>
          <w:sz w:val="27"/>
          <w:szCs w:val="27"/>
          <w:lang w:val="uk-UA"/>
        </w:rPr>
        <w:t xml:space="preserve"> державної власності</w:t>
      </w:r>
      <w:r w:rsidR="00035A3E" w:rsidRPr="00BA65C1">
        <w:rPr>
          <w:sz w:val="27"/>
          <w:szCs w:val="27"/>
          <w:lang w:val="uk-UA"/>
        </w:rPr>
        <w:t xml:space="preserve">. </w:t>
      </w:r>
    </w:p>
    <w:p w:rsidR="008F2297" w:rsidRPr="00BA65C1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Pr="00BA65C1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0E2041" w:rsidRPr="00BA65C1" w:rsidRDefault="000E2041" w:rsidP="00363C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Департаменту організаційного та ресурсного забезпечення (</w:t>
      </w:r>
      <w:r w:rsidRPr="00BA65C1">
        <w:rPr>
          <w:b/>
          <w:sz w:val="27"/>
          <w:szCs w:val="27"/>
          <w:lang w:val="uk-UA"/>
        </w:rPr>
        <w:t>12</w:t>
      </w:r>
      <w:r w:rsidRPr="00BA65C1">
        <w:rPr>
          <w:sz w:val="27"/>
          <w:szCs w:val="27"/>
          <w:lang w:val="uk-UA"/>
        </w:rPr>
        <w:t xml:space="preserve"> запитів або </w:t>
      </w:r>
      <w:r w:rsidR="006F2D51">
        <w:rPr>
          <w:b/>
          <w:sz w:val="27"/>
          <w:szCs w:val="27"/>
          <w:lang w:val="uk-UA"/>
        </w:rPr>
        <w:t>39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,</w:t>
      </w:r>
      <w:r w:rsidR="00B129A0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з них 3 запити або </w:t>
      </w:r>
      <w:r w:rsidRPr="00BA65C1">
        <w:rPr>
          <w:b/>
          <w:sz w:val="27"/>
          <w:szCs w:val="27"/>
          <w:lang w:val="uk-UA"/>
        </w:rPr>
        <w:t>75%</w:t>
      </w:r>
      <w:r w:rsidRPr="00BA65C1">
        <w:rPr>
          <w:sz w:val="27"/>
          <w:szCs w:val="27"/>
          <w:lang w:val="uk-UA"/>
        </w:rPr>
        <w:t xml:space="preserve"> надіслано для розгляду належним розпорядникам інформації), Департаменту цивільного, фінансового законодавства та законодавства з питань земельних відносин (</w:t>
      </w:r>
      <w:r w:rsidRPr="00BA65C1">
        <w:rPr>
          <w:b/>
          <w:sz w:val="27"/>
          <w:szCs w:val="27"/>
          <w:lang w:val="uk-UA"/>
        </w:rPr>
        <w:t>4</w:t>
      </w:r>
      <w:r w:rsidRPr="00BA65C1">
        <w:rPr>
          <w:sz w:val="27"/>
          <w:szCs w:val="27"/>
          <w:lang w:val="uk-UA"/>
        </w:rPr>
        <w:t xml:space="preserve"> запити або </w:t>
      </w:r>
      <w:r w:rsidRPr="00BA65C1">
        <w:rPr>
          <w:b/>
          <w:sz w:val="27"/>
          <w:szCs w:val="27"/>
          <w:lang w:val="uk-UA"/>
        </w:rPr>
        <w:t>13%</w:t>
      </w:r>
      <w:r w:rsidRPr="00BA65C1">
        <w:rPr>
          <w:sz w:val="27"/>
          <w:szCs w:val="27"/>
          <w:lang w:val="uk-UA"/>
        </w:rPr>
        <w:t>), Департаменту взаємодії з органами влади (</w:t>
      </w:r>
      <w:r w:rsidRPr="00BA65C1">
        <w:rPr>
          <w:b/>
          <w:sz w:val="27"/>
          <w:szCs w:val="27"/>
          <w:lang w:val="uk-UA"/>
        </w:rPr>
        <w:t>3</w:t>
      </w:r>
      <w:r w:rsidRPr="00BA65C1">
        <w:rPr>
          <w:sz w:val="27"/>
          <w:szCs w:val="27"/>
          <w:lang w:val="uk-UA"/>
        </w:rPr>
        <w:t xml:space="preserve"> запити або </w:t>
      </w:r>
      <w:r w:rsidRPr="00BA65C1">
        <w:rPr>
          <w:b/>
          <w:sz w:val="27"/>
          <w:szCs w:val="27"/>
          <w:lang w:val="uk-UA"/>
        </w:rPr>
        <w:t>10%</w:t>
      </w:r>
      <w:r w:rsidRPr="00BA65C1">
        <w:rPr>
          <w:sz w:val="27"/>
          <w:szCs w:val="27"/>
          <w:lang w:val="uk-UA"/>
        </w:rPr>
        <w:t xml:space="preserve">, з них всі запити надіслано для розгляду належним розпорядникам інформації), Департаменту кадрової роботи та державної служби, Секретаріату Урядового уповноваженого у справах Європейського суду з прав людини (по </w:t>
      </w:r>
      <w:r w:rsidRPr="00BA65C1">
        <w:rPr>
          <w:b/>
          <w:sz w:val="27"/>
          <w:szCs w:val="27"/>
          <w:lang w:val="uk-UA"/>
        </w:rPr>
        <w:t>3</w:t>
      </w:r>
      <w:r w:rsidRPr="00BA65C1">
        <w:rPr>
          <w:sz w:val="27"/>
          <w:szCs w:val="27"/>
          <w:lang w:val="uk-UA"/>
        </w:rPr>
        <w:t xml:space="preserve"> запити або по </w:t>
      </w:r>
      <w:r w:rsidRPr="00BA65C1">
        <w:rPr>
          <w:b/>
          <w:sz w:val="27"/>
          <w:szCs w:val="27"/>
          <w:lang w:val="uk-UA"/>
        </w:rPr>
        <w:t>10%</w:t>
      </w:r>
      <w:r w:rsidRPr="00BA65C1">
        <w:rPr>
          <w:sz w:val="27"/>
          <w:szCs w:val="27"/>
          <w:lang w:val="uk-UA"/>
        </w:rPr>
        <w:t>), Департаменту судової роботи (</w:t>
      </w:r>
      <w:r w:rsidRPr="00BA65C1">
        <w:rPr>
          <w:b/>
          <w:sz w:val="27"/>
          <w:szCs w:val="27"/>
          <w:lang w:val="uk-UA"/>
        </w:rPr>
        <w:t>2</w:t>
      </w:r>
      <w:r w:rsidRPr="00BA65C1">
        <w:rPr>
          <w:sz w:val="27"/>
          <w:szCs w:val="27"/>
          <w:lang w:val="uk-UA"/>
        </w:rPr>
        <w:t xml:space="preserve"> запити або </w:t>
      </w:r>
      <w:r w:rsidRPr="00BA65C1">
        <w:rPr>
          <w:b/>
          <w:sz w:val="27"/>
          <w:szCs w:val="27"/>
          <w:lang w:val="uk-UA"/>
        </w:rPr>
        <w:t>6%</w:t>
      </w:r>
      <w:r w:rsidRPr="00BA65C1">
        <w:rPr>
          <w:sz w:val="27"/>
          <w:szCs w:val="27"/>
          <w:lang w:val="uk-UA"/>
        </w:rPr>
        <w:t xml:space="preserve">), Департаменту реєстрації та систематизації нормативних актів, </w:t>
      </w:r>
      <w:proofErr w:type="spellStart"/>
      <w:r w:rsidRPr="00BA65C1">
        <w:rPr>
          <w:sz w:val="27"/>
          <w:szCs w:val="27"/>
          <w:lang w:val="uk-UA"/>
        </w:rPr>
        <w:t>правоосвітньої</w:t>
      </w:r>
      <w:proofErr w:type="spellEnd"/>
      <w:r w:rsidRPr="00BA65C1">
        <w:rPr>
          <w:sz w:val="27"/>
          <w:szCs w:val="27"/>
          <w:lang w:val="uk-UA"/>
        </w:rPr>
        <w:t xml:space="preserve"> діяльності, Департаменту антикорупційного законодавства та законодавства про правосуддя, Департамент</w:t>
      </w:r>
      <w:r w:rsidR="00B129A0" w:rsidRPr="00BA65C1">
        <w:rPr>
          <w:sz w:val="27"/>
          <w:szCs w:val="27"/>
          <w:lang w:val="uk-UA"/>
        </w:rPr>
        <w:t>у</w:t>
      </w:r>
      <w:r w:rsidRPr="00BA65C1">
        <w:rPr>
          <w:sz w:val="27"/>
          <w:szCs w:val="27"/>
          <w:lang w:val="uk-UA"/>
        </w:rPr>
        <w:t xml:space="preserve"> нотаріату та банкрутства, Департамент</w:t>
      </w:r>
      <w:r w:rsidR="00B129A0" w:rsidRPr="00BA65C1">
        <w:rPr>
          <w:sz w:val="27"/>
          <w:szCs w:val="27"/>
          <w:lang w:val="uk-UA"/>
        </w:rPr>
        <w:t>у</w:t>
      </w:r>
      <w:r w:rsidRPr="00BA65C1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(по </w:t>
      </w:r>
      <w:r w:rsidRPr="00BA65C1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запиту або по </w:t>
      </w:r>
      <w:r w:rsidRPr="00BA65C1">
        <w:rPr>
          <w:b/>
          <w:sz w:val="27"/>
          <w:szCs w:val="27"/>
          <w:lang w:val="uk-UA"/>
        </w:rPr>
        <w:t>3%</w:t>
      </w:r>
      <w:r w:rsidRPr="00BA65C1">
        <w:rPr>
          <w:sz w:val="27"/>
          <w:szCs w:val="27"/>
          <w:lang w:val="uk-UA"/>
        </w:rPr>
        <w:t>).</w:t>
      </w:r>
    </w:p>
    <w:p w:rsidR="00562BB5" w:rsidRPr="00BA65C1" w:rsidRDefault="00562BB5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8F2297" w:rsidRPr="00BA65C1" w:rsidRDefault="006F2D51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6F2D51">
        <w:rPr>
          <w:sz w:val="27"/>
          <w:szCs w:val="27"/>
          <w:lang w:val="uk-UA"/>
        </w:rPr>
        <w:lastRenderedPageBreak/>
        <w:drawing>
          <wp:inline distT="0" distB="0" distL="0" distR="0">
            <wp:extent cx="4695825" cy="7267575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B129A0" w:rsidRPr="00BA65C1">
        <w:rPr>
          <w:b/>
          <w:sz w:val="27"/>
          <w:szCs w:val="27"/>
          <w:lang w:val="uk-UA"/>
        </w:rPr>
        <w:t>19</w:t>
      </w:r>
      <w:r w:rsidRPr="00BA65C1">
        <w:rPr>
          <w:b/>
          <w:sz w:val="27"/>
          <w:szCs w:val="27"/>
          <w:lang w:val="uk-UA"/>
        </w:rPr>
        <w:t xml:space="preserve"> запитів (</w:t>
      </w:r>
      <w:r w:rsidR="00506202" w:rsidRPr="00BA65C1">
        <w:rPr>
          <w:b/>
          <w:sz w:val="27"/>
          <w:szCs w:val="27"/>
          <w:lang w:val="uk-UA"/>
        </w:rPr>
        <w:t>6</w:t>
      </w:r>
      <w:r w:rsidR="00B129A0" w:rsidRPr="00BA65C1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B129A0" w:rsidRPr="00BA65C1">
        <w:rPr>
          <w:b/>
          <w:sz w:val="27"/>
          <w:szCs w:val="27"/>
          <w:lang w:val="uk-UA"/>
        </w:rPr>
        <w:t>8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B129A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B129A0" w:rsidRPr="00BA65C1">
        <w:rPr>
          <w:b/>
          <w:sz w:val="27"/>
          <w:szCs w:val="27"/>
          <w:lang w:val="uk-UA"/>
        </w:rPr>
        <w:t>26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Pr="00BA65C1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B129A0" w:rsidRPr="00BA65C1">
        <w:rPr>
          <w:b/>
          <w:sz w:val="27"/>
          <w:szCs w:val="27"/>
          <w:lang w:val="uk-UA"/>
        </w:rPr>
        <w:t>11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запитів </w:t>
      </w:r>
      <w:r w:rsidRPr="00BA65C1">
        <w:rPr>
          <w:b/>
          <w:sz w:val="27"/>
          <w:szCs w:val="27"/>
          <w:lang w:val="uk-UA"/>
        </w:rPr>
        <w:t>(</w:t>
      </w:r>
      <w:r w:rsidR="00B129A0" w:rsidRPr="00BA65C1">
        <w:rPr>
          <w:b/>
          <w:sz w:val="27"/>
          <w:szCs w:val="27"/>
          <w:lang w:val="uk-UA"/>
        </w:rPr>
        <w:t>36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6F2D51">
        <w:rPr>
          <w:b/>
          <w:sz w:val="27"/>
          <w:szCs w:val="27"/>
          <w:lang w:val="uk-UA"/>
        </w:rPr>
        <w:t>12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6E2D68" w:rsidRPr="00BA65C1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900A40">
        <w:rPr>
          <w:b/>
          <w:sz w:val="27"/>
          <w:szCs w:val="27"/>
          <w:lang w:val="uk-UA"/>
        </w:rPr>
        <w:t>38</w:t>
      </w:r>
      <w:r w:rsidRPr="00BA65C1">
        <w:rPr>
          <w:b/>
          <w:sz w:val="27"/>
          <w:szCs w:val="27"/>
          <w:lang w:val="uk-UA"/>
        </w:rPr>
        <w:t>%), із них: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Pr="00BA65C1">
        <w:rPr>
          <w:b/>
          <w:sz w:val="27"/>
          <w:szCs w:val="27"/>
          <w:lang w:val="uk-UA"/>
        </w:rPr>
        <w:t>2</w:t>
      </w:r>
      <w:r w:rsidRPr="00BA65C1">
        <w:rPr>
          <w:sz w:val="27"/>
          <w:szCs w:val="27"/>
          <w:lang w:val="uk-UA"/>
        </w:rPr>
        <w:t xml:space="preserve"> запити (</w:t>
      </w:r>
      <w:r w:rsidRPr="00BA65C1">
        <w:rPr>
          <w:b/>
          <w:sz w:val="27"/>
          <w:szCs w:val="27"/>
          <w:lang w:val="uk-UA"/>
        </w:rPr>
        <w:t>6%</w:t>
      </w:r>
      <w:r w:rsidRPr="00BA65C1">
        <w:rPr>
          <w:sz w:val="27"/>
          <w:szCs w:val="27"/>
          <w:lang w:val="uk-UA"/>
        </w:rPr>
        <w:t>)</w:t>
      </w:r>
    </w:p>
    <w:p w:rsidR="003D0FA3" w:rsidRPr="00BA65C1" w:rsidRDefault="003D0FA3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виконавчої служби України </w:t>
      </w:r>
      <w:r w:rsidRPr="00BA65C1">
        <w:rPr>
          <w:b/>
          <w:sz w:val="27"/>
          <w:szCs w:val="27"/>
          <w:lang w:val="uk-UA"/>
        </w:rPr>
        <w:t>–</w:t>
      </w:r>
      <w:r w:rsidRPr="00BA65C1">
        <w:rPr>
          <w:sz w:val="27"/>
          <w:szCs w:val="27"/>
          <w:lang w:val="uk-UA"/>
        </w:rPr>
        <w:t xml:space="preserve"> </w:t>
      </w:r>
      <w:r w:rsidR="00C152D0" w:rsidRPr="00BA65C1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</w:t>
      </w:r>
      <w:r w:rsidRPr="00BA65C1">
        <w:rPr>
          <w:b/>
          <w:sz w:val="27"/>
          <w:szCs w:val="27"/>
          <w:lang w:val="uk-UA"/>
        </w:rPr>
        <w:t>(</w:t>
      </w:r>
      <w:r w:rsidR="00C152D0" w:rsidRPr="00BA65C1">
        <w:rPr>
          <w:b/>
          <w:sz w:val="27"/>
          <w:szCs w:val="27"/>
          <w:lang w:val="uk-UA"/>
        </w:rPr>
        <w:t>3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C152D0" w:rsidRPr="00BA65C1">
        <w:rPr>
          <w:b/>
          <w:sz w:val="27"/>
          <w:szCs w:val="27"/>
          <w:lang w:val="uk-UA"/>
        </w:rPr>
        <w:t>9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C152D0" w:rsidRPr="00BA65C1">
        <w:rPr>
          <w:b/>
          <w:sz w:val="27"/>
          <w:szCs w:val="27"/>
          <w:lang w:val="uk-UA"/>
        </w:rPr>
        <w:t>29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Pr="00BA65C1" w:rsidRDefault="006F2D51" w:rsidP="008F2297">
      <w:pPr>
        <w:ind w:firstLine="709"/>
        <w:jc w:val="both"/>
        <w:rPr>
          <w:sz w:val="27"/>
          <w:szCs w:val="27"/>
          <w:lang w:val="uk-UA"/>
        </w:rPr>
      </w:pPr>
      <w:r w:rsidRPr="006F2D51">
        <w:rPr>
          <w:sz w:val="27"/>
          <w:szCs w:val="27"/>
          <w:lang w:val="uk-UA"/>
        </w:rPr>
        <w:lastRenderedPageBreak/>
        <w:drawing>
          <wp:inline distT="0" distB="0" distL="0" distR="0">
            <wp:extent cx="6275070" cy="5761009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 публічної інформації                                                                               К.Ф. Хмарна</w:t>
      </w:r>
    </w:p>
    <w:p w:rsidR="008F4BDD" w:rsidRPr="00BA65C1" w:rsidRDefault="00455336" w:rsidP="008C1F70">
      <w:pPr>
        <w:rPr>
          <w:sz w:val="28"/>
          <w:szCs w:val="28"/>
          <w:lang w:val="uk-UA"/>
        </w:rPr>
      </w:pPr>
      <w:r w:rsidRPr="00BA65C1">
        <w:rPr>
          <w:b/>
          <w:noProof/>
          <w:sz w:val="27"/>
          <w:szCs w:val="27"/>
          <w:lang w:val="uk-UA"/>
        </w:rPr>
        <w:t>1</w:t>
      </w:r>
      <w:r w:rsidR="006F2D51">
        <w:rPr>
          <w:b/>
          <w:noProof/>
          <w:sz w:val="27"/>
          <w:szCs w:val="27"/>
          <w:lang w:val="uk-UA"/>
        </w:rPr>
        <w:t>6</w:t>
      </w:r>
      <w:r w:rsidR="00BB617A" w:rsidRPr="00BA65C1">
        <w:rPr>
          <w:b/>
          <w:noProof/>
          <w:sz w:val="27"/>
          <w:szCs w:val="27"/>
          <w:lang w:val="uk-UA"/>
        </w:rPr>
        <w:t>.0</w:t>
      </w:r>
      <w:r w:rsidR="00AE5A8C" w:rsidRPr="00BA65C1">
        <w:rPr>
          <w:b/>
          <w:noProof/>
          <w:sz w:val="27"/>
          <w:szCs w:val="27"/>
          <w:lang w:val="uk-UA"/>
        </w:rPr>
        <w:t>4</w:t>
      </w:r>
      <w:r w:rsidR="00BB617A" w:rsidRPr="00BA65C1">
        <w:rPr>
          <w:b/>
          <w:noProof/>
          <w:sz w:val="27"/>
          <w:szCs w:val="27"/>
          <w:lang w:val="uk-UA"/>
        </w:rPr>
        <w:t>.2014</w:t>
      </w:r>
    </w:p>
    <w:sectPr w:rsidR="008F4BDD" w:rsidRPr="00BA65C1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E17" w:rsidRDefault="00393E17" w:rsidP="00BB617A">
      <w:r>
        <w:separator/>
      </w:r>
    </w:p>
  </w:endnote>
  <w:endnote w:type="continuationSeparator" w:id="0">
    <w:p w:rsidR="00393E17" w:rsidRDefault="00393E17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E17" w:rsidRDefault="00393E17" w:rsidP="00BB617A">
      <w:r>
        <w:separator/>
      </w:r>
    </w:p>
  </w:footnote>
  <w:footnote w:type="continuationSeparator" w:id="0">
    <w:p w:rsidR="00393E17" w:rsidRDefault="00393E17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0246"/>
    <w:rsid w:val="00205AD1"/>
    <w:rsid w:val="00206929"/>
    <w:rsid w:val="00207ADA"/>
    <w:rsid w:val="0021707C"/>
    <w:rsid w:val="00217303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61C73"/>
    <w:rsid w:val="002626D7"/>
    <w:rsid w:val="00265C5C"/>
    <w:rsid w:val="002667A4"/>
    <w:rsid w:val="00266A21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3004"/>
    <w:rsid w:val="003230E8"/>
    <w:rsid w:val="00324CB6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3763"/>
    <w:rsid w:val="004F4617"/>
    <w:rsid w:val="004F5C41"/>
    <w:rsid w:val="005015DC"/>
    <w:rsid w:val="005021E5"/>
    <w:rsid w:val="00506202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BB5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97121"/>
    <w:rsid w:val="005A0923"/>
    <w:rsid w:val="005A3CC0"/>
    <w:rsid w:val="005A4B6A"/>
    <w:rsid w:val="005A4C08"/>
    <w:rsid w:val="005A5914"/>
    <w:rsid w:val="005A5BEC"/>
    <w:rsid w:val="005A7A82"/>
    <w:rsid w:val="005B0762"/>
    <w:rsid w:val="005B2BEC"/>
    <w:rsid w:val="005B38FF"/>
    <w:rsid w:val="005B3FDD"/>
    <w:rsid w:val="005B5C22"/>
    <w:rsid w:val="005B5C87"/>
    <w:rsid w:val="005C33CC"/>
    <w:rsid w:val="005C3F72"/>
    <w:rsid w:val="005D0B6C"/>
    <w:rsid w:val="005D0D2A"/>
    <w:rsid w:val="005D16DF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20CE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7"/>
    <w:rsid w:val="006A2C5B"/>
    <w:rsid w:val="006A6731"/>
    <w:rsid w:val="006A6E24"/>
    <w:rsid w:val="006B1327"/>
    <w:rsid w:val="006B4244"/>
    <w:rsid w:val="006B78D5"/>
    <w:rsid w:val="006C0295"/>
    <w:rsid w:val="006C048C"/>
    <w:rsid w:val="006D0920"/>
    <w:rsid w:val="006D16DC"/>
    <w:rsid w:val="006D3C56"/>
    <w:rsid w:val="006D4E9D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4ED5"/>
    <w:rsid w:val="00716B0A"/>
    <w:rsid w:val="007174C2"/>
    <w:rsid w:val="00720175"/>
    <w:rsid w:val="00720C88"/>
    <w:rsid w:val="007218DF"/>
    <w:rsid w:val="007222C6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524E"/>
    <w:rsid w:val="007D559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1F70"/>
    <w:rsid w:val="008C282D"/>
    <w:rsid w:val="008C44B5"/>
    <w:rsid w:val="008C637D"/>
    <w:rsid w:val="008C65B9"/>
    <w:rsid w:val="008C6F26"/>
    <w:rsid w:val="008D0ACF"/>
    <w:rsid w:val="008D309F"/>
    <w:rsid w:val="008D32AE"/>
    <w:rsid w:val="008D4EFF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65C1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2D7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5DDB"/>
    <w:rsid w:val="00DF2678"/>
    <w:rsid w:val="00DF3446"/>
    <w:rsid w:val="00DF6163"/>
    <w:rsid w:val="00E00490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53E-2"/>
                  <c:y val="-0.10826698745990486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299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'24.03.2014-28.03.2014'!$B$102:$B$103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'24.03.2014-28.03.2014'!$C$102:$C$103</c:f>
              <c:numCache>
                <c:formatCode>General</c:formatCode>
                <c:ptCount val="2"/>
                <c:pt idx="0">
                  <c:v>23</c:v>
                </c:pt>
                <c:pt idx="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142E-3"/>
          <c:w val="0.6694557399392016"/>
          <c:h val="0.3942802451021147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195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368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416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961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'24.03.2014-28.03.2014'!$G$6:$G$15</c:f>
              <c:strCache>
                <c:ptCount val="10"/>
                <c:pt idx="0">
                  <c:v>Департамент організаційного та ресурсного забезпечення - 12 запитів або 39% (з них 3 запити або 75% надіслано для розгляду належним розпорядникам інформації)</c:v>
                </c:pt>
                <c:pt idx="1">
                  <c:v>Департамент цивільного, фінансового законодавства та законодавства з питань земельних відносин -  4 запити або 13%</c:v>
                </c:pt>
                <c:pt idx="2">
                  <c:v>Департамент взаємодії з органами влади - 3 запити або 10% (з них всі запити надіслано для розгляду належним розпорядникам інформації)</c:v>
                </c:pt>
                <c:pt idx="3">
                  <c:v>Департамент кадрової роботи та державної служби - 3 запити або 10%</c:v>
                </c:pt>
                <c:pt idx="4">
                  <c:v>Секретаріат Урядового уповноваженого у справах Європейського суду з прав людини - 3 запити або 10%</c:v>
                </c:pt>
                <c:pt idx="5">
                  <c:v>Департамент судової роботи - 2 запити або 6%</c:v>
                </c:pt>
                <c:pt idx="6">
                  <c:v>Департамент реєстрації та систематизації нормативних актів, правоосвітньої діяльності - 1 запит або 3%</c:v>
                </c:pt>
                <c:pt idx="7">
                  <c:v>Департамент антикорупційного законодавства та законодавства про правосуддя - 1 запит або 3%</c:v>
                </c:pt>
                <c:pt idx="8">
                  <c:v>Департамент нотаріату та банкрутства  - 1 запит або 3%</c:v>
                </c:pt>
                <c:pt idx="9">
                  <c:v>Департамент планово-фінансової діяльності, бухгалтерського обліку та звітності - 1 запит або 3%</c:v>
                </c:pt>
              </c:strCache>
            </c:strRef>
          </c:cat>
          <c:val>
            <c:numRef>
              <c:f>'24.03.2014-28.03.2014'!$H$6:$H$15</c:f>
              <c:numCache>
                <c:formatCode>General</c:formatCode>
                <c:ptCount val="10"/>
                <c:pt idx="0">
                  <c:v>12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586"/>
          <c:h val="0.662548896065998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0461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0532325700666738E-2"/>
                  <c:y val="3.23788399689476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6333454007904191E-2"/>
                  <c:y val="-2.232540181303626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2824840860409853E-2"/>
                  <c:y val="-4.275397500195111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('24.03.2014-28.03.2014'!$B$43:$B$44,'24.03.2014-28.03.2014'!$B$47:$B$48,'24.03.2014-28.03.2014'!$B$50)</c:f>
              <c:strCache>
                <c:ptCount val="5"/>
                <c:pt idx="0">
                  <c:v>На 8 запитів або 26% надано публічну інформацію</c:v>
                </c:pt>
                <c:pt idx="1">
                  <c:v>На 11 запитів або 36%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2 запити або 6%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3%</c:v>
                </c:pt>
                <c:pt idx="4">
                  <c:v>Надіслано за належністю до інших розпорядників інформації для розгляду та надання відповіді 
9 запитів або 29%</c:v>
                </c:pt>
              </c:strCache>
            </c:strRef>
          </c:cat>
          <c:val>
            <c:numRef>
              <c:f>('24.03.2014-28.03.2014'!$C$43:$C$44,'24.03.2014-28.03.2014'!$C$47:$C$48,'24.03.2014-28.03.2014'!$C$50)</c:f>
              <c:numCache>
                <c:formatCode>General</c:formatCode>
                <c:ptCount val="5"/>
                <c:pt idx="0">
                  <c:v>8</c:v>
                </c:pt>
                <c:pt idx="1">
                  <c:v>11</c:v>
                </c:pt>
                <c:pt idx="2">
                  <c:v>2</c:v>
                </c:pt>
                <c:pt idx="3">
                  <c:v>1</c:v>
                </c:pt>
                <c:pt idx="4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914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086B-AD4E-4CBF-85C8-18035FBD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2692</Words>
  <Characters>1536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20</cp:revision>
  <cp:lastPrinted>2014-04-15T09:09:00Z</cp:lastPrinted>
  <dcterms:created xsi:type="dcterms:W3CDTF">2014-04-01T06:25:00Z</dcterms:created>
  <dcterms:modified xsi:type="dcterms:W3CDTF">2014-04-16T06:45:00Z</dcterms:modified>
</cp:coreProperties>
</file>