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Ind w:w="96" w:type="dxa"/>
        <w:tblLook w:val="04A0"/>
      </w:tblPr>
      <w:tblGrid>
        <w:gridCol w:w="920"/>
        <w:gridCol w:w="3560"/>
        <w:gridCol w:w="1580"/>
        <w:gridCol w:w="2180"/>
        <w:gridCol w:w="2240"/>
      </w:tblGrid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Додаток  1 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 </w:t>
            </w:r>
            <w:proofErr w:type="gramStart"/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ішення  Павлоградської міської ради 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від </w:t>
            </w:r>
            <w:r w:rsidR="004B1EED" w:rsidRPr="004B1EE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19.06.2018 року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4B1EED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4B1EE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</w:t>
            </w:r>
            <w:r w:rsidR="004B1EED" w:rsidRPr="004B1EED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1231/37- VII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312"/>
        </w:trPr>
        <w:tc>
          <w:tcPr>
            <w:tcW w:w="10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СТАВКИ</w:t>
            </w:r>
          </w:p>
        </w:tc>
      </w:tr>
      <w:tr w:rsidR="00DD6FFF" w:rsidRPr="00DD6FFF" w:rsidTr="00DD6FFF">
        <w:trPr>
          <w:trHeight w:val="312"/>
        </w:trPr>
        <w:tc>
          <w:tcPr>
            <w:tcW w:w="10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податку на нерухоме майно, відмінне від земельної ділянки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312"/>
        </w:trPr>
        <w:tc>
          <w:tcPr>
            <w:tcW w:w="10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Ставки встановлюються та вводяться в дію з 01 січня 2019 року</w:t>
            </w:r>
          </w:p>
        </w:tc>
      </w:tr>
      <w:tr w:rsidR="00DD6FFF" w:rsidRPr="00DD6FFF" w:rsidTr="00DD6FFF">
        <w:trPr>
          <w:trHeight w:val="312"/>
        </w:trPr>
        <w:tc>
          <w:tcPr>
            <w:tcW w:w="10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6FFF" w:rsidRPr="00DD6FFF" w:rsidTr="00DD6FFF">
        <w:trPr>
          <w:trHeight w:val="672"/>
        </w:trPr>
        <w:tc>
          <w:tcPr>
            <w:tcW w:w="10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Адміністративн</w:t>
            </w:r>
            <w:proofErr w:type="gramStart"/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о-</w:t>
            </w:r>
            <w:proofErr w:type="gramEnd"/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територіальні одиниці або населенні пункти , або території обєднаних територіальних громад, на які поширюється дія рішення ради:</w:t>
            </w:r>
          </w:p>
        </w:tc>
      </w:tr>
      <w:tr w:rsidR="00DD6FFF" w:rsidRPr="00DD6FFF" w:rsidTr="00DD6FFF">
        <w:trPr>
          <w:trHeight w:val="276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804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області</w:t>
            </w:r>
          </w:p>
        </w:tc>
        <w:tc>
          <w:tcPr>
            <w:tcW w:w="3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району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згідно з КОАТУУ</w:t>
            </w:r>
          </w:p>
        </w:tc>
        <w:tc>
          <w:tcPr>
            <w:tcW w:w="44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Найменування адміністративно-територіальної одиниці або </w:t>
            </w:r>
            <w:proofErr w:type="gramStart"/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населенного</w:t>
            </w:r>
            <w:proofErr w:type="gramEnd"/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пункту, або території обєднаної територіальної громади</w:t>
            </w:r>
          </w:p>
        </w:tc>
      </w:tr>
      <w:tr w:rsidR="00DD6FFF" w:rsidRPr="00DD6FFF" w:rsidTr="00DD6FFF">
        <w:trPr>
          <w:trHeight w:val="36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1212400000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Павлоград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76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315"/>
        </w:trPr>
        <w:tc>
          <w:tcPr>
            <w:tcW w:w="60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Класифікація будівель та споруд</w:t>
            </w:r>
          </w:p>
        </w:tc>
        <w:tc>
          <w:tcPr>
            <w:tcW w:w="44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Ставки податку за 1 кв. метр</w:t>
            </w:r>
          </w:p>
        </w:tc>
      </w:tr>
      <w:tr w:rsidR="00DD6FFF" w:rsidRPr="00DD6FFF" w:rsidTr="00DD6FFF">
        <w:trPr>
          <w:trHeight w:val="648"/>
        </w:trPr>
        <w:tc>
          <w:tcPr>
            <w:tcW w:w="60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(відсотків розміру мінімальної заробітної плати) </w:t>
            </w:r>
          </w:p>
        </w:tc>
      </w:tr>
      <w:tr w:rsidR="00DD6FFF" w:rsidRPr="00DD6FFF" w:rsidTr="00DD6FFF">
        <w:trPr>
          <w:trHeight w:val="39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юридичних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gramEnd"/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фізичних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gramEnd"/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6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і житлові </w:t>
            </w:r>
          </w:p>
        </w:tc>
      </w:tr>
      <w:tr w:rsidR="00DD6FFF" w:rsidRPr="00DD6FFF" w:rsidTr="00DD6FFF">
        <w:trPr>
          <w:trHeight w:val="732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нерухомості, яка підпадає під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ію підпункту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Будинки одноквартирні</w:t>
            </w:r>
          </w:p>
        </w:tc>
      </w:tr>
      <w:tr w:rsidR="00DD6FFF" w:rsidRPr="00DD6FFF" w:rsidTr="00DD6FFF">
        <w:trPr>
          <w:trHeight w:val="36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Будинки одноквартирні</w:t>
            </w:r>
          </w:p>
        </w:tc>
      </w:tr>
      <w:tr w:rsidR="00DD6FFF" w:rsidRPr="00DD6FFF" w:rsidTr="00DD6FFF">
        <w:trPr>
          <w:trHeight w:val="39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1110.1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Будинки одноквартирні масової забудови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1110.2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Котеджі та будинки одноквартирні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ідвищеної комфортності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1110.3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Будинки садибного типу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1110.4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Будинки дачні та садові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Будинки з двома та більше квартирами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Будинки з двома квартирами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1121.1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Будинки двоквартирні масової забудови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1121.2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Котеджі та будинки двоквартирні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ідвищеної комфортності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Будинки з трьома та більше квартирами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1122.1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1122.2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Будинки багатоквартирні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ідвищеної комфортності, індивідуальні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1122.3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Будинки житлові готельного типу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Гуртожитки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1130.1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Гуртожитки для робітникі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службовців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69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1130.2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Гуртожитки для студентів вищих навчальних закладів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39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1130.3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Гуртожитки для учнів навчальних закладів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69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1130.4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інтернати для людей похилого віку та інвалідів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42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1130.5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Будинки дитини та сирітські будинки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66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1130.6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Будинки для біженців, притулки для бездомних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3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1130.9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Будинки для колективного проживання інші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 нежитлові</w:t>
            </w:r>
          </w:p>
        </w:tc>
      </w:tr>
      <w:tr w:rsidR="00DD6FFF" w:rsidRPr="00DD6FFF" w:rsidTr="00DD6FFF">
        <w:trPr>
          <w:trHeight w:val="1608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винятком нерухомості, </w:t>
            </w:r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яка перебуває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згідно з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ідпунктом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Готелі, ресторани та подібні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готельні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1211.1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Готелі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1211.2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Мотелі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1211.3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Кемпінги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1211.4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Пансіонати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1211.5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Ресторани та бари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Інші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для тимчасового проживання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1212.1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Туристичні бази та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ірські притулки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1212.2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Дитячі та сімейні табори відпочинку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1212.3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Центри та будинки відпочинку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1212.9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для тимчасового проживання, не класифіковані раніше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офісні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офісні</w:t>
            </w:r>
          </w:p>
        </w:tc>
      </w:tr>
      <w:tr w:rsidR="00DD6FFF" w:rsidRPr="00DD6FFF" w:rsidTr="00DD6FFF">
        <w:trPr>
          <w:trHeight w:val="69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1220.1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органів державного та місцевого управління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94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1220.2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фінансового обслуговування  (крім розташованих у багатоквартирних житлових будинках)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DD6FFF" w:rsidRPr="00DD6FFF" w:rsidTr="00DD6FFF">
        <w:trPr>
          <w:trHeight w:val="99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1220.2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фінансового обслуговування, розташовані у багатоквартирних житлових будинках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1220.3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органів правосуддя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36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1220.4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закордонних представництв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1220.5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Адміністративно-побутові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промислових підприємств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94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1220.9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для конторських та адміністративних цілей інші (крім розташованих у багатоквартирних житлових будинках)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139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1220.9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для конторських та адміністративних цілей, розташовані у багатоквартирних житлових будинках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DD6FFF" w:rsidRPr="00DD6FFF" w:rsidTr="00DD6FFF">
        <w:trPr>
          <w:trHeight w:val="34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і торговельні </w:t>
            </w:r>
          </w:p>
        </w:tc>
      </w:tr>
      <w:tr w:rsidR="00DD6FFF" w:rsidRPr="00DD6FFF" w:rsidTr="00DD6FFF">
        <w:trPr>
          <w:trHeight w:val="124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(крім об’єктів нежитлової нерухомості, які використовуються суб’єктами господарювання малого та середнього бізнесу, що провадять свою діяльність в малих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ітектурних формах та на ринках згідно з підпунктом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торговельні</w:t>
            </w:r>
          </w:p>
        </w:tc>
      </w:tr>
      <w:tr w:rsidR="00DD6FFF" w:rsidRPr="00DD6FFF" w:rsidTr="00DD6FFF">
        <w:trPr>
          <w:trHeight w:val="93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1230.1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Торгові центри, універмаги, магазини (крім розташованих у багатоквартирних житлових будинках)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9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1230.1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Торгові центри, універмаги, магазини, розташовані у багатоквартирних житлових будинках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DD6FFF" w:rsidRPr="00DD6FFF" w:rsidTr="00DD6FFF">
        <w:trPr>
          <w:trHeight w:val="36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1230.2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Криті ринки, павільйони та зали для ярмаркі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1230.3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1230.4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Їдальні, кафе, закусочні тощо (крім розташованих у багатоквартирних житлових будинках)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1230.4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Їдальні, кафе, закусочні тощо, розташовані у багатоквартирних житлових будинках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1230.5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Бази та склади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ідприємств торгівлі і громадського харчування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DD6FFF" w:rsidRPr="00DD6FFF" w:rsidTr="00DD6FFF">
        <w:trPr>
          <w:trHeight w:val="103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1230.6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побутового обслуговування (крім розташованих у багатоквартирних житлових будинках)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9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1230.6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побутового обслуговування, розташовані у багатоквартирних житлових будинках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DD6FFF" w:rsidRPr="00DD6FFF" w:rsidTr="00DD6FFF">
        <w:trPr>
          <w:trHeight w:val="6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1230.9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торговельні інші (крім розташованих у багатоквартирних житлових будинках)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1230.9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торговельні інші, розташовані у багатоквартирних житлових будинках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транспорту та засобів зв’язку</w:t>
            </w:r>
          </w:p>
        </w:tc>
      </w:tr>
      <w:tr w:rsidR="00DD6FFF" w:rsidRPr="00DD6FFF" w:rsidTr="00DD6FFF">
        <w:trPr>
          <w:trHeight w:val="36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Вокзали, аеровокзали,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засобів зв’язку та пов’язані з ними будівлі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Автовокзали та інші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автомобільного транспорту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Вокзали та інші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залізничного транспорту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міського електротранспорту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624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Аеровокзали та інші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повітряного транспорту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Морські та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ічкові вокзали, маяки та пов’язані з ними будівлі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станцій підвісних та канатних доріг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D6FFF" w:rsidRPr="00DD6FFF" w:rsidTr="00DD6FFF">
        <w:trPr>
          <w:trHeight w:val="9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1241.7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1241.8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Ангари для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ітаків, локомотивні, вагонні, трамвайні та тролейбусні депо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1241.9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транспорту та засобів зв’язку інші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Гаражі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1242.1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Гаражі наземні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1242.2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Гаражі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ідземні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1242.3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Стоянки автомобільні криті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1242.4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Навіси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велосипедів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промислові та склади</w:t>
            </w:r>
          </w:p>
        </w:tc>
      </w:tr>
      <w:tr w:rsidR="00DD6FFF" w:rsidRPr="00DD6FFF" w:rsidTr="00DD6FFF">
        <w:trPr>
          <w:trHeight w:val="648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виробничих корпусів, цехів, складських приміщень промислових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 згідно з підпунктом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промислові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машинобудування та металообробної промисловості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чорної металургії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58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хімічної та нафтохімічної промисловості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легкої промисловості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харчової промисловості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медичної та мікробіологічної промисловості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1251.7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лісової, деревообробної та целюлозно-паперової промисловості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102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1251.8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будівельної індустрії, будівельних матеріалів та виробів, скляної та фарфоро-фаянсової промисловості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72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1251.9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інших промислових виробництв, включаючи поліграфічне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Резервуари, силоси та склади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Резервуари для нафти, нафтопродукті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Резервуари та ємності інші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Силоси для зерна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Силоси для цементу та інших сипучих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іалів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Склади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іальні товарні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1252.7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Складські майданчики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1252.8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Склади універсальні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1252.9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 та сховища інші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DD6FFF" w:rsidRPr="00DD6FFF" w:rsidTr="00DD6FFF">
        <w:trPr>
          <w:trHeight w:val="684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для публічних виступів, закладів освітнього, медичного та оздоровчого призначення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для публічних виступів</w:t>
            </w:r>
          </w:p>
        </w:tc>
      </w:tr>
      <w:tr w:rsidR="00DD6FFF" w:rsidRPr="00DD6FFF" w:rsidTr="00DD6FFF">
        <w:trPr>
          <w:trHeight w:val="1719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нерухомості, </w:t>
            </w:r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яка перебуває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згідно з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ідпунктом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1261.1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Театри, кінотеатри та концертні зали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1261.2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 засідань та багатоцільові зали для публічних виступі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1261.3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Цирки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1261.4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Казино, ігорні будинки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1261.5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Музичні та танцювальні зали, дискотеки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1261.9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для публічних виступів інші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Музеї та бібліотеки</w:t>
            </w:r>
          </w:p>
        </w:tc>
      </w:tr>
      <w:tr w:rsidR="00DD6FFF" w:rsidRPr="00DD6FFF" w:rsidTr="00DD6FFF">
        <w:trPr>
          <w:trHeight w:val="1692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нерухомості, </w:t>
            </w:r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яка перебуває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згідно з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ідпунктом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1262.1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Музеї та художні галереї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1262.2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ібліотеки, книгосховища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1262.3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Технічні центри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1262.4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Планетарії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1262.5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Будівлі архіві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1262.6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зоологічних та ботанічних садів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навчальних та дослідних закладів</w:t>
            </w:r>
          </w:p>
        </w:tc>
      </w:tr>
      <w:tr w:rsidR="00DD6FFF" w:rsidRPr="00DD6FFF" w:rsidTr="00DD6FFF">
        <w:trPr>
          <w:trHeight w:val="1764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нерухомості, </w:t>
            </w:r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яка перебуває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згідно з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ідпунктом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науково-дослідних та проектно-вишукувальних установ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вищих навчальних закладів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64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шкіл та інших середніх навчальних закладів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64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професійно-технічних навчальних закладів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дошкільних та позашкільних навчальних закладів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спеціальних навчальних закладів для дітей з особливими потребами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1263.7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закладів з фахової перепідготовки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1263.8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метеорологічних станцій, обсерваторій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1263.9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освітніх та науково-дослідних закладів інші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лікарень та оздоровчих закладів</w:t>
            </w:r>
          </w:p>
        </w:tc>
      </w:tr>
      <w:tr w:rsidR="00DD6FFF" w:rsidRPr="00DD6FFF" w:rsidTr="00DD6FFF">
        <w:trPr>
          <w:trHeight w:val="1620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нерухомості, </w:t>
            </w:r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яка перебуває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згідно з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ідпунктом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1264.1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Лікарні багатопрофільні територіального обслуговування, навчальних закладі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1264.2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Лікарні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ільні, диспансери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1264.3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1264.4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9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1264.5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1264.6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Санаторії,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ілакторії та центри функціональної реабілітації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1264.9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Зали спортивні</w:t>
            </w:r>
          </w:p>
        </w:tc>
      </w:tr>
      <w:tr w:rsidR="00DD6FFF" w:rsidRPr="00DD6FFF" w:rsidTr="00DD6FFF">
        <w:trPr>
          <w:trHeight w:val="1572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нерухомості, </w:t>
            </w:r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яка перебуває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згідно з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ідпунктом 266.2.2 пункту 266.2 статті 266 Податкового кодексу України</w:t>
            </w:r>
          </w:p>
        </w:tc>
      </w:tr>
      <w:tr w:rsidR="00DD6FFF" w:rsidRPr="00DD6FFF" w:rsidTr="00DD6FFF">
        <w:trPr>
          <w:trHeight w:val="6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1265.1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1265.2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Басейни криті для плавання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1265.3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Хокейні та льодові стадіони криті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1265.4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Манежі легкоатлетичні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1265.5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Тири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1265.9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Зали спортивні інші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нежитлові інші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сільськогосподарського призначення, лісівництва та рибного господарства 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DD6FFF" w:rsidRPr="00DD6FFF" w:rsidTr="00DD6FFF">
        <w:trPr>
          <w:trHeight w:val="984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будівль, споруд сільськогосподарських товаровиробників, призначених для використання безпосередньо у сільськогосподарській діяльності згідно з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ідпунктом 266.2.2 пункту 266.2 статті 266 Податкового кодексу України )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для тваринництва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для птахівництва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для зберігання зерна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силосні та сінажні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58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для садівництва, виноградарства та виноробства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6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1271.6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тепличного господарства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1271.7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рибного господарства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444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1271.8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підприємств лісівництва та звірівництва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3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1271.9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сільськогосподарського призначення інші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для культової та релігійної діяльності</w:t>
            </w:r>
          </w:p>
        </w:tc>
      </w:tr>
      <w:tr w:rsidR="00DD6FFF" w:rsidRPr="00DD6FFF" w:rsidTr="00DD6FFF">
        <w:trPr>
          <w:trHeight w:val="2139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DD6F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крім нерухомості, що перебуває у власності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 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згідно з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ідпунктом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34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1272.1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93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1272.2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Похоронні бюро та ритуальні зали (крім розташованих у багатоквартирних житлових будинках)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1272.2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Похоронні бюро та ритуальні зали,  розташовані у багатоквартирних житлових будинках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DD6FFF" w:rsidRPr="00DD6FFF" w:rsidTr="00DD6FFF">
        <w:trPr>
          <w:trHeight w:val="37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1272.3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Цвинтарі та крематорії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315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Пам’ятки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історичні та такі, що охороняються державою</w:t>
            </w:r>
          </w:p>
        </w:tc>
      </w:tr>
      <w:tr w:rsidR="00DD6FFF" w:rsidRPr="00DD6FFF" w:rsidTr="00DD6FFF">
        <w:trPr>
          <w:trHeight w:val="639"/>
        </w:trPr>
        <w:tc>
          <w:tcPr>
            <w:tcW w:w="9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винятком нерухомості, яка підпадає під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ію підпункту 266.2.2 пункту 266.2 статті 266 Податкового кодексу України)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1273.1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Пам’ятки історії та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ітектури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6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1273.2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Археологічні розкопки, руїни та історичні місця, що охороняються державою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579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1273.3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Меморіали, художньо-декоративні 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статуї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DD6FFF" w:rsidRPr="00DD6FFF" w:rsidTr="00DD6FFF">
        <w:trPr>
          <w:trHeight w:val="40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і інші, не класифіковані раніше</w:t>
            </w:r>
            <w:r w:rsidRPr="00DD6F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408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1274.1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Казарми Збройних Сил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43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1274.2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поліцейських та пожежних служб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69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1274.3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виправних закладів, в’язниць та слідчих ізоляторів</w:t>
            </w: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1274.4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лазень та пралень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D6FFF" w:rsidRPr="00DD6FFF" w:rsidTr="00DD6FFF">
        <w:trPr>
          <w:trHeight w:val="324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1274.5 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з облаштування населених пунктів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D6FFF" w:rsidRPr="00DD6FFF" w:rsidRDefault="00DD6FFF" w:rsidP="00DD6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912"/>
        </w:trPr>
        <w:tc>
          <w:tcPr>
            <w:tcW w:w="10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DD6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Об’єкти нерухомості, що класифікуються за цим </w:t>
            </w:r>
            <w:proofErr w:type="gramStart"/>
            <w:r w:rsidRPr="00DD6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D6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ідкласом, звільняються повністю 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 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31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 міської ради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Є.В.Аматов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6FFF" w:rsidRPr="00DD6FFF" w:rsidTr="00DD6FFF">
        <w:trPr>
          <w:trHeight w:val="2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6FFF" w:rsidRPr="00DD6FFF" w:rsidRDefault="00DD6FFF" w:rsidP="00DD6F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D6F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</w:tbl>
    <w:p w:rsidR="008408EA" w:rsidRDefault="008408EA"/>
    <w:sectPr w:rsidR="008408EA" w:rsidSect="00DD6FFF">
      <w:pgSz w:w="11906" w:h="16838"/>
      <w:pgMar w:top="567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D6FFF"/>
    <w:rsid w:val="004B1EED"/>
    <w:rsid w:val="00615715"/>
    <w:rsid w:val="008408EA"/>
    <w:rsid w:val="00DD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6F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6FFF"/>
    <w:rPr>
      <w:color w:val="800080"/>
      <w:u w:val="single"/>
    </w:rPr>
  </w:style>
  <w:style w:type="paragraph" w:customStyle="1" w:styleId="font5">
    <w:name w:val="font5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9">
    <w:name w:val="font9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0">
    <w:name w:val="font10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3">
    <w:name w:val="xl63"/>
    <w:basedOn w:val="a"/>
    <w:rsid w:val="00DD6FF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D6FF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D6F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D6F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D6F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D6FF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D6FF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D6FF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D6F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D6FF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D6F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D6FFF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D6FF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D6FF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D6FF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D6FF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D6F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D6FF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D6FF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D6FF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D6FFF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D6FF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D6FFF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D6FF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D6FF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D6F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D6FF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DD6FF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D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D6F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D6FF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D6FF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D6FF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D6FF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D6FF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D6FF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D6FFF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D6FF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D6FF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D6FF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D6F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D6FFF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D6FF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D6FFF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D6FFF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D6FFF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D6FF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D6F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D6FF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D6FFF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D6FF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D6FFF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D6F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D6FF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D6FF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2146</Words>
  <Characters>12237</Characters>
  <Application>Microsoft Office Word</Application>
  <DocSecurity>0</DocSecurity>
  <Lines>101</Lines>
  <Paragraphs>28</Paragraphs>
  <ScaleCrop>false</ScaleCrop>
  <Company/>
  <LinksUpToDate>false</LinksUpToDate>
  <CharactersWithSpaces>14355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</dc:creator>
  <cp:lastModifiedBy>Кириченко</cp:lastModifiedBy>
  <cp:revision>2</cp:revision>
  <dcterms:created xsi:type="dcterms:W3CDTF">2018-06-20T08:24:00Z</dcterms:created>
  <dcterms:modified xsi:type="dcterms:W3CDTF">2018-06-20T08:29:00Z</dcterms:modified>
</cp:coreProperties>
</file>