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300F31" w14:textId="77777777" w:rsidR="007B2C48" w:rsidRPr="006C1894" w:rsidRDefault="007B2C48" w:rsidP="007B2C48">
      <w:pPr>
        <w:jc w:val="center"/>
        <w:rPr>
          <w:lang w:val="uk-UA"/>
        </w:rPr>
      </w:pPr>
      <w:r>
        <w:rPr>
          <w:noProof/>
        </w:rPr>
        <w:drawing>
          <wp:inline distT="0" distB="0" distL="0" distR="0" wp14:anchorId="49DC166B" wp14:editId="1B54EFB3">
            <wp:extent cx="612140" cy="68389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14:paraId="7EC3B01A" w14:textId="77777777" w:rsidR="007B2C48" w:rsidRPr="006C1894" w:rsidRDefault="007B2C48" w:rsidP="007B2C48">
      <w:pPr>
        <w:jc w:val="center"/>
        <w:rPr>
          <w:sz w:val="16"/>
          <w:szCs w:val="16"/>
          <w:lang w:val="uk-UA"/>
        </w:rPr>
      </w:pPr>
    </w:p>
    <w:p w14:paraId="3447C577" w14:textId="77777777" w:rsidR="007B2C48" w:rsidRPr="006C1894" w:rsidRDefault="007B2C48" w:rsidP="007B2C48">
      <w:pPr>
        <w:jc w:val="center"/>
        <w:rPr>
          <w:b/>
          <w:sz w:val="32"/>
          <w:szCs w:val="32"/>
        </w:rPr>
      </w:pPr>
      <w:r w:rsidRPr="006C1894">
        <w:rPr>
          <w:b/>
          <w:sz w:val="32"/>
          <w:szCs w:val="32"/>
        </w:rPr>
        <w:t>АНТИМОНОПОЛЬНИЙ   КОМІТЕТ   УКРАЇНИ</w:t>
      </w:r>
    </w:p>
    <w:p w14:paraId="406F2EFC" w14:textId="77777777" w:rsidR="007B2C48" w:rsidRPr="006C1894" w:rsidRDefault="007B2C48" w:rsidP="007B2C48">
      <w:pPr>
        <w:tabs>
          <w:tab w:val="left" w:leader="hyphen" w:pos="10206"/>
        </w:tabs>
        <w:jc w:val="center"/>
        <w:rPr>
          <w:sz w:val="32"/>
          <w:szCs w:val="32"/>
          <w:lang w:val="uk-UA"/>
        </w:rPr>
      </w:pPr>
    </w:p>
    <w:p w14:paraId="046A61B3" w14:textId="77777777" w:rsidR="007B2C48" w:rsidRPr="00D87BD5" w:rsidRDefault="007B2C48" w:rsidP="00D87BD5">
      <w:pPr>
        <w:jc w:val="center"/>
        <w:rPr>
          <w:b/>
          <w:sz w:val="32"/>
          <w:lang w:val="uk-UA"/>
        </w:rPr>
      </w:pPr>
      <w:r w:rsidRPr="00D87BD5">
        <w:rPr>
          <w:b/>
          <w:sz w:val="32"/>
          <w:lang w:val="uk-UA"/>
        </w:rPr>
        <w:t>РІШЕННЯ</w:t>
      </w:r>
    </w:p>
    <w:p w14:paraId="0032D5F1" w14:textId="77777777" w:rsidR="007B2C48" w:rsidRDefault="007B2C48" w:rsidP="007B2C48">
      <w:pPr>
        <w:tabs>
          <w:tab w:val="left" w:leader="hyphen" w:pos="10206"/>
        </w:tabs>
        <w:jc w:val="center"/>
        <w:rPr>
          <w:bCs/>
          <w:sz w:val="28"/>
          <w:szCs w:val="28"/>
          <w:lang w:val="uk-UA"/>
        </w:rPr>
      </w:pPr>
    </w:p>
    <w:p w14:paraId="39461DB9" w14:textId="77777777" w:rsidR="00834FCE" w:rsidRPr="006C1894" w:rsidRDefault="00834FCE" w:rsidP="007B2C48">
      <w:pPr>
        <w:tabs>
          <w:tab w:val="left" w:leader="hyphen" w:pos="10206"/>
        </w:tabs>
        <w:jc w:val="center"/>
        <w:rPr>
          <w:bCs/>
          <w:sz w:val="28"/>
          <w:szCs w:val="28"/>
          <w:lang w:val="uk-UA"/>
        </w:rPr>
      </w:pPr>
    </w:p>
    <w:p w14:paraId="51EF0B43" w14:textId="78294212" w:rsidR="007B2C48" w:rsidRPr="006C1894" w:rsidRDefault="00B31566" w:rsidP="00B31566">
      <w:pPr>
        <w:tabs>
          <w:tab w:val="left" w:leader="hyphen" w:pos="10206"/>
        </w:tabs>
        <w:rPr>
          <w:lang w:val="uk-UA"/>
        </w:rPr>
      </w:pPr>
      <w:r>
        <w:rPr>
          <w:bCs/>
          <w:lang w:val="uk-UA"/>
        </w:rPr>
        <w:t>31 серпня 2023  р.</w:t>
      </w:r>
      <w:r w:rsidR="007B2C48" w:rsidRPr="006C1894">
        <w:rPr>
          <w:lang w:val="uk-UA"/>
        </w:rPr>
        <w:t xml:space="preserve">                                       Київ                                 </w:t>
      </w:r>
      <w:r>
        <w:rPr>
          <w:lang w:val="uk-UA"/>
        </w:rPr>
        <w:t xml:space="preserve">                        </w:t>
      </w:r>
      <w:r w:rsidR="007B2C48" w:rsidRPr="006C1894">
        <w:rPr>
          <w:lang w:val="uk-UA"/>
        </w:rPr>
        <w:t xml:space="preserve">          №</w:t>
      </w:r>
      <w:r>
        <w:rPr>
          <w:lang w:val="uk-UA"/>
        </w:rPr>
        <w:t xml:space="preserve"> 233-р</w:t>
      </w:r>
    </w:p>
    <w:p w14:paraId="5A8FF563" w14:textId="77777777" w:rsidR="007B2C48" w:rsidRPr="006C1894" w:rsidRDefault="007B2C48" w:rsidP="007B2C48">
      <w:pPr>
        <w:rPr>
          <w:sz w:val="32"/>
          <w:szCs w:val="32"/>
          <w:lang w:val="uk-UA"/>
        </w:rPr>
      </w:pPr>
    </w:p>
    <w:p w14:paraId="5FC5ADF4" w14:textId="77777777" w:rsidR="007B2C48" w:rsidRPr="006C1894" w:rsidRDefault="007B2C48" w:rsidP="00D87BD5">
      <w:pPr>
        <w:rPr>
          <w:lang w:val="uk-UA"/>
        </w:rPr>
      </w:pPr>
      <w:r w:rsidRPr="006C1894">
        <w:rPr>
          <w:lang w:val="uk-UA"/>
        </w:rPr>
        <w:t>Про порушення законодавства</w:t>
      </w:r>
    </w:p>
    <w:p w14:paraId="3DAF656C" w14:textId="77777777" w:rsidR="00431219" w:rsidRPr="00B61E82" w:rsidRDefault="007B2C48" w:rsidP="00431219">
      <w:pPr>
        <w:rPr>
          <w:lang w:val="uk-UA"/>
        </w:rPr>
      </w:pPr>
      <w:r w:rsidRPr="006C1894">
        <w:rPr>
          <w:lang w:val="uk-UA"/>
        </w:rPr>
        <w:t xml:space="preserve">про </w:t>
      </w:r>
      <w:r w:rsidR="00431219" w:rsidRPr="00B61E82">
        <w:rPr>
          <w:lang w:val="uk-UA"/>
        </w:rPr>
        <w:t xml:space="preserve">захист економічної конкуренції, </w:t>
      </w:r>
    </w:p>
    <w:p w14:paraId="0CD2BCC6" w14:textId="77777777" w:rsidR="00431219" w:rsidRPr="00B61E82" w:rsidRDefault="00431219" w:rsidP="00431219">
      <w:pPr>
        <w:rPr>
          <w:lang w:val="uk-UA"/>
        </w:rPr>
      </w:pPr>
      <w:r w:rsidRPr="00B61E82">
        <w:rPr>
          <w:lang w:val="uk-UA"/>
        </w:rPr>
        <w:t xml:space="preserve">накладення штрафу та надання </w:t>
      </w:r>
    </w:p>
    <w:p w14:paraId="0BA0B7EC" w14:textId="77777777" w:rsidR="00431219" w:rsidRPr="00B61E82" w:rsidRDefault="00431219" w:rsidP="00431219">
      <w:pPr>
        <w:rPr>
          <w:lang w:val="uk-UA"/>
        </w:rPr>
      </w:pPr>
      <w:r w:rsidRPr="00B61E82">
        <w:rPr>
          <w:lang w:val="uk-UA"/>
        </w:rPr>
        <w:t>дозволу на концентрацію</w:t>
      </w:r>
    </w:p>
    <w:p w14:paraId="2FBC90DB" w14:textId="77777777" w:rsidR="007B2C48" w:rsidRDefault="007B2C48" w:rsidP="00431219">
      <w:pPr>
        <w:rPr>
          <w:sz w:val="26"/>
          <w:szCs w:val="26"/>
          <w:lang w:val="uk-UA"/>
        </w:rPr>
      </w:pPr>
    </w:p>
    <w:p w14:paraId="700DFD45" w14:textId="77777777" w:rsidR="00834FCE" w:rsidRDefault="00834FCE" w:rsidP="00431219">
      <w:pPr>
        <w:rPr>
          <w:sz w:val="26"/>
          <w:szCs w:val="26"/>
          <w:lang w:val="uk-UA"/>
        </w:rPr>
      </w:pPr>
    </w:p>
    <w:p w14:paraId="63BA267E" w14:textId="77777777" w:rsidR="007B2C48" w:rsidRPr="00294EED" w:rsidRDefault="001E39D7" w:rsidP="00294EED">
      <w:pPr>
        <w:tabs>
          <w:tab w:val="right" w:pos="9638"/>
          <w:tab w:val="right" w:pos="10772"/>
        </w:tabs>
        <w:ind w:firstLine="709"/>
        <w:jc w:val="both"/>
        <w:rPr>
          <w:lang w:val="uk-UA"/>
        </w:rPr>
      </w:pPr>
      <w:r w:rsidRPr="001E39D7">
        <w:rPr>
          <w:lang w:val="uk-UA"/>
        </w:rPr>
        <w:t xml:space="preserve">Антимонопольний комітет України (далі — Комітет), розглянувши справу                                 № 126-26.13/109-20 про порушення </w:t>
      </w:r>
      <w:r w:rsidR="00905670" w:rsidRPr="00905670">
        <w:rPr>
          <w:lang w:val="uk-UA"/>
        </w:rPr>
        <w:t xml:space="preserve">законодавства про захист економічної конкуренції </w:t>
      </w:r>
      <w:r w:rsidRPr="001E39D7">
        <w:rPr>
          <w:lang w:val="uk-UA"/>
        </w:rPr>
        <w:t>та подання Департаменту досліджень і розслідувань ринків виробничої сфери, фармацевтики та рітейлу від 02.03.2023</w:t>
      </w:r>
      <w:r w:rsidR="005D6CD9">
        <w:rPr>
          <w:lang w:val="uk-UA"/>
        </w:rPr>
        <w:t xml:space="preserve"> </w:t>
      </w:r>
      <w:r w:rsidRPr="001E39D7">
        <w:rPr>
          <w:lang w:val="uk-UA"/>
        </w:rPr>
        <w:t xml:space="preserve">№ 126-26.13/109-20/73-спр-кі з попередніми висновками у </w:t>
      </w:r>
      <w:r w:rsidR="00905670">
        <w:rPr>
          <w:lang w:val="uk-UA"/>
        </w:rPr>
        <w:br/>
      </w:r>
      <w:r w:rsidRPr="001E39D7">
        <w:rPr>
          <w:lang w:val="uk-UA"/>
        </w:rPr>
        <w:t xml:space="preserve">справі </w:t>
      </w:r>
      <w:bookmarkStart w:id="0" w:name="_Hlk122520651"/>
      <w:r w:rsidRPr="001E39D7">
        <w:rPr>
          <w:lang w:val="uk-UA"/>
        </w:rPr>
        <w:t>№ 126-26.13/</w:t>
      </w:r>
      <w:bookmarkEnd w:id="0"/>
      <w:r w:rsidRPr="001E39D7">
        <w:rPr>
          <w:lang w:val="uk-UA"/>
        </w:rPr>
        <w:t>109-20</w:t>
      </w:r>
      <w:r w:rsidR="007B2C48" w:rsidRPr="00294EED">
        <w:rPr>
          <w:lang w:val="uk-UA"/>
        </w:rPr>
        <w:t xml:space="preserve">, </w:t>
      </w:r>
    </w:p>
    <w:p w14:paraId="7763954C" w14:textId="77777777" w:rsidR="007B2C48" w:rsidRPr="007458D1" w:rsidRDefault="007B2C48" w:rsidP="007458D1">
      <w:pPr>
        <w:spacing w:before="240" w:after="240"/>
        <w:jc w:val="center"/>
        <w:outlineLvl w:val="0"/>
        <w:rPr>
          <w:b/>
          <w:sz w:val="26"/>
          <w:szCs w:val="26"/>
          <w:lang w:val="uk-UA"/>
        </w:rPr>
      </w:pPr>
      <w:r w:rsidRPr="007458D1">
        <w:rPr>
          <w:b/>
          <w:sz w:val="26"/>
          <w:szCs w:val="26"/>
          <w:lang w:val="uk-UA"/>
        </w:rPr>
        <w:t>ВСТАНОВИВ:</w:t>
      </w:r>
    </w:p>
    <w:p w14:paraId="42638988" w14:textId="77777777" w:rsidR="007B2C48" w:rsidRPr="00B8704D" w:rsidRDefault="00294EED" w:rsidP="00FA3E28">
      <w:pPr>
        <w:pStyle w:val="1"/>
        <w:numPr>
          <w:ilvl w:val="0"/>
          <w:numId w:val="5"/>
        </w:numPr>
        <w:spacing w:after="240"/>
        <w:ind w:left="709" w:hanging="709"/>
        <w:rPr>
          <w:rFonts w:ascii="Times New Roman" w:hAnsi="Times New Roman"/>
          <w:sz w:val="26"/>
          <w:szCs w:val="24"/>
          <w:lang w:val="uk-UA"/>
        </w:rPr>
      </w:pPr>
      <w:r>
        <w:rPr>
          <w:rFonts w:ascii="Times New Roman" w:hAnsi="Times New Roman"/>
          <w:sz w:val="26"/>
          <w:szCs w:val="24"/>
          <w:lang w:val="uk-UA"/>
        </w:rPr>
        <w:t>ПРЕДМЕТ СПРАВИ</w:t>
      </w:r>
    </w:p>
    <w:p w14:paraId="7FA0093C" w14:textId="695AFF0C" w:rsidR="001E39D7" w:rsidRPr="001E39D7" w:rsidRDefault="001E39D7" w:rsidP="001E39D7">
      <w:pPr>
        <w:pStyle w:val="ab"/>
        <w:numPr>
          <w:ilvl w:val="0"/>
          <w:numId w:val="1"/>
        </w:numPr>
        <w:ind w:left="709" w:hanging="709"/>
        <w:jc w:val="both"/>
        <w:rPr>
          <w:rStyle w:val="af3"/>
          <w:lang w:val="uk-UA"/>
        </w:rPr>
      </w:pPr>
      <w:r w:rsidRPr="001E39D7">
        <w:rPr>
          <w:rStyle w:val="af3"/>
          <w:lang w:val="uk-UA"/>
        </w:rPr>
        <w:t>Вчинення</w:t>
      </w:r>
      <w:r w:rsidR="00905670">
        <w:rPr>
          <w:rStyle w:val="af3"/>
          <w:lang w:val="uk-UA"/>
        </w:rPr>
        <w:t xml:space="preserve"> </w:t>
      </w:r>
      <w:r w:rsidRPr="001E39D7">
        <w:rPr>
          <w:rStyle w:val="af3"/>
          <w:lang w:val="uk-UA"/>
        </w:rPr>
        <w:t xml:space="preserve">АКЦІОНЕРНИМ ТОВАРИСТВОМ «ЗАКРИТИЙ НЕДИВЕРСИФІКОВАНИЙ ВЕНЧУРНИЙ КОРПОРАТИВНИЙ ІНВЕСТИЦІЙНИЙ ФОНД «ГЕНЕЗИС КАПІТАЛ»  (далі  – АТ «ЗНВКІФ «ГЕНЕЗИС КАПІТАЛ»)                        </w:t>
      </w:r>
      <w:r w:rsidR="009804BC" w:rsidRPr="009804BC">
        <w:rPr>
          <w:rFonts w:eastAsia="Calibri"/>
          <w:i/>
          <w:noProof/>
          <w:lang w:val="uk-UA" w:eastAsia="en-US"/>
        </w:rPr>
        <w:t>«Інформація, доступ до якої обмежено»</w:t>
      </w:r>
      <w:r w:rsidRPr="001E39D7">
        <w:rPr>
          <w:rStyle w:val="af3"/>
          <w:lang w:val="uk-UA"/>
        </w:rPr>
        <w:t xml:space="preserve"> [від імені, за рахунок та в інтересах якого діє ПРИВАТНЕ АКЦІОНЕРНЕ ТОВАРИСТВО «КОМПАНІЯ З УПРАВЛІННЯ АКТИВАМИ АДМІНІСТРАТОР ПЕНСІЙНОГО ФОНДУ «БРОКБІЗНЕСІНВЕСТ» (далі – ПрАТ  «КУА АПФ «БРОКБІЗНЕСІНВЕСТ»)] порушення, передбаченого пунктом 12 статті 50 Закону України «Про захист економічної конкуренції», у вигляді придбання частки </w:t>
      </w:r>
      <w:r w:rsidR="00905670">
        <w:rPr>
          <w:rStyle w:val="af3"/>
          <w:lang w:val="uk-UA"/>
        </w:rPr>
        <w:t>у</w:t>
      </w:r>
      <w:r w:rsidRPr="001E39D7">
        <w:rPr>
          <w:rStyle w:val="af3"/>
          <w:lang w:val="uk-UA"/>
        </w:rPr>
        <w:t xml:space="preserve"> статутному капіталі ТОВАРИСТВА З ОБМЕЖЕНОЮ ВІДПОВІДАЛЬНІСТЮ «АМАЛТЕЯ ТРЕЙД» (далі – ТОВ «АМАЛТЕЯ ТРЕЙД») </w:t>
      </w:r>
      <w:r w:rsidR="009804BC" w:rsidRPr="009804BC">
        <w:rPr>
          <w:rFonts w:eastAsia="Calibri"/>
          <w:i/>
          <w:noProof/>
          <w:lang w:val="uk-UA" w:eastAsia="en-US"/>
        </w:rPr>
        <w:t>«Інформація, доступ до якої обмежено»</w:t>
      </w:r>
      <w:r w:rsidRPr="001E39D7">
        <w:rPr>
          <w:rStyle w:val="af3"/>
          <w:lang w:val="uk-UA"/>
        </w:rPr>
        <w:t>, що забезпечує досягнення 50 відсотків голосів у вищому органі управління товариства, без отримання відповідного дозволу органів Антимонопольного комітету України, наявність якого необхідна.</w:t>
      </w:r>
    </w:p>
    <w:p w14:paraId="398F330A" w14:textId="77777777" w:rsidR="007B2C48" w:rsidRPr="00B8704D" w:rsidRDefault="00834FCE" w:rsidP="00FA3E28">
      <w:pPr>
        <w:pStyle w:val="1"/>
        <w:numPr>
          <w:ilvl w:val="0"/>
          <w:numId w:val="5"/>
        </w:numPr>
        <w:spacing w:after="240"/>
        <w:ind w:left="709" w:hanging="709"/>
        <w:rPr>
          <w:rFonts w:ascii="Times New Roman" w:hAnsi="Times New Roman"/>
          <w:sz w:val="26"/>
          <w:szCs w:val="24"/>
          <w:lang w:val="uk-UA"/>
        </w:rPr>
      </w:pPr>
      <w:r>
        <w:rPr>
          <w:rFonts w:ascii="Times New Roman" w:hAnsi="Times New Roman"/>
          <w:sz w:val="26"/>
          <w:szCs w:val="24"/>
          <w:lang w:val="uk-UA"/>
        </w:rPr>
        <w:t>ВІДПОВІДАЧ</w:t>
      </w:r>
    </w:p>
    <w:p w14:paraId="45A5E45E" w14:textId="49743980" w:rsidR="001E39D7" w:rsidRPr="001E39D7" w:rsidRDefault="001E39D7" w:rsidP="001E39D7">
      <w:pPr>
        <w:pStyle w:val="ab"/>
        <w:numPr>
          <w:ilvl w:val="0"/>
          <w:numId w:val="1"/>
        </w:numPr>
        <w:ind w:left="709" w:hanging="709"/>
        <w:jc w:val="both"/>
        <w:rPr>
          <w:rStyle w:val="af3"/>
          <w:lang w:val="uk-UA"/>
        </w:rPr>
      </w:pPr>
      <w:r w:rsidRPr="001E39D7">
        <w:rPr>
          <w:rStyle w:val="af3"/>
          <w:lang w:val="uk-UA"/>
        </w:rPr>
        <w:t>АТ «ЗНВКІФ «ГЕНЕЗИС КАПІТАЛ» [від імені, за рахунок та в інтересах якого діє ПрАТ</w:t>
      </w:r>
      <w:r w:rsidR="00905670">
        <w:rPr>
          <w:rStyle w:val="af3"/>
          <w:lang w:val="uk-UA"/>
        </w:rPr>
        <w:t xml:space="preserve"> </w:t>
      </w:r>
      <w:r w:rsidRPr="001E39D7">
        <w:rPr>
          <w:rStyle w:val="af3"/>
          <w:lang w:val="uk-UA"/>
        </w:rPr>
        <w:t>«КУА АПФ «БРОКБІЗНЕСІНВЕСТ»] зареєстрован</w:t>
      </w:r>
      <w:r w:rsidR="00905670">
        <w:rPr>
          <w:rStyle w:val="af3"/>
          <w:lang w:val="uk-UA"/>
        </w:rPr>
        <w:t>е</w:t>
      </w:r>
      <w:r w:rsidRPr="001E39D7">
        <w:rPr>
          <w:rStyle w:val="af3"/>
          <w:lang w:val="uk-UA"/>
        </w:rPr>
        <w:t xml:space="preserve"> за адресою: </w:t>
      </w:r>
      <w:r w:rsidR="009804BC" w:rsidRPr="009804BC">
        <w:rPr>
          <w:rFonts w:eastAsia="Calibri"/>
          <w:i/>
          <w:noProof/>
          <w:lang w:val="uk-UA" w:eastAsia="en-US"/>
        </w:rPr>
        <w:t>«Інформація, доступ до якої обмежено»</w:t>
      </w:r>
    </w:p>
    <w:p w14:paraId="0836CCE8" w14:textId="77777777" w:rsidR="00B171D5" w:rsidRPr="00D61717" w:rsidRDefault="00834FCE" w:rsidP="00FA3E28">
      <w:pPr>
        <w:pStyle w:val="1"/>
        <w:numPr>
          <w:ilvl w:val="0"/>
          <w:numId w:val="5"/>
        </w:numPr>
        <w:spacing w:after="240"/>
        <w:ind w:left="709" w:hanging="709"/>
        <w:rPr>
          <w:rFonts w:ascii="Times New Roman" w:hAnsi="Times New Roman"/>
          <w:sz w:val="26"/>
          <w:szCs w:val="24"/>
          <w:lang w:val="uk-UA"/>
        </w:rPr>
      </w:pPr>
      <w:r>
        <w:rPr>
          <w:rFonts w:ascii="Times New Roman" w:hAnsi="Times New Roman"/>
          <w:sz w:val="26"/>
          <w:szCs w:val="24"/>
          <w:lang w:val="uk-UA"/>
        </w:rPr>
        <w:lastRenderedPageBreak/>
        <w:t>ПРОЦЕСУАЛЬНІ</w:t>
      </w:r>
      <w:r w:rsidRPr="00D61717">
        <w:rPr>
          <w:rFonts w:ascii="Times New Roman" w:hAnsi="Times New Roman"/>
          <w:sz w:val="26"/>
          <w:szCs w:val="24"/>
          <w:lang w:val="uk-UA"/>
        </w:rPr>
        <w:t xml:space="preserve"> ДІЇ</w:t>
      </w:r>
      <w:r>
        <w:rPr>
          <w:rFonts w:ascii="Times New Roman" w:hAnsi="Times New Roman"/>
          <w:sz w:val="26"/>
          <w:szCs w:val="24"/>
          <w:lang w:val="uk-UA"/>
        </w:rPr>
        <w:t xml:space="preserve"> </w:t>
      </w:r>
    </w:p>
    <w:p w14:paraId="395FA331" w14:textId="77777777" w:rsidR="001E39D7" w:rsidRPr="001E39D7" w:rsidRDefault="001E39D7" w:rsidP="001E39D7">
      <w:pPr>
        <w:pStyle w:val="ab"/>
        <w:numPr>
          <w:ilvl w:val="0"/>
          <w:numId w:val="1"/>
        </w:numPr>
        <w:ind w:left="709" w:hanging="709"/>
        <w:jc w:val="both"/>
        <w:rPr>
          <w:rStyle w:val="af3"/>
          <w:lang w:val="uk-UA"/>
        </w:rPr>
      </w:pPr>
      <w:bookmarkStart w:id="1" w:name="_Ref470192794"/>
      <w:r w:rsidRPr="001E39D7">
        <w:rPr>
          <w:rStyle w:val="af3"/>
          <w:lang w:val="uk-UA"/>
        </w:rPr>
        <w:t xml:space="preserve">Розпорядженням державного уповноваженого </w:t>
      </w:r>
      <w:r w:rsidR="002F07D8">
        <w:rPr>
          <w:rStyle w:val="af3"/>
          <w:lang w:val="uk-UA"/>
        </w:rPr>
        <w:t>К</w:t>
      </w:r>
      <w:r w:rsidRPr="001E39D7">
        <w:rPr>
          <w:rStyle w:val="af3"/>
          <w:lang w:val="uk-UA"/>
        </w:rPr>
        <w:t xml:space="preserve">омітету від  13 листопада 2020 року </w:t>
      </w:r>
      <w:r w:rsidR="00905670">
        <w:rPr>
          <w:rStyle w:val="af3"/>
          <w:lang w:val="uk-UA"/>
        </w:rPr>
        <w:br/>
      </w:r>
      <w:r w:rsidRPr="001E39D7">
        <w:rPr>
          <w:rStyle w:val="af3"/>
          <w:lang w:val="uk-UA"/>
        </w:rPr>
        <w:t>№</w:t>
      </w:r>
      <w:r w:rsidR="00905670">
        <w:rPr>
          <w:rStyle w:val="af3"/>
          <w:lang w:val="uk-UA"/>
        </w:rPr>
        <w:t xml:space="preserve"> </w:t>
      </w:r>
      <w:r w:rsidRPr="001E39D7">
        <w:rPr>
          <w:rStyle w:val="af3"/>
          <w:lang w:val="uk-UA"/>
        </w:rPr>
        <w:t>02/318-р розпочато розгляд справи № 126-26.13/109-20</w:t>
      </w:r>
      <w:r w:rsidR="00905670">
        <w:rPr>
          <w:rStyle w:val="af3"/>
          <w:lang w:val="uk-UA"/>
        </w:rPr>
        <w:t xml:space="preserve"> </w:t>
      </w:r>
      <w:r w:rsidRPr="001E39D7">
        <w:rPr>
          <w:rStyle w:val="af3"/>
          <w:lang w:val="uk-UA"/>
        </w:rPr>
        <w:t>про порушення законодавства про захист економічної конкуренції та приєднано  заяву уповноваженого представника АТ «ЗНВКІФ «ГЕНЕЗИС КАПІТАЛ» [від імені, за рахунок та в інтересах якого діє ПрАТ  «КУА АПФ «БРОКБІЗНЕСІНВЕСТ»] та ТОВ «АМАЛТЕЯ ТРЕЙД» від 02 жовтня  2020 року  № 10-20 (зареєстрована в Комітеті</w:t>
      </w:r>
      <w:r w:rsidR="00905670">
        <w:rPr>
          <w:rStyle w:val="af3"/>
          <w:lang w:val="uk-UA"/>
        </w:rPr>
        <w:t xml:space="preserve"> </w:t>
      </w:r>
      <w:r w:rsidRPr="001E39D7">
        <w:rPr>
          <w:rStyle w:val="af3"/>
          <w:lang w:val="uk-UA"/>
        </w:rPr>
        <w:t xml:space="preserve">05.10.2020  </w:t>
      </w:r>
      <w:r w:rsidR="00905670">
        <w:rPr>
          <w:rStyle w:val="af3"/>
          <w:lang w:val="uk-UA"/>
        </w:rPr>
        <w:br/>
      </w:r>
      <w:r w:rsidRPr="001E39D7">
        <w:rPr>
          <w:rStyle w:val="af3"/>
          <w:lang w:val="uk-UA"/>
        </w:rPr>
        <w:t>за № 8-01/385-ЕКк) про надання дозволу на концентрацію до матеріалів справи.</w:t>
      </w:r>
    </w:p>
    <w:p w14:paraId="25047082" w14:textId="77777777" w:rsidR="001E39D7" w:rsidRPr="001E39D7" w:rsidRDefault="001E39D7" w:rsidP="001E39D7">
      <w:pPr>
        <w:pStyle w:val="ab"/>
        <w:ind w:left="709" w:hanging="709"/>
        <w:jc w:val="both"/>
        <w:rPr>
          <w:rStyle w:val="af3"/>
          <w:lang w:val="uk-UA"/>
        </w:rPr>
      </w:pPr>
    </w:p>
    <w:p w14:paraId="365CFFAC" w14:textId="32250ACF" w:rsidR="001E39D7" w:rsidRPr="001E39D7" w:rsidRDefault="001E39D7" w:rsidP="001E39D7">
      <w:pPr>
        <w:pStyle w:val="ab"/>
        <w:numPr>
          <w:ilvl w:val="0"/>
          <w:numId w:val="1"/>
        </w:numPr>
        <w:ind w:left="709" w:hanging="709"/>
        <w:jc w:val="both"/>
        <w:rPr>
          <w:rStyle w:val="af3"/>
          <w:lang w:val="uk-UA"/>
        </w:rPr>
      </w:pPr>
      <w:r w:rsidRPr="001E39D7">
        <w:rPr>
          <w:rStyle w:val="af3"/>
          <w:lang w:val="uk-UA"/>
        </w:rPr>
        <w:t xml:space="preserve">Листом </w:t>
      </w:r>
      <w:r w:rsidR="002F07D8">
        <w:rPr>
          <w:rStyle w:val="af3"/>
          <w:lang w:val="uk-UA"/>
        </w:rPr>
        <w:t>К</w:t>
      </w:r>
      <w:r w:rsidRPr="001E39D7">
        <w:rPr>
          <w:rStyle w:val="af3"/>
          <w:lang w:val="uk-UA"/>
        </w:rPr>
        <w:t xml:space="preserve">омітету від 16.11.2020 № 126-26.13/02-15683 повідомлено уповноваженого представника АТ «ЗНВКІФ «ГЕНЕЗИС КАПІТАЛ» [від імені, за рахунок та в інтересах якого діє ПрАТ  «КУА АПФ «БРОКБІЗНЕСІНВЕСТ»]  та </w:t>
      </w:r>
      <w:r w:rsidR="00905670">
        <w:rPr>
          <w:rStyle w:val="af3"/>
          <w:lang w:val="uk-UA"/>
        </w:rPr>
        <w:br/>
      </w:r>
      <w:r w:rsidRPr="001E39D7">
        <w:rPr>
          <w:rStyle w:val="af3"/>
          <w:lang w:val="uk-UA"/>
        </w:rPr>
        <w:t>ТОВ «АМАЛТЕЯ ТРЕЙД» про початок розгляду зазначеної вище справи про порушення законодавства про захист економічної конкуренції та запропоновано надати інформацію, необхідну для її розгляду.</w:t>
      </w:r>
    </w:p>
    <w:p w14:paraId="28C93829" w14:textId="77777777" w:rsidR="001E39D7" w:rsidRPr="001E39D7" w:rsidRDefault="001E39D7" w:rsidP="001E39D7">
      <w:pPr>
        <w:pStyle w:val="ab"/>
        <w:ind w:left="709" w:hanging="709"/>
        <w:jc w:val="both"/>
        <w:rPr>
          <w:rStyle w:val="af3"/>
          <w:lang w:val="uk-UA"/>
        </w:rPr>
      </w:pPr>
    </w:p>
    <w:p w14:paraId="4A7C4C18" w14:textId="77777777" w:rsidR="001E39D7" w:rsidRPr="001E39D7" w:rsidRDefault="001E39D7" w:rsidP="001E39D7">
      <w:pPr>
        <w:pStyle w:val="ab"/>
        <w:numPr>
          <w:ilvl w:val="0"/>
          <w:numId w:val="1"/>
        </w:numPr>
        <w:ind w:left="709" w:hanging="709"/>
        <w:jc w:val="both"/>
        <w:rPr>
          <w:rStyle w:val="af3"/>
          <w:lang w:val="uk-UA"/>
        </w:rPr>
      </w:pPr>
      <w:r w:rsidRPr="001E39D7">
        <w:rPr>
          <w:rStyle w:val="af3"/>
          <w:lang w:val="uk-UA"/>
        </w:rPr>
        <w:t>Листом Комітету  від 06.03.2023 № 126-26.13/09-4738е уповноваженому представнику учасників концентрації надіслано подання з попередніми висновками у справі                            № 126-26.13/109-20.</w:t>
      </w:r>
    </w:p>
    <w:p w14:paraId="1D800E56" w14:textId="77777777" w:rsidR="001E39D7" w:rsidRPr="001E39D7" w:rsidRDefault="001E39D7" w:rsidP="001E39D7">
      <w:pPr>
        <w:pStyle w:val="ab"/>
        <w:ind w:left="709" w:hanging="709"/>
        <w:jc w:val="both"/>
        <w:rPr>
          <w:rStyle w:val="af3"/>
          <w:lang w:val="uk-UA"/>
        </w:rPr>
      </w:pPr>
    </w:p>
    <w:p w14:paraId="54B2B602" w14:textId="521C6DC8" w:rsidR="001E39D7" w:rsidRPr="001E39D7" w:rsidRDefault="001E39D7" w:rsidP="001E39D7">
      <w:pPr>
        <w:pStyle w:val="ab"/>
        <w:numPr>
          <w:ilvl w:val="0"/>
          <w:numId w:val="1"/>
        </w:numPr>
        <w:ind w:left="709" w:hanging="709"/>
        <w:jc w:val="both"/>
        <w:rPr>
          <w:rStyle w:val="af3"/>
          <w:lang w:val="uk-UA"/>
        </w:rPr>
      </w:pPr>
      <w:r w:rsidRPr="001E39D7">
        <w:rPr>
          <w:rStyle w:val="af3"/>
          <w:lang w:val="uk-UA"/>
        </w:rPr>
        <w:t>Уповноважений представник АТ «ЗНВКІФ «ГЕНЕЗИС КАПІТАЛ» [від імені, за рахунок та в інтересах якого діє ПрАТ  «КУА АПФ «БРОКБІЗНЕСІНВЕСТ»]  листом від 24.03.2023 № 8-01/365-Кі нада</w:t>
      </w:r>
      <w:r w:rsidR="00905670">
        <w:rPr>
          <w:rStyle w:val="af3"/>
          <w:lang w:val="uk-UA"/>
        </w:rPr>
        <w:t>в</w:t>
      </w:r>
      <w:r w:rsidRPr="001E39D7">
        <w:rPr>
          <w:rStyle w:val="af3"/>
          <w:lang w:val="uk-UA"/>
        </w:rPr>
        <w:t xml:space="preserve"> відповідь на подання з попередніми висновками у справі № 126-26.13/109-20.</w:t>
      </w:r>
    </w:p>
    <w:p w14:paraId="66FD507A" w14:textId="77777777" w:rsidR="007B2C48" w:rsidRPr="0032103D" w:rsidRDefault="008F341C" w:rsidP="00FA3E28">
      <w:pPr>
        <w:pStyle w:val="1"/>
        <w:numPr>
          <w:ilvl w:val="0"/>
          <w:numId w:val="5"/>
        </w:numPr>
        <w:spacing w:after="240"/>
        <w:ind w:left="709" w:hanging="709"/>
        <w:rPr>
          <w:rFonts w:ascii="Times New Roman" w:hAnsi="Times New Roman"/>
          <w:sz w:val="24"/>
          <w:szCs w:val="24"/>
          <w:lang w:val="uk-UA"/>
        </w:rPr>
      </w:pPr>
      <w:r w:rsidRPr="0032103D">
        <w:rPr>
          <w:rFonts w:ascii="Times New Roman" w:hAnsi="Times New Roman"/>
          <w:sz w:val="24"/>
          <w:szCs w:val="24"/>
          <w:lang w:val="uk-UA"/>
        </w:rPr>
        <w:t>ОБСТАВИНИ СПРАВИ</w:t>
      </w:r>
      <w:bookmarkEnd w:id="1"/>
    </w:p>
    <w:p w14:paraId="1F054BCA" w14:textId="77777777" w:rsidR="001E39D7" w:rsidRPr="001E39D7" w:rsidRDefault="001E39D7" w:rsidP="001E39D7">
      <w:pPr>
        <w:pStyle w:val="ab"/>
        <w:numPr>
          <w:ilvl w:val="0"/>
          <w:numId w:val="1"/>
        </w:numPr>
        <w:ind w:left="709" w:hanging="709"/>
        <w:jc w:val="both"/>
        <w:rPr>
          <w:rStyle w:val="af3"/>
          <w:lang w:val="uk-UA"/>
        </w:rPr>
      </w:pPr>
      <w:r w:rsidRPr="001E39D7">
        <w:rPr>
          <w:rStyle w:val="af3"/>
          <w:lang w:val="uk-UA"/>
        </w:rPr>
        <w:t xml:space="preserve">За інформацією, наданою </w:t>
      </w:r>
      <w:r w:rsidR="002F07D8">
        <w:rPr>
          <w:rStyle w:val="af3"/>
          <w:lang w:val="uk-UA"/>
        </w:rPr>
        <w:t>К</w:t>
      </w:r>
      <w:r w:rsidRPr="001E39D7">
        <w:rPr>
          <w:rStyle w:val="af3"/>
          <w:lang w:val="uk-UA"/>
        </w:rPr>
        <w:t>омітету уповноваженим представником АТ «ЗНВКІФ «ГЕНЕЗИС КАПІТАЛ» [від імені, за рахунок та в інтересах якого діє ПрАТ  «КУА АПФ «БРОКБІЗНЕСІНВЕСТ»] та  ТОВ «АМАЛТЕЯ</w:t>
      </w:r>
      <w:r w:rsidR="002F07D8" w:rsidRPr="002F07D8">
        <w:rPr>
          <w:rStyle w:val="af3"/>
          <w:lang w:val="uk-UA"/>
        </w:rPr>
        <w:t xml:space="preserve"> </w:t>
      </w:r>
      <w:r w:rsidR="002F07D8" w:rsidRPr="001E39D7">
        <w:rPr>
          <w:rStyle w:val="af3"/>
          <w:lang w:val="uk-UA"/>
        </w:rPr>
        <w:t>ТРЕЙД</w:t>
      </w:r>
      <w:r w:rsidRPr="001E39D7">
        <w:rPr>
          <w:rStyle w:val="af3"/>
          <w:lang w:val="uk-UA"/>
        </w:rPr>
        <w:t xml:space="preserve">», концентрація полягала в придбанні АТ «ЗНВКІФ «ГЕНЕЗИС КАПІТАЛ» від імені, за рахунок та в інтересах якого діє ПрАТ  «КУА АПФ «БРОКБІЗНЕСІНВЕСТ»] частки у статутному капіталі ТОВ «АМАЛТЕЯ ТРЕЙД»,  що забезпечило досягнення 50 відсотків голосів у вищому органі управління товариства. </w:t>
      </w:r>
    </w:p>
    <w:p w14:paraId="29393457" w14:textId="77777777" w:rsidR="001E39D7" w:rsidRPr="001E39D7" w:rsidRDefault="001E39D7" w:rsidP="001E39D7">
      <w:pPr>
        <w:pStyle w:val="ab"/>
        <w:ind w:left="709"/>
        <w:jc w:val="both"/>
        <w:rPr>
          <w:rStyle w:val="af3"/>
          <w:lang w:val="uk-UA"/>
        </w:rPr>
      </w:pPr>
    </w:p>
    <w:p w14:paraId="1299AAAD" w14:textId="77777777" w:rsidR="001E39D7" w:rsidRPr="001E39D7" w:rsidRDefault="001E39D7" w:rsidP="001E39D7">
      <w:pPr>
        <w:pStyle w:val="ab"/>
        <w:numPr>
          <w:ilvl w:val="0"/>
          <w:numId w:val="1"/>
        </w:numPr>
        <w:ind w:left="709" w:hanging="709"/>
        <w:jc w:val="both"/>
        <w:rPr>
          <w:rStyle w:val="af3"/>
          <w:lang w:val="uk-UA"/>
        </w:rPr>
      </w:pPr>
      <w:r w:rsidRPr="001E39D7">
        <w:rPr>
          <w:rStyle w:val="af3"/>
          <w:lang w:val="uk-UA"/>
        </w:rPr>
        <w:t xml:space="preserve">Зазначене придбання відбулося відповідно до договору купівлі-продажу частки у статутному капіталі  ТОВ «АМАЛТЕЯ ТРЕЙД» від 09 вересня 2020 року, укладеного між фізичною особою – громадянкою України   </w:t>
      </w:r>
      <w:proofErr w:type="spellStart"/>
      <w:r w:rsidRPr="001E39D7">
        <w:rPr>
          <w:rStyle w:val="af3"/>
          <w:lang w:val="uk-UA"/>
        </w:rPr>
        <w:t>Фальченко</w:t>
      </w:r>
      <w:proofErr w:type="spellEnd"/>
      <w:r w:rsidRPr="001E39D7">
        <w:rPr>
          <w:rStyle w:val="af3"/>
          <w:lang w:val="uk-UA"/>
        </w:rPr>
        <w:t xml:space="preserve"> Л.С. та АТ «ЗНВКІФ «ГЕНЕЗИС КАПІТАЛ», від імені, за рахунок та в інтересах якого діє ПрАТ  «КУА АПФ «БРОКБІЗНЕСІНВЕСТ» (акт прийому-передачі частки у статутному капіталі                         ТОВ «АМАЛТЕЯ ТРЕЙД» від 09 вересня 2020 року).</w:t>
      </w:r>
    </w:p>
    <w:p w14:paraId="2C3563C0" w14:textId="77777777" w:rsidR="001E39D7" w:rsidRPr="001E39D7" w:rsidRDefault="001E39D7" w:rsidP="001E39D7">
      <w:pPr>
        <w:pStyle w:val="ab"/>
        <w:ind w:left="709"/>
        <w:jc w:val="both"/>
        <w:rPr>
          <w:rStyle w:val="af3"/>
          <w:lang w:val="uk-UA"/>
        </w:rPr>
      </w:pPr>
    </w:p>
    <w:p w14:paraId="1740795F" w14:textId="77777777" w:rsidR="00711615" w:rsidRPr="0032103D" w:rsidRDefault="00711615" w:rsidP="0053054B">
      <w:pPr>
        <w:pStyle w:val="211"/>
        <w:numPr>
          <w:ilvl w:val="1"/>
          <w:numId w:val="13"/>
        </w:numPr>
        <w:spacing w:after="240"/>
        <w:ind w:left="0" w:firstLine="0"/>
        <w:textAlignment w:val="baseline"/>
        <w:rPr>
          <w:b/>
          <w:szCs w:val="24"/>
        </w:rPr>
      </w:pPr>
      <w:r w:rsidRPr="0032103D">
        <w:rPr>
          <w:b/>
          <w:szCs w:val="24"/>
        </w:rPr>
        <w:t>Відносини контролю учасників концентрації</w:t>
      </w:r>
    </w:p>
    <w:p w14:paraId="1F7CE2F7" w14:textId="77777777" w:rsidR="001E39D7" w:rsidRPr="008A035C" w:rsidRDefault="001E39D7" w:rsidP="00E807C0">
      <w:pPr>
        <w:numPr>
          <w:ilvl w:val="0"/>
          <w:numId w:val="1"/>
        </w:numPr>
        <w:spacing w:after="120"/>
        <w:ind w:left="709" w:hanging="709"/>
        <w:jc w:val="both"/>
        <w:rPr>
          <w:lang w:val="uk-UA"/>
        </w:rPr>
      </w:pPr>
      <w:r w:rsidRPr="008A035C">
        <w:rPr>
          <w:lang w:val="uk-UA"/>
        </w:rPr>
        <w:t xml:space="preserve">За інформацією, наданою </w:t>
      </w:r>
      <w:r w:rsidR="002F07D8">
        <w:rPr>
          <w:lang w:val="uk-UA"/>
        </w:rPr>
        <w:t>К</w:t>
      </w:r>
      <w:r w:rsidRPr="008A035C">
        <w:rPr>
          <w:lang w:val="uk-UA"/>
        </w:rPr>
        <w:t>омітету уповноваженим представником АТ «ЗНВКІФ «ГЕНЕЗИС КАПІТАЛ» [від імені, за рахунок та в інтересах якого діє ПрАТ  «КУА АПФ «БРОКБІЗНЕСІНВЕСТ»] та ТОВ «АМАЛТЕЯ ТРЕЙД»:</w:t>
      </w:r>
    </w:p>
    <w:p w14:paraId="151BF314" w14:textId="77777777" w:rsidR="001E39D7" w:rsidRPr="00E807C0" w:rsidRDefault="001E39D7" w:rsidP="00E807C0">
      <w:pPr>
        <w:spacing w:after="120"/>
        <w:ind w:left="709"/>
        <w:jc w:val="both"/>
        <w:rPr>
          <w:lang w:val="uk-UA"/>
        </w:rPr>
      </w:pPr>
      <w:r w:rsidRPr="00E807C0">
        <w:rPr>
          <w:lang w:val="uk-UA"/>
        </w:rPr>
        <w:t>на дату здійснення концентрації:</w:t>
      </w:r>
    </w:p>
    <w:p w14:paraId="6C48F578" w14:textId="0380A4B7" w:rsidR="001E39D7" w:rsidRPr="00E807C0" w:rsidRDefault="001E39D7" w:rsidP="00E807C0">
      <w:pPr>
        <w:numPr>
          <w:ilvl w:val="0"/>
          <w:numId w:val="1"/>
        </w:numPr>
        <w:spacing w:after="120"/>
        <w:ind w:left="709" w:hanging="709"/>
        <w:jc w:val="both"/>
        <w:rPr>
          <w:lang w:val="uk-UA"/>
        </w:rPr>
      </w:pPr>
      <w:r w:rsidRPr="008A035C">
        <w:rPr>
          <w:lang w:val="uk-UA"/>
        </w:rPr>
        <w:t>ТОВ «АМАЛТЕЯ ТРЕЙД»</w:t>
      </w:r>
      <w:r w:rsidRPr="00E807C0">
        <w:rPr>
          <w:b/>
          <w:lang w:val="uk-UA"/>
        </w:rPr>
        <w:t xml:space="preserve"> </w:t>
      </w:r>
      <w:r w:rsidRPr="00E807C0">
        <w:rPr>
          <w:lang w:val="uk-UA"/>
        </w:rPr>
        <w:t xml:space="preserve">здійснювало діяльність </w:t>
      </w:r>
      <w:r w:rsidR="00905670">
        <w:rPr>
          <w:lang w:val="uk-UA"/>
        </w:rPr>
        <w:t>і</w:t>
      </w:r>
      <w:r w:rsidRPr="00E807C0">
        <w:rPr>
          <w:lang w:val="uk-UA"/>
        </w:rPr>
        <w:t xml:space="preserve">з виробництва та реалізації </w:t>
      </w:r>
      <w:r w:rsidR="009804BC" w:rsidRPr="009804BC">
        <w:rPr>
          <w:rFonts w:eastAsia="Calibri"/>
          <w:i/>
          <w:noProof/>
          <w:lang w:val="uk-UA" w:eastAsia="en-US"/>
        </w:rPr>
        <w:t>«Інформація, доступ до якої обмежено»</w:t>
      </w:r>
      <w:r w:rsidRPr="00E807C0">
        <w:rPr>
          <w:lang w:val="uk-UA"/>
        </w:rPr>
        <w:t>;</w:t>
      </w:r>
    </w:p>
    <w:p w14:paraId="45FDE711" w14:textId="77777777" w:rsidR="001E39D7" w:rsidRPr="00E807C0" w:rsidRDefault="001E39D7" w:rsidP="00905670">
      <w:pPr>
        <w:spacing w:after="120"/>
        <w:ind w:left="709" w:hanging="1"/>
        <w:jc w:val="both"/>
        <w:rPr>
          <w:lang w:val="uk-UA"/>
        </w:rPr>
      </w:pPr>
      <w:r w:rsidRPr="00E807C0">
        <w:rPr>
          <w:lang w:val="uk-UA"/>
        </w:rPr>
        <w:lastRenderedPageBreak/>
        <w:t xml:space="preserve">ТОВ «АМАЛТЕЯ ТРЕЙД» </w:t>
      </w:r>
      <w:proofErr w:type="spellStart"/>
      <w:r w:rsidR="008A035C">
        <w:t>було</w:t>
      </w:r>
      <w:proofErr w:type="spellEnd"/>
      <w:r w:rsidR="008A035C">
        <w:t xml:space="preserve"> </w:t>
      </w:r>
      <w:r w:rsidRPr="00E807C0">
        <w:rPr>
          <w:lang w:val="uk-UA"/>
        </w:rPr>
        <w:t>пов’язане відносинами контролю із фізичною особою – громадянкою  України;</w:t>
      </w:r>
    </w:p>
    <w:p w14:paraId="3896555D" w14:textId="77777777" w:rsidR="001E39D7" w:rsidRPr="00E807C0" w:rsidRDefault="001E39D7" w:rsidP="00E807C0">
      <w:pPr>
        <w:spacing w:after="120"/>
        <w:ind w:left="709"/>
        <w:jc w:val="both"/>
        <w:rPr>
          <w:lang w:val="uk-UA"/>
        </w:rPr>
      </w:pPr>
      <w:r w:rsidRPr="008A035C">
        <w:rPr>
          <w:lang w:val="uk-UA"/>
        </w:rPr>
        <w:t>АТ «ЗНВКІФ «ГЕНЕЗИС КАПІТАЛ»</w:t>
      </w:r>
      <w:r w:rsidRPr="00E807C0">
        <w:rPr>
          <w:b/>
          <w:lang w:val="uk-UA"/>
        </w:rPr>
        <w:t xml:space="preserve"> </w:t>
      </w:r>
      <w:r w:rsidRPr="00E807C0">
        <w:rPr>
          <w:lang w:val="uk-UA"/>
        </w:rPr>
        <w:t xml:space="preserve">здійснювало діяльність </w:t>
      </w:r>
      <w:r w:rsidR="00905670">
        <w:rPr>
          <w:lang w:val="uk-UA"/>
        </w:rPr>
        <w:t>і</w:t>
      </w:r>
      <w:r w:rsidRPr="00E807C0">
        <w:rPr>
          <w:lang w:val="uk-UA"/>
        </w:rPr>
        <w:t xml:space="preserve">з придбання та реалізації майнових прав; </w:t>
      </w:r>
    </w:p>
    <w:p w14:paraId="7A55909F" w14:textId="77777777" w:rsidR="001E39D7" w:rsidRPr="00E807C0" w:rsidRDefault="001E39D7" w:rsidP="00E807C0">
      <w:pPr>
        <w:spacing w:after="120"/>
        <w:ind w:left="709"/>
        <w:jc w:val="both"/>
        <w:rPr>
          <w:lang w:val="uk-UA"/>
        </w:rPr>
      </w:pPr>
      <w:r w:rsidRPr="00E807C0">
        <w:rPr>
          <w:lang w:val="uk-UA"/>
        </w:rPr>
        <w:t>АТ «ЗНВКІФ «ГЕНЕЗИС КАПІТАЛ»</w:t>
      </w:r>
      <w:r w:rsidRPr="00E807C0">
        <w:rPr>
          <w:b/>
          <w:lang w:val="uk-UA"/>
        </w:rPr>
        <w:t xml:space="preserve"> </w:t>
      </w:r>
      <w:r w:rsidRPr="00E807C0">
        <w:rPr>
          <w:lang w:val="uk-UA"/>
        </w:rPr>
        <w:t>було</w:t>
      </w:r>
      <w:r w:rsidRPr="00E807C0">
        <w:rPr>
          <w:b/>
          <w:lang w:val="uk-UA"/>
        </w:rPr>
        <w:t xml:space="preserve"> </w:t>
      </w:r>
      <w:r w:rsidRPr="00E807C0">
        <w:rPr>
          <w:lang w:val="uk-UA"/>
        </w:rPr>
        <w:t>пов’язане відносинами контролю із:</w:t>
      </w:r>
    </w:p>
    <w:p w14:paraId="3F9A1AAC" w14:textId="75911B29" w:rsidR="001E39D7" w:rsidRPr="00E807C0" w:rsidRDefault="001E39D7" w:rsidP="00E807C0">
      <w:pPr>
        <w:spacing w:after="120"/>
        <w:ind w:left="709"/>
        <w:jc w:val="both"/>
        <w:rPr>
          <w:lang w:val="uk-UA"/>
        </w:rPr>
      </w:pPr>
      <w:r w:rsidRPr="00E807C0">
        <w:rPr>
          <w:lang w:val="uk-UA"/>
        </w:rPr>
        <w:t xml:space="preserve">суб’єктами господарювання – резидентами України, які здійснювали діяльність із </w:t>
      </w:r>
      <w:r w:rsidR="009804BC" w:rsidRPr="00DC00E8">
        <w:rPr>
          <w:rFonts w:eastAsia="Calibri"/>
          <w:i/>
          <w:noProof/>
          <w:lang w:eastAsia="en-US"/>
        </w:rPr>
        <w:t>«Інформація, доступ до якої обмежено»</w:t>
      </w:r>
      <w:r w:rsidRPr="00E807C0">
        <w:rPr>
          <w:lang w:val="uk-UA"/>
        </w:rPr>
        <w:t xml:space="preserve">;  </w:t>
      </w:r>
    </w:p>
    <w:p w14:paraId="15FE1C84" w14:textId="77777777" w:rsidR="001E39D7" w:rsidRPr="00E807C0" w:rsidRDefault="001E39D7" w:rsidP="00E807C0">
      <w:pPr>
        <w:spacing w:after="120"/>
        <w:ind w:left="709"/>
        <w:jc w:val="both"/>
        <w:rPr>
          <w:lang w:val="uk-UA"/>
        </w:rPr>
      </w:pPr>
      <w:r w:rsidRPr="00E807C0">
        <w:rPr>
          <w:lang w:val="uk-UA"/>
        </w:rPr>
        <w:t>суб’єктами господарювання – резидентами України, які не здійснювали господарської діяльності;</w:t>
      </w:r>
    </w:p>
    <w:p w14:paraId="5098BA3C" w14:textId="77777777" w:rsidR="001E39D7" w:rsidRPr="00E807C0" w:rsidRDefault="001E39D7" w:rsidP="00E807C0">
      <w:pPr>
        <w:spacing w:after="120"/>
        <w:ind w:left="709"/>
        <w:jc w:val="both"/>
        <w:rPr>
          <w:lang w:val="uk-UA"/>
        </w:rPr>
      </w:pPr>
      <w:r w:rsidRPr="00E807C0">
        <w:rPr>
          <w:lang w:val="uk-UA"/>
        </w:rPr>
        <w:t>суб’єктами господарювання – нерезидентами України, які не здійснювали господарської діяльності;</w:t>
      </w:r>
    </w:p>
    <w:p w14:paraId="0E2D782D" w14:textId="77777777" w:rsidR="001E39D7" w:rsidRPr="00E807C0" w:rsidRDefault="001E39D7" w:rsidP="00E807C0">
      <w:pPr>
        <w:spacing w:after="120"/>
        <w:ind w:left="709"/>
        <w:jc w:val="both"/>
        <w:rPr>
          <w:lang w:val="uk-UA"/>
        </w:rPr>
      </w:pPr>
      <w:r w:rsidRPr="00E807C0">
        <w:rPr>
          <w:lang w:val="uk-UA"/>
        </w:rPr>
        <w:t>фізичними особами – громадянами України</w:t>
      </w:r>
      <w:r w:rsidR="00E807C0">
        <w:rPr>
          <w:lang w:val="uk-UA"/>
        </w:rPr>
        <w:t>;</w:t>
      </w:r>
    </w:p>
    <w:p w14:paraId="01680ACD" w14:textId="77777777" w:rsidR="001E39D7" w:rsidRPr="00E807C0" w:rsidRDefault="001E39D7" w:rsidP="00E807C0">
      <w:pPr>
        <w:spacing w:after="120"/>
        <w:ind w:left="709"/>
        <w:jc w:val="both"/>
        <w:rPr>
          <w:lang w:val="uk-UA"/>
        </w:rPr>
      </w:pPr>
      <w:r w:rsidRPr="00E807C0">
        <w:rPr>
          <w:lang w:val="uk-UA"/>
        </w:rPr>
        <w:t xml:space="preserve">на </w:t>
      </w:r>
      <w:r w:rsidR="00E807C0" w:rsidRPr="00E807C0">
        <w:rPr>
          <w:lang w:val="uk-UA"/>
        </w:rPr>
        <w:t xml:space="preserve">дату </w:t>
      </w:r>
      <w:r w:rsidRPr="00E807C0">
        <w:rPr>
          <w:lang w:val="uk-UA"/>
        </w:rPr>
        <w:t>подання заяви:</w:t>
      </w:r>
    </w:p>
    <w:p w14:paraId="0F7313A5" w14:textId="7F60DCCE" w:rsidR="001E39D7" w:rsidRPr="00E807C0" w:rsidRDefault="001E39D7" w:rsidP="00E807C0">
      <w:pPr>
        <w:spacing w:after="120"/>
        <w:ind w:left="709"/>
        <w:jc w:val="both"/>
        <w:rPr>
          <w:lang w:val="uk-UA"/>
        </w:rPr>
      </w:pPr>
      <w:r w:rsidRPr="00E807C0">
        <w:rPr>
          <w:lang w:val="uk-UA"/>
        </w:rPr>
        <w:t>АТ «ЗНВКІФ «ГЕНЕЗИС КАПІТАЛ» [від імені, за рахунок та в інтересах якого діє ПрАТ  «КУА АПФ «БРОКБІЗНЕСІНВЕСТ»] та ТОВ «АМАЛТЕЯ ТРЕЙД»</w:t>
      </w:r>
      <w:r w:rsidRPr="00E807C0">
        <w:rPr>
          <w:vertAlign w:val="superscript"/>
          <w:lang w:val="uk-UA"/>
        </w:rPr>
        <w:footnoteReference w:id="1"/>
      </w:r>
      <w:r w:rsidRPr="00E807C0">
        <w:rPr>
          <w:lang w:val="uk-UA"/>
        </w:rPr>
        <w:t xml:space="preserve"> вже пов’язані відносинами контролю;</w:t>
      </w:r>
    </w:p>
    <w:p w14:paraId="4CC56B1F" w14:textId="364A0FDC" w:rsidR="001E39D7" w:rsidRPr="00E807C0" w:rsidRDefault="001E39D7" w:rsidP="00E807C0">
      <w:pPr>
        <w:spacing w:after="120"/>
        <w:ind w:left="709"/>
        <w:jc w:val="both"/>
        <w:rPr>
          <w:lang w:val="uk-UA"/>
        </w:rPr>
      </w:pPr>
      <w:r w:rsidRPr="008A035C">
        <w:rPr>
          <w:lang w:val="uk-UA"/>
        </w:rPr>
        <w:t xml:space="preserve">разом </w:t>
      </w:r>
      <w:r w:rsidR="00905670">
        <w:rPr>
          <w:lang w:val="uk-UA"/>
        </w:rPr>
        <w:t>і</w:t>
      </w:r>
      <w:r w:rsidRPr="008A035C">
        <w:rPr>
          <w:lang w:val="uk-UA"/>
        </w:rPr>
        <w:t>з цим до складу</w:t>
      </w:r>
      <w:r w:rsidRPr="00E807C0">
        <w:rPr>
          <w:lang w:val="uk-UA"/>
        </w:rPr>
        <w:t xml:space="preserve"> Групи Покупця увійшло ТОВАРИСТВО З ОБМЕЖЕНОЮ ВІДПОВІДАЛЬНІСТЮ «АМАЛТЕЯ»</w:t>
      </w:r>
      <w:r w:rsidRPr="00E807C0">
        <w:rPr>
          <w:vertAlign w:val="superscript"/>
          <w:lang w:val="uk-UA"/>
        </w:rPr>
        <w:footnoteReference w:id="2"/>
      </w:r>
      <w:r w:rsidR="00E807C0">
        <w:rPr>
          <w:lang w:val="uk-UA"/>
        </w:rPr>
        <w:t xml:space="preserve"> (далі – ТОВ «АМАЛТЕЯ</w:t>
      </w:r>
      <w:r w:rsidR="00905670">
        <w:rPr>
          <w:lang w:val="uk-UA"/>
        </w:rPr>
        <w:t>»</w:t>
      </w:r>
      <w:r w:rsidR="00E807C0">
        <w:rPr>
          <w:lang w:val="uk-UA"/>
        </w:rPr>
        <w:t>)</w:t>
      </w:r>
      <w:r w:rsidRPr="00E807C0">
        <w:rPr>
          <w:lang w:val="uk-UA"/>
        </w:rPr>
        <w:t xml:space="preserve"> </w:t>
      </w:r>
      <w:r w:rsidR="009804BC" w:rsidRPr="009804BC">
        <w:rPr>
          <w:rFonts w:eastAsia="Calibri"/>
          <w:i/>
          <w:noProof/>
          <w:lang w:val="uk-UA" w:eastAsia="en-US"/>
        </w:rPr>
        <w:t>«Інформація, доступ до якої обмежено»</w:t>
      </w:r>
      <w:r w:rsidRPr="00E807C0">
        <w:rPr>
          <w:lang w:val="uk-UA"/>
        </w:rPr>
        <w:t xml:space="preserve">, яке здійснювало діяльність </w:t>
      </w:r>
      <w:r w:rsidR="00905670">
        <w:rPr>
          <w:lang w:val="uk-UA"/>
        </w:rPr>
        <w:t>і</w:t>
      </w:r>
      <w:r w:rsidRPr="00E807C0">
        <w:rPr>
          <w:lang w:val="uk-UA"/>
        </w:rPr>
        <w:t xml:space="preserve">з виробництва та реалізації </w:t>
      </w:r>
      <w:r w:rsidR="00FB5889" w:rsidRPr="00FB5889">
        <w:rPr>
          <w:rFonts w:eastAsia="Calibri"/>
          <w:i/>
          <w:noProof/>
          <w:lang w:val="uk-UA" w:eastAsia="en-US"/>
        </w:rPr>
        <w:t>«Інформація, доступ до якої обмежено»</w:t>
      </w:r>
      <w:bookmarkStart w:id="2" w:name="_GoBack"/>
      <w:bookmarkEnd w:id="2"/>
      <w:r w:rsidRPr="00E807C0">
        <w:rPr>
          <w:lang w:val="uk-UA"/>
        </w:rPr>
        <w:t>;</w:t>
      </w:r>
    </w:p>
    <w:p w14:paraId="4CAB62DC" w14:textId="31CD20FC" w:rsidR="00E807C0" w:rsidRDefault="00E807C0" w:rsidP="00E807C0">
      <w:pPr>
        <w:numPr>
          <w:ilvl w:val="0"/>
          <w:numId w:val="1"/>
        </w:numPr>
        <w:spacing w:after="120"/>
        <w:ind w:left="851" w:hanging="720"/>
        <w:jc w:val="both"/>
        <w:rPr>
          <w:lang w:val="uk-UA"/>
        </w:rPr>
      </w:pPr>
      <w:r w:rsidRPr="00E807C0">
        <w:rPr>
          <w:lang w:val="uk-UA"/>
        </w:rPr>
        <w:t xml:space="preserve">сукупна  частка </w:t>
      </w:r>
      <w:r w:rsidRPr="008A035C">
        <w:rPr>
          <w:lang w:val="uk-UA"/>
        </w:rPr>
        <w:t>ТОВ «АМАЛТЕЯ ТРЕЙД» і ТОВ</w:t>
      </w:r>
      <w:r w:rsidRPr="00E807C0">
        <w:rPr>
          <w:lang w:val="uk-UA"/>
        </w:rPr>
        <w:t xml:space="preserve"> «АМАЛТЕЯ</w:t>
      </w:r>
      <w:r w:rsidR="003966B6">
        <w:rPr>
          <w:lang w:val="uk-UA"/>
        </w:rPr>
        <w:t>»</w:t>
      </w:r>
      <w:r w:rsidRPr="00E807C0">
        <w:rPr>
          <w:lang w:val="uk-UA"/>
        </w:rPr>
        <w:t xml:space="preserve">  на ринку </w:t>
      </w:r>
      <w:r w:rsidR="009804BC" w:rsidRPr="00DC00E8">
        <w:rPr>
          <w:rFonts w:eastAsia="Calibri"/>
          <w:i/>
          <w:noProof/>
          <w:lang w:eastAsia="en-US"/>
        </w:rPr>
        <w:t>«Інформація, доступ до якої обмежено»</w:t>
      </w:r>
      <w:r w:rsidRPr="00E807C0">
        <w:rPr>
          <w:lang w:val="uk-UA"/>
        </w:rPr>
        <w:t>.</w:t>
      </w:r>
    </w:p>
    <w:p w14:paraId="65FC64F1" w14:textId="3822EAD3" w:rsidR="003966B6" w:rsidRPr="003966B6" w:rsidRDefault="00905670" w:rsidP="00E807C0">
      <w:pPr>
        <w:numPr>
          <w:ilvl w:val="0"/>
          <w:numId w:val="1"/>
        </w:numPr>
        <w:spacing w:after="120"/>
        <w:ind w:left="851" w:hanging="720"/>
        <w:jc w:val="both"/>
        <w:rPr>
          <w:lang w:val="uk-UA"/>
        </w:rPr>
      </w:pPr>
      <w:bookmarkStart w:id="3" w:name="_Hlk134785348"/>
      <w:r>
        <w:rPr>
          <w:lang w:val="uk-UA"/>
        </w:rPr>
        <w:t>Н</w:t>
      </w:r>
      <w:r w:rsidR="003966B6" w:rsidRPr="003966B6">
        <w:rPr>
          <w:lang w:val="uk-UA"/>
        </w:rPr>
        <w:t>а 14.03.2023 ТОВ «АМАЛТЕЯ ТРЕЙД» і ТОВ «АМАЛТЕЯ» не здійснюють господарсько</w:t>
      </w:r>
      <w:r w:rsidR="003966B6">
        <w:rPr>
          <w:lang w:val="uk-UA"/>
        </w:rPr>
        <w:t>ї</w:t>
      </w:r>
      <w:r w:rsidR="003966B6" w:rsidRPr="003966B6">
        <w:rPr>
          <w:lang w:val="uk-UA"/>
        </w:rPr>
        <w:t xml:space="preserve"> д</w:t>
      </w:r>
      <w:r w:rsidR="003966B6">
        <w:rPr>
          <w:lang w:val="uk-UA"/>
        </w:rPr>
        <w:t>і</w:t>
      </w:r>
      <w:r w:rsidR="003966B6" w:rsidRPr="003966B6">
        <w:rPr>
          <w:lang w:val="uk-UA"/>
        </w:rPr>
        <w:t>яльност</w:t>
      </w:r>
      <w:r w:rsidR="003966B6">
        <w:rPr>
          <w:lang w:val="uk-UA"/>
        </w:rPr>
        <w:t>і.</w:t>
      </w:r>
    </w:p>
    <w:bookmarkEnd w:id="3"/>
    <w:p w14:paraId="1EB95548" w14:textId="77777777" w:rsidR="00B0042D" w:rsidRPr="00E807C0" w:rsidRDefault="00B0042D" w:rsidP="00E807C0">
      <w:pPr>
        <w:pStyle w:val="211"/>
        <w:numPr>
          <w:ilvl w:val="1"/>
          <w:numId w:val="13"/>
        </w:numPr>
        <w:spacing w:after="240"/>
        <w:ind w:left="0" w:firstLine="0"/>
        <w:textAlignment w:val="baseline"/>
        <w:rPr>
          <w:b/>
          <w:szCs w:val="24"/>
        </w:rPr>
      </w:pPr>
      <w:r w:rsidRPr="00E807C0">
        <w:rPr>
          <w:b/>
          <w:szCs w:val="24"/>
        </w:rPr>
        <w:t>Підстави відкриття справи про порушення законодавства про захист економічної конкуренції</w:t>
      </w:r>
    </w:p>
    <w:p w14:paraId="47097BEE" w14:textId="77777777" w:rsidR="00C013C5" w:rsidRPr="001E39D7" w:rsidRDefault="00C013C5" w:rsidP="00C013C5">
      <w:pPr>
        <w:pStyle w:val="ab"/>
        <w:numPr>
          <w:ilvl w:val="0"/>
          <w:numId w:val="1"/>
        </w:numPr>
        <w:ind w:left="709" w:hanging="709"/>
        <w:jc w:val="both"/>
        <w:rPr>
          <w:rStyle w:val="af3"/>
          <w:lang w:val="uk-UA"/>
        </w:rPr>
      </w:pPr>
      <w:r w:rsidRPr="001E39D7">
        <w:rPr>
          <w:rStyle w:val="af3"/>
          <w:lang w:val="uk-UA"/>
        </w:rPr>
        <w:t>Відповідно до пункту 4 частини другої статті 22 Закону України «Про захист економічної конкуренції» концентрацією визнається, зокрема, безпосереднє або опосередковане придбання, набуття у власність іншим способом  чи одержання в управління часток (акцій, паїв)</w:t>
      </w:r>
      <w:r w:rsidR="00905670">
        <w:rPr>
          <w:rStyle w:val="af3"/>
          <w:lang w:val="uk-UA"/>
        </w:rPr>
        <w:t>, що</w:t>
      </w:r>
      <w:r w:rsidRPr="001E39D7">
        <w:rPr>
          <w:rStyle w:val="af3"/>
          <w:lang w:val="uk-UA"/>
        </w:rPr>
        <w:t xml:space="preserve"> забезпечує досягнення чи перевищення 25 або                       50 відсотків голосів у вищому органі управління відповідного суб’єкта господарювання.</w:t>
      </w:r>
    </w:p>
    <w:p w14:paraId="51E42BF5" w14:textId="77777777" w:rsidR="00C013C5" w:rsidRPr="001E39D7" w:rsidRDefault="00C013C5" w:rsidP="00C013C5">
      <w:pPr>
        <w:pStyle w:val="ab"/>
        <w:ind w:left="709"/>
        <w:jc w:val="both"/>
        <w:rPr>
          <w:rStyle w:val="af3"/>
          <w:lang w:val="uk-UA"/>
        </w:rPr>
      </w:pPr>
    </w:p>
    <w:p w14:paraId="39772F52" w14:textId="77777777" w:rsidR="00C013C5" w:rsidRPr="001E39D7" w:rsidRDefault="00C013C5" w:rsidP="00C013C5">
      <w:pPr>
        <w:pStyle w:val="ab"/>
        <w:numPr>
          <w:ilvl w:val="0"/>
          <w:numId w:val="1"/>
        </w:numPr>
        <w:ind w:left="709" w:hanging="709"/>
        <w:jc w:val="both"/>
        <w:rPr>
          <w:rStyle w:val="af3"/>
          <w:lang w:val="uk-UA"/>
        </w:rPr>
      </w:pPr>
      <w:r w:rsidRPr="001E39D7">
        <w:rPr>
          <w:rStyle w:val="af3"/>
          <w:lang w:val="uk-UA"/>
        </w:rPr>
        <w:t>За інформацією відповідача, відповідні вартісні показники учасників концентрації за 2019 рік перевищували порогові значення, визначені частиною першою статті 24 Закону України «Про захист економічної конкуренції», тому зазначена концентрація потребувала попереднього отримання дозволу органів Антимонопольного комітету України.</w:t>
      </w:r>
    </w:p>
    <w:p w14:paraId="2C5F240C" w14:textId="77777777" w:rsidR="00C013C5" w:rsidRPr="001E39D7" w:rsidRDefault="00C013C5" w:rsidP="00C013C5">
      <w:pPr>
        <w:pStyle w:val="ab"/>
        <w:ind w:left="709"/>
        <w:jc w:val="both"/>
        <w:rPr>
          <w:rStyle w:val="af3"/>
          <w:lang w:val="uk-UA"/>
        </w:rPr>
      </w:pPr>
    </w:p>
    <w:p w14:paraId="58F6B03B" w14:textId="77777777" w:rsidR="00C013C5" w:rsidRPr="001E39D7" w:rsidRDefault="00C013C5" w:rsidP="00C013C5">
      <w:pPr>
        <w:pStyle w:val="ab"/>
        <w:numPr>
          <w:ilvl w:val="0"/>
          <w:numId w:val="1"/>
        </w:numPr>
        <w:ind w:left="709" w:hanging="709"/>
        <w:jc w:val="both"/>
        <w:rPr>
          <w:rStyle w:val="af3"/>
          <w:lang w:val="uk-UA"/>
        </w:rPr>
      </w:pPr>
      <w:r w:rsidRPr="001E39D7">
        <w:rPr>
          <w:rStyle w:val="af3"/>
          <w:lang w:val="uk-UA"/>
        </w:rPr>
        <w:lastRenderedPageBreak/>
        <w:t>Відповідно до частини п’ятої статті 24 Закону України «Про захист економічної конкуренції» концентрація, яка потребує дозволу, забороняється до надання дозволу на її здійснення.</w:t>
      </w:r>
    </w:p>
    <w:p w14:paraId="0AD3B967" w14:textId="77777777" w:rsidR="00C013C5" w:rsidRPr="001E39D7" w:rsidRDefault="00C013C5" w:rsidP="00C013C5">
      <w:pPr>
        <w:pStyle w:val="ab"/>
        <w:ind w:left="709"/>
        <w:jc w:val="both"/>
        <w:rPr>
          <w:rStyle w:val="af3"/>
          <w:lang w:val="uk-UA"/>
        </w:rPr>
      </w:pPr>
    </w:p>
    <w:p w14:paraId="777C6275" w14:textId="77777777" w:rsidR="00C013C5" w:rsidRPr="001E39D7" w:rsidRDefault="00C013C5" w:rsidP="00C013C5">
      <w:pPr>
        <w:pStyle w:val="ab"/>
        <w:numPr>
          <w:ilvl w:val="0"/>
          <w:numId w:val="1"/>
        </w:numPr>
        <w:ind w:left="709" w:hanging="709"/>
        <w:jc w:val="both"/>
        <w:rPr>
          <w:rStyle w:val="af3"/>
          <w:lang w:val="uk-UA"/>
        </w:rPr>
      </w:pPr>
      <w:r w:rsidRPr="001E39D7">
        <w:rPr>
          <w:rStyle w:val="af3"/>
          <w:lang w:val="uk-UA"/>
        </w:rPr>
        <w:t xml:space="preserve">До </w:t>
      </w:r>
      <w:r w:rsidR="002F07D8">
        <w:rPr>
          <w:rStyle w:val="af3"/>
          <w:lang w:val="uk-UA"/>
        </w:rPr>
        <w:t>К</w:t>
      </w:r>
      <w:r w:rsidRPr="001E39D7">
        <w:rPr>
          <w:rStyle w:val="af3"/>
          <w:lang w:val="uk-UA"/>
        </w:rPr>
        <w:t>омітету заява  уповноваженого представника  АТ «ЗНВКІФ «ГЕНЕЗИС КАПІТАЛ» [від імені, за рахунок та в інтересах якого діє ПрАТ  «КУА АПФ «БРОКБІЗНЕСІНВЕСТ»] та ТОВ «АМАЛТЕЯ</w:t>
      </w:r>
      <w:r w:rsidR="00220346">
        <w:rPr>
          <w:rStyle w:val="af3"/>
          <w:lang w:val="uk-UA"/>
        </w:rPr>
        <w:t xml:space="preserve"> ТРЕЙД</w:t>
      </w:r>
      <w:r w:rsidRPr="001E39D7">
        <w:rPr>
          <w:rStyle w:val="af3"/>
          <w:lang w:val="uk-UA"/>
        </w:rPr>
        <w:t>» на придбання АТ «ЗНВКІФ «ГЕНЕЗИС КАПІТАЛ» [від імені, за рахунок та в інтересах якого діє ПрАТ  «КУА АПФ «БРОКБІЗНЕСІНВЕСТ»] частки у статутному капіталі  ТОВ «АМАЛТЕЯ ТРЕЙД», що забезпечило досягнення 50 відсотків голосів у вищому органі управління товариства, надійшла 05 жовтня  2020 року та була зареєстрована за  № 8-01/385-ЕКк, тобто після здійснення заявленої концентрації.</w:t>
      </w:r>
    </w:p>
    <w:p w14:paraId="79DA0BA0" w14:textId="77777777" w:rsidR="00C013C5" w:rsidRPr="001E39D7" w:rsidRDefault="00C013C5" w:rsidP="00C013C5">
      <w:pPr>
        <w:pStyle w:val="ab"/>
        <w:ind w:left="709"/>
        <w:jc w:val="both"/>
        <w:rPr>
          <w:rStyle w:val="af3"/>
          <w:lang w:val="uk-UA"/>
        </w:rPr>
      </w:pPr>
    </w:p>
    <w:p w14:paraId="3CFCF355" w14:textId="6097B7A8" w:rsidR="00C013C5" w:rsidRDefault="00C013C5" w:rsidP="00C013C5">
      <w:pPr>
        <w:pStyle w:val="ab"/>
        <w:numPr>
          <w:ilvl w:val="0"/>
          <w:numId w:val="1"/>
        </w:numPr>
        <w:spacing w:after="240"/>
        <w:ind w:left="709" w:hanging="709"/>
        <w:jc w:val="both"/>
        <w:rPr>
          <w:rStyle w:val="af3"/>
          <w:lang w:val="uk-UA"/>
        </w:rPr>
      </w:pPr>
      <w:r w:rsidRPr="001E39D7">
        <w:rPr>
          <w:rStyle w:val="af3"/>
          <w:lang w:val="uk-UA"/>
        </w:rPr>
        <w:t>Отже, дії  АТ «ЗНВКІФ «ГЕНЕЗИС КАПІТАЛ» [від імені, за рахунок та в інтересах якого діє ПрАТ  «КУА АПФ «БРОКБІЗНЕСІНВЕСТ»], у вигляді здійснення концентрації шляхом придбання</w:t>
      </w:r>
      <w:r w:rsidR="00220346" w:rsidRPr="001E39D7">
        <w:rPr>
          <w:rStyle w:val="af3"/>
          <w:lang w:val="uk-UA"/>
        </w:rPr>
        <w:t xml:space="preserve"> частки у статутному капіталі  ТОВ «АМАЛТЕЯ ТРЕЙД», що забезпечило досягнення 50 відсотків голосів у вищому органі управління товариств</w:t>
      </w:r>
      <w:r w:rsidR="002F07D8">
        <w:rPr>
          <w:rStyle w:val="af3"/>
          <w:lang w:val="uk-UA"/>
        </w:rPr>
        <w:t>а</w:t>
      </w:r>
      <w:r w:rsidRPr="001E39D7">
        <w:rPr>
          <w:rStyle w:val="af3"/>
          <w:lang w:val="uk-UA"/>
        </w:rPr>
        <w:t>, без отримання відповідного дозволу органів Антимонопольного комітету України, є порушенням, передбаченим пунктом 12 статті 50 Закону України «Про захист економічної конкуренції».</w:t>
      </w:r>
    </w:p>
    <w:p w14:paraId="4F0FE79C" w14:textId="77777777" w:rsidR="008A035C" w:rsidRPr="008A035C" w:rsidRDefault="008A035C" w:rsidP="008A035C">
      <w:pPr>
        <w:pStyle w:val="ab"/>
        <w:rPr>
          <w:rStyle w:val="af3"/>
          <w:lang w:val="uk-UA"/>
        </w:rPr>
      </w:pPr>
    </w:p>
    <w:p w14:paraId="30351C72" w14:textId="77777777" w:rsidR="007B2C48" w:rsidRPr="00263853" w:rsidRDefault="00263853" w:rsidP="00263853">
      <w:pPr>
        <w:pStyle w:val="ab"/>
        <w:numPr>
          <w:ilvl w:val="0"/>
          <w:numId w:val="13"/>
        </w:numPr>
        <w:spacing w:before="240" w:after="240"/>
        <w:jc w:val="both"/>
        <w:rPr>
          <w:b/>
          <w:sz w:val="26"/>
          <w:lang w:val="uk-UA"/>
        </w:rPr>
      </w:pPr>
      <w:r>
        <w:rPr>
          <w:b/>
          <w:sz w:val="26"/>
          <w:lang w:val="uk-UA"/>
        </w:rPr>
        <w:t xml:space="preserve">     </w:t>
      </w:r>
      <w:r w:rsidR="00075602" w:rsidRPr="00263853">
        <w:rPr>
          <w:b/>
          <w:sz w:val="26"/>
          <w:lang w:val="uk-UA"/>
        </w:rPr>
        <w:t>ВИСНОВКИ</w:t>
      </w:r>
      <w:r w:rsidR="00AE3AE5" w:rsidRPr="00263853">
        <w:rPr>
          <w:b/>
          <w:sz w:val="26"/>
          <w:lang w:val="uk-UA"/>
        </w:rPr>
        <w:t xml:space="preserve"> </w:t>
      </w:r>
      <w:r w:rsidR="00075602" w:rsidRPr="00263853">
        <w:rPr>
          <w:b/>
          <w:sz w:val="26"/>
          <w:lang w:val="uk-UA"/>
        </w:rPr>
        <w:t>У СПРАВІ</w:t>
      </w:r>
    </w:p>
    <w:p w14:paraId="009113EA" w14:textId="376D9787" w:rsidR="00075602" w:rsidRPr="009D05DC" w:rsidRDefault="00075602" w:rsidP="008A035C">
      <w:pPr>
        <w:numPr>
          <w:ilvl w:val="0"/>
          <w:numId w:val="1"/>
        </w:numPr>
        <w:spacing w:after="120"/>
        <w:ind w:left="851" w:hanging="851"/>
        <w:jc w:val="both"/>
        <w:rPr>
          <w:lang w:val="uk-UA"/>
        </w:rPr>
      </w:pPr>
      <w:bookmarkStart w:id="4" w:name="_Hlk86418797"/>
      <w:r w:rsidRPr="009D05DC">
        <w:rPr>
          <w:lang w:val="uk-UA"/>
        </w:rPr>
        <w:t xml:space="preserve">Концентрація у вигляді </w:t>
      </w:r>
      <w:r w:rsidR="008A035C">
        <w:rPr>
          <w:iCs/>
          <w:lang w:val="uk-UA"/>
        </w:rPr>
        <w:t xml:space="preserve">придбання </w:t>
      </w:r>
      <w:r w:rsidR="008A035C" w:rsidRPr="001E39D7">
        <w:rPr>
          <w:rStyle w:val="af3"/>
          <w:lang w:val="uk-UA"/>
        </w:rPr>
        <w:t>АТ «ЗНВКІФ «ГЕНЕЗИС КАПІТАЛ» [від імені, за рахунок та в інтересах якого діє ПрАТ  «КУА АПФ «БРОКБІЗНЕСІНВЕСТ»]</w:t>
      </w:r>
      <w:r w:rsidR="008A035C">
        <w:rPr>
          <w:rStyle w:val="af3"/>
          <w:lang w:val="uk-UA"/>
        </w:rPr>
        <w:t xml:space="preserve"> </w:t>
      </w:r>
      <w:r w:rsidR="008A035C" w:rsidRPr="001E39D7">
        <w:rPr>
          <w:rStyle w:val="af3"/>
          <w:lang w:val="uk-UA"/>
        </w:rPr>
        <w:t xml:space="preserve">частки </w:t>
      </w:r>
      <w:r w:rsidR="00436232">
        <w:rPr>
          <w:rStyle w:val="af3"/>
          <w:lang w:val="uk-UA"/>
        </w:rPr>
        <w:t>у</w:t>
      </w:r>
      <w:r w:rsidR="008A035C" w:rsidRPr="001E39D7">
        <w:rPr>
          <w:rStyle w:val="af3"/>
          <w:lang w:val="uk-UA"/>
        </w:rPr>
        <w:t xml:space="preserve"> статутному капіталі ТОВ «АМАЛТЕЯ ТРЕЙД»,  що забезпечує досягнення  50 відсотків голосів у вищому органі управління товариства</w:t>
      </w:r>
      <w:r w:rsidR="00436232">
        <w:rPr>
          <w:rStyle w:val="af3"/>
          <w:lang w:val="uk-UA"/>
        </w:rPr>
        <w:t>,</w:t>
      </w:r>
      <w:r w:rsidRPr="009D05DC">
        <w:rPr>
          <w:lang w:val="uk-UA"/>
        </w:rPr>
        <w:t xml:space="preserve"> не призвела до монополізації чи суттєвого обмеження конкуренції на товарних ринках України. </w:t>
      </w:r>
      <w:bookmarkEnd w:id="4"/>
    </w:p>
    <w:p w14:paraId="58B5AAF5" w14:textId="77777777" w:rsidR="00075602" w:rsidRPr="009D05DC" w:rsidRDefault="00075602" w:rsidP="008A035C">
      <w:pPr>
        <w:numPr>
          <w:ilvl w:val="0"/>
          <w:numId w:val="1"/>
        </w:numPr>
        <w:spacing w:after="120"/>
        <w:ind w:left="851" w:hanging="851"/>
        <w:jc w:val="both"/>
        <w:rPr>
          <w:lang w:val="uk-UA"/>
        </w:rPr>
      </w:pPr>
      <w:r w:rsidRPr="009D05DC">
        <w:rPr>
          <w:lang w:val="uk-UA"/>
        </w:rPr>
        <w:t xml:space="preserve">Відповідно до абзацу третього частини другої статті 52 Закону </w:t>
      </w:r>
      <w:bookmarkStart w:id="5" w:name="_Hlk86412340"/>
      <w:r w:rsidRPr="009D05DC">
        <w:rPr>
          <w:lang w:val="uk-UA"/>
        </w:rPr>
        <w:t>України «Про захист економічної конкуренції»</w:t>
      </w:r>
      <w:bookmarkEnd w:id="5"/>
      <w:r w:rsidRPr="009D05DC">
        <w:rPr>
          <w:lang w:val="uk-UA"/>
        </w:rPr>
        <w:t xml:space="preserve"> за порушення, передбачене пунктом 12 статті 50 цього Закону, накладається штраф у розмірі до п’яти відсотків доходу (виручки) суб’єкта господарювання від реалізації продукції (товарів, робіт, послуг) за останній звітний рік, що передує року, в якому накладається штраф.</w:t>
      </w:r>
    </w:p>
    <w:p w14:paraId="4C6C66A0" w14:textId="77777777" w:rsidR="002F07D8" w:rsidRDefault="006A0F25" w:rsidP="008A035C">
      <w:pPr>
        <w:numPr>
          <w:ilvl w:val="0"/>
          <w:numId w:val="1"/>
        </w:numPr>
        <w:spacing w:after="120"/>
        <w:ind w:left="851" w:hanging="851"/>
        <w:jc w:val="both"/>
        <w:rPr>
          <w:lang w:val="uk-UA"/>
        </w:rPr>
      </w:pPr>
      <w:r w:rsidRPr="009D05DC">
        <w:rPr>
          <w:lang w:val="uk-UA"/>
        </w:rPr>
        <w:t>Чистий д</w:t>
      </w:r>
      <w:r w:rsidR="00075602" w:rsidRPr="009D05DC">
        <w:rPr>
          <w:lang w:val="uk-UA"/>
        </w:rPr>
        <w:t xml:space="preserve">охід (виручка) від реалізації продукції (товарів, робіт, послуг) </w:t>
      </w:r>
      <w:r w:rsidR="008A035C" w:rsidRPr="001E39D7">
        <w:rPr>
          <w:rStyle w:val="af3"/>
          <w:lang w:val="uk-UA"/>
        </w:rPr>
        <w:t>АТ «ЗНВКІФ «ГЕНЕЗИС КАПІТАЛ» [від імені, за рахунок та в інтересах якого діє ПрАТ  «КУА АПФ «БРОКБІЗНЕСІНВЕСТ»]</w:t>
      </w:r>
      <w:r w:rsidR="008A035C">
        <w:rPr>
          <w:rStyle w:val="af3"/>
          <w:lang w:val="uk-UA"/>
        </w:rPr>
        <w:t xml:space="preserve"> </w:t>
      </w:r>
      <w:r w:rsidR="00075602" w:rsidRPr="009D05DC">
        <w:rPr>
          <w:color w:val="FF0000"/>
          <w:lang w:val="uk-UA"/>
        </w:rPr>
        <w:t xml:space="preserve"> </w:t>
      </w:r>
      <w:r w:rsidR="00075602" w:rsidRPr="009D05DC">
        <w:rPr>
          <w:lang w:val="uk-UA"/>
        </w:rPr>
        <w:t xml:space="preserve">за 2022 рік </w:t>
      </w:r>
      <w:r w:rsidR="00E74790">
        <w:rPr>
          <w:lang w:val="uk-UA"/>
        </w:rPr>
        <w:t>відсутн</w:t>
      </w:r>
      <w:r w:rsidR="002F07D8">
        <w:rPr>
          <w:lang w:val="uk-UA"/>
        </w:rPr>
        <w:t>ій</w:t>
      </w:r>
      <w:r w:rsidR="00075602" w:rsidRPr="009D05DC">
        <w:rPr>
          <w:lang w:val="uk-UA"/>
        </w:rPr>
        <w:t>.</w:t>
      </w:r>
    </w:p>
    <w:p w14:paraId="75A9E376" w14:textId="77777777" w:rsidR="002F07D8" w:rsidRPr="002F07D8" w:rsidRDefault="002F07D8" w:rsidP="002F07D8">
      <w:pPr>
        <w:numPr>
          <w:ilvl w:val="0"/>
          <w:numId w:val="1"/>
        </w:numPr>
        <w:spacing w:after="120"/>
        <w:ind w:left="851" w:hanging="851"/>
        <w:jc w:val="both"/>
        <w:rPr>
          <w:lang w:val="uk-UA"/>
        </w:rPr>
      </w:pPr>
      <w:r w:rsidRPr="002F07D8">
        <w:rPr>
          <w:lang w:val="uk-UA"/>
        </w:rPr>
        <w:t>У зв’язку з відсутністю  доходу (виручки) АТ «ЗНВКІФ «ГЕНЕЗИС КАПІТАЛ» від реалізації продукції (товарів, робіт, послуг) за 2022 рік, відповідно до частини п’ятої статті 52 Закону України «Про захист економічної конкуренції» штраф, передбачений частиною другою статті 52, накладається у розмірі до десяти тисяч неоподатковуваних мінімумів доходів громадян.</w:t>
      </w:r>
    </w:p>
    <w:p w14:paraId="11880FD2" w14:textId="26768904" w:rsidR="002F07D8" w:rsidRDefault="00436232" w:rsidP="008D4A05">
      <w:pPr>
        <w:spacing w:after="120"/>
        <w:ind w:firstLine="708"/>
        <w:jc w:val="both"/>
        <w:rPr>
          <w:lang w:val="uk-UA"/>
        </w:rPr>
      </w:pPr>
      <w:r w:rsidRPr="00436232">
        <w:rPr>
          <w:lang w:val="uk-UA"/>
        </w:rPr>
        <w:t>Враховуючи викладене, керуючись статтею 7 Закону України «Про Антимонопольний комітет України», статтями 25, 48 і 52 Закону України «Про захист економічної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w:t>
      </w:r>
      <w:r w:rsidR="00B31566">
        <w:rPr>
          <w:lang w:val="uk-UA"/>
        </w:rPr>
        <w:t xml:space="preserve">            </w:t>
      </w:r>
      <w:r w:rsidRPr="00436232">
        <w:rPr>
          <w:lang w:val="uk-UA"/>
        </w:rPr>
        <w:t xml:space="preserve"> 29 червня 1998 року  № 169-р) (зі змінами), Антимонопольний комітет України</w:t>
      </w:r>
    </w:p>
    <w:p w14:paraId="2BD398C6" w14:textId="77777777" w:rsidR="007B2C48" w:rsidRPr="007458D1" w:rsidRDefault="007B2C48" w:rsidP="007458D1">
      <w:pPr>
        <w:spacing w:before="240" w:after="240"/>
        <w:jc w:val="center"/>
        <w:outlineLvl w:val="0"/>
        <w:rPr>
          <w:b/>
          <w:sz w:val="26"/>
          <w:szCs w:val="26"/>
          <w:lang w:val="uk-UA"/>
        </w:rPr>
      </w:pPr>
      <w:r w:rsidRPr="007458D1">
        <w:rPr>
          <w:b/>
          <w:sz w:val="26"/>
          <w:szCs w:val="26"/>
          <w:lang w:val="uk-UA"/>
        </w:rPr>
        <w:t>ПОСТАНОВИВ:</w:t>
      </w:r>
    </w:p>
    <w:p w14:paraId="6F98A138" w14:textId="335C5E03" w:rsidR="00E74790" w:rsidRPr="00E74790" w:rsidRDefault="00F661C2" w:rsidP="00E74790">
      <w:pPr>
        <w:tabs>
          <w:tab w:val="left" w:pos="993"/>
        </w:tabs>
        <w:spacing w:after="120"/>
        <w:ind w:firstLine="709"/>
        <w:jc w:val="both"/>
        <w:rPr>
          <w:lang w:val="uk-UA"/>
        </w:rPr>
      </w:pPr>
      <w:r w:rsidRPr="0082691A">
        <w:rPr>
          <w:lang w:val="uk-UA"/>
        </w:rPr>
        <w:lastRenderedPageBreak/>
        <w:t>1.</w:t>
      </w:r>
      <w:r w:rsidR="00E74790">
        <w:rPr>
          <w:lang w:val="uk-UA"/>
        </w:rPr>
        <w:t xml:space="preserve"> </w:t>
      </w:r>
      <w:r w:rsidR="00E74790" w:rsidRPr="00E74790">
        <w:rPr>
          <w:lang w:val="uk-UA"/>
        </w:rPr>
        <w:t xml:space="preserve">Визнати, що </w:t>
      </w:r>
      <w:bookmarkStart w:id="6" w:name="_Hlk144718186"/>
      <w:r w:rsidR="00E74790" w:rsidRPr="00E74790">
        <w:rPr>
          <w:lang w:val="uk-UA"/>
        </w:rPr>
        <w:t xml:space="preserve">АКЦІОНЕРНЕ ТОВАРИСТВО «ЗАКРИТИЙ НЕДИВЕРСИФІКОВАНИЙ ВЕНЧУРНИЙ КОРПОРАТИВНИЙ ІНВЕСТИЦІЙНИЙ ФОНД </w:t>
      </w:r>
      <w:bookmarkEnd w:id="6"/>
      <w:r w:rsidR="00E74790" w:rsidRPr="00E74790">
        <w:rPr>
          <w:lang w:val="uk-UA"/>
        </w:rPr>
        <w:t>«ГЕНЕЗИС КАПІТАЛ» (</w:t>
      </w:r>
      <w:r w:rsidR="009804BC" w:rsidRPr="009804BC">
        <w:rPr>
          <w:rFonts w:eastAsia="Calibri"/>
          <w:i/>
          <w:noProof/>
          <w:lang w:val="uk-UA" w:eastAsia="en-US"/>
        </w:rPr>
        <w:t>«Інформація, доступ до якої обмежено»</w:t>
      </w:r>
      <w:r w:rsidR="00E74790" w:rsidRPr="00E74790">
        <w:rPr>
          <w:lang w:val="uk-UA"/>
        </w:rPr>
        <w:t xml:space="preserve">) [від імені, за рахунок та в інтересах якого діє </w:t>
      </w:r>
      <w:bookmarkStart w:id="7" w:name="_Hlk144718231"/>
      <w:r w:rsidR="00E74790" w:rsidRPr="00E74790">
        <w:rPr>
          <w:lang w:val="uk-UA"/>
        </w:rPr>
        <w:t xml:space="preserve">ПРИВАТНЕ АКЦІОНЕРНЕ ТОВАРИСТВО «КОМПАНІЯ З УПРАВЛІННЯ АКТИВАМИ АДМІНІСТРАТОР ПЕНСІЙНОГО ФОНДУ </w:t>
      </w:r>
      <w:bookmarkEnd w:id="7"/>
      <w:r w:rsidR="00E74790" w:rsidRPr="00E74790">
        <w:rPr>
          <w:lang w:val="uk-UA"/>
        </w:rPr>
        <w:t>«БРОКБІЗНЕСІНВЕСТ» (</w:t>
      </w:r>
      <w:r w:rsidR="009804BC" w:rsidRPr="009804BC">
        <w:rPr>
          <w:rFonts w:eastAsia="Calibri"/>
          <w:i/>
          <w:noProof/>
          <w:lang w:val="uk-UA" w:eastAsia="en-US"/>
        </w:rPr>
        <w:t>«Інформація, доступ до якої обмежено»</w:t>
      </w:r>
      <w:r w:rsidR="00E74790" w:rsidRPr="00E74790">
        <w:rPr>
          <w:lang w:val="uk-UA"/>
        </w:rPr>
        <w:t xml:space="preserve">] вчинило порушення, передбачене пунктом 12 статті 50 Закону України «Про захист економічної конкуренції», у вигляді придбання частки </w:t>
      </w:r>
      <w:r w:rsidR="00096791">
        <w:rPr>
          <w:lang w:val="uk-UA"/>
        </w:rPr>
        <w:t>у</w:t>
      </w:r>
      <w:r w:rsidR="00E74790" w:rsidRPr="00E74790">
        <w:rPr>
          <w:lang w:val="uk-UA"/>
        </w:rPr>
        <w:t xml:space="preserve"> статутному капіталі ТОВАРИСТВА З ОБМЕЖЕНОЮ ВІДПОВІДАЛЬНІСТЮ «АМАЛТЕЯ ТРЕЙД» (</w:t>
      </w:r>
      <w:r w:rsidR="009804BC" w:rsidRPr="009804BC">
        <w:rPr>
          <w:rFonts w:eastAsia="Calibri"/>
          <w:i/>
          <w:noProof/>
          <w:lang w:val="uk-UA" w:eastAsia="en-US"/>
        </w:rPr>
        <w:t>«Інформація, доступ до якої обмежено»</w:t>
      </w:r>
      <w:r w:rsidR="00E74790" w:rsidRPr="00E74790">
        <w:rPr>
          <w:lang w:val="uk-UA"/>
        </w:rPr>
        <w:t>), що забезпечує досягнення  50 відсотків голосів у вищому органі управління товариства, без отримання відповідного дозволу органів Антимонопольного комітету України, наявність якого необхідна.</w:t>
      </w:r>
    </w:p>
    <w:p w14:paraId="4D6DD183" w14:textId="3DA4A1D8" w:rsidR="00F661C2" w:rsidRPr="00E74790" w:rsidRDefault="00F661C2" w:rsidP="00E74790">
      <w:pPr>
        <w:spacing w:after="120"/>
        <w:ind w:firstLine="709"/>
        <w:jc w:val="both"/>
        <w:rPr>
          <w:shd w:val="clear" w:color="auto" w:fill="FFFFFF"/>
          <w:lang w:val="uk-UA"/>
        </w:rPr>
      </w:pPr>
      <w:r w:rsidRPr="00E74790">
        <w:rPr>
          <w:lang w:val="uk-UA"/>
        </w:rPr>
        <w:t xml:space="preserve"> </w:t>
      </w:r>
      <w:r w:rsidRPr="0082691A">
        <w:rPr>
          <w:lang w:val="uk-UA"/>
        </w:rPr>
        <w:t>2.</w:t>
      </w:r>
      <w:r w:rsidRPr="00E74790">
        <w:rPr>
          <w:lang w:val="uk-UA"/>
        </w:rPr>
        <w:t xml:space="preserve"> За порушення, вказане </w:t>
      </w:r>
      <w:r w:rsidR="00096791">
        <w:rPr>
          <w:lang w:val="uk-UA"/>
        </w:rPr>
        <w:t>в</w:t>
      </w:r>
      <w:r w:rsidRPr="00E74790">
        <w:rPr>
          <w:lang w:val="uk-UA"/>
        </w:rPr>
        <w:t xml:space="preserve"> пункті 1 резолютивної частини цього рішення, накласти на </w:t>
      </w:r>
      <w:r w:rsidR="00096791" w:rsidRPr="00096791">
        <w:rPr>
          <w:lang w:val="uk-UA"/>
        </w:rPr>
        <w:t xml:space="preserve">АКЦІОНЕРНЕ ТОВАРИСТВО «ЗАКРИТИЙ НЕДИВЕРСИФІКОВАНИЙ ВЕНЧУРНИЙ КОРПОРАТИВНИЙ ІНВЕСТИЦІЙНИЙ ФОНД </w:t>
      </w:r>
      <w:r w:rsidR="00E74790" w:rsidRPr="00E74790">
        <w:rPr>
          <w:rStyle w:val="af3"/>
          <w:lang w:val="uk-UA"/>
        </w:rPr>
        <w:t>«ГЕНЕЗИС КАПІТАЛ» [від імені, за рахунок та в інтересах якого діє</w:t>
      </w:r>
      <w:r w:rsidR="00E152D6">
        <w:rPr>
          <w:rStyle w:val="af3"/>
          <w:lang w:val="uk-UA"/>
        </w:rPr>
        <w:t xml:space="preserve"> </w:t>
      </w:r>
      <w:r w:rsidR="00E152D6" w:rsidRPr="00E152D6">
        <w:rPr>
          <w:lang w:val="uk-UA"/>
        </w:rPr>
        <w:t xml:space="preserve">ПРИВАТНЕ АКЦІОНЕРНЕ ТОВАРИСТВО «КОМПАНІЯ З УПРАВЛІННЯ АКТИВАМИ АДМІНІСТРАТОР ПЕНСІЙНОГО ФОНДУ </w:t>
      </w:r>
      <w:r w:rsidR="00E74790" w:rsidRPr="00E74790">
        <w:rPr>
          <w:rStyle w:val="af3"/>
          <w:lang w:val="uk-UA"/>
        </w:rPr>
        <w:t xml:space="preserve">«БРОКБІЗНЕСІНВЕСТ»] </w:t>
      </w:r>
      <w:r w:rsidRPr="00E74790">
        <w:rPr>
          <w:lang w:val="uk-UA"/>
        </w:rPr>
        <w:t xml:space="preserve">штраф у розмірі </w:t>
      </w:r>
      <w:r w:rsidR="00B31566">
        <w:rPr>
          <w:lang w:val="uk-UA"/>
        </w:rPr>
        <w:t>85 000</w:t>
      </w:r>
      <w:r w:rsidRPr="00E74790">
        <w:rPr>
          <w:lang w:val="uk-UA"/>
        </w:rPr>
        <w:t xml:space="preserve"> (</w:t>
      </w:r>
      <w:r w:rsidR="00B31566">
        <w:rPr>
          <w:lang w:val="uk-UA"/>
        </w:rPr>
        <w:t xml:space="preserve">вісімдесят п’ять </w:t>
      </w:r>
      <w:r w:rsidRPr="00E74790">
        <w:rPr>
          <w:lang w:val="uk-UA"/>
        </w:rPr>
        <w:t>тисяч) гривень.</w:t>
      </w:r>
    </w:p>
    <w:p w14:paraId="090B6549" w14:textId="434C55DE" w:rsidR="00E74790" w:rsidRPr="006077D8" w:rsidRDefault="00F661C2" w:rsidP="00E74790">
      <w:pPr>
        <w:pStyle w:val="21"/>
        <w:rPr>
          <w:sz w:val="16"/>
          <w:szCs w:val="16"/>
          <w:highlight w:val="yellow"/>
        </w:rPr>
      </w:pPr>
      <w:r w:rsidRPr="0082691A">
        <w:rPr>
          <w:szCs w:val="24"/>
        </w:rPr>
        <w:t>3.</w:t>
      </w:r>
      <w:r w:rsidRPr="00F661C2">
        <w:rPr>
          <w:szCs w:val="24"/>
        </w:rPr>
        <w:t xml:space="preserve"> </w:t>
      </w:r>
      <w:r w:rsidR="00E74790" w:rsidRPr="00926E78">
        <w:rPr>
          <w:szCs w:val="24"/>
        </w:rPr>
        <w:t>Надати</w:t>
      </w:r>
      <w:r w:rsidR="00E74790">
        <w:rPr>
          <w:szCs w:val="24"/>
        </w:rPr>
        <w:t xml:space="preserve"> дозвіл</w:t>
      </w:r>
      <w:r w:rsidR="00E74790">
        <w:t xml:space="preserve"> АКЦІОНЕРНОМУ ТОВАРИСТВУ «ЗАКРИТИЙ НЕДИВЕРСИФІКОВАНИЙ ВЕНЧУРНИЙ КОРПОРАТИВНИЙ ІНВЕСТИЦІЙНИЙ ФОНД «ГЕНЕЗИС КАПІТАЛ» </w:t>
      </w:r>
      <w:r w:rsidR="00E74790" w:rsidRPr="00D5219D">
        <w:t>[</w:t>
      </w:r>
      <w:r w:rsidR="00E74790" w:rsidRPr="00C33810">
        <w:t xml:space="preserve">від імені, за рахунок та в інтересах якого діє </w:t>
      </w:r>
      <w:r w:rsidR="00E74790" w:rsidRPr="0075787B">
        <w:t>ПРИВАТН</w:t>
      </w:r>
      <w:r w:rsidR="00E74790">
        <w:t>Е</w:t>
      </w:r>
      <w:r w:rsidR="00E74790" w:rsidRPr="0075787B">
        <w:t xml:space="preserve"> АКЦІОНЕРН</w:t>
      </w:r>
      <w:r w:rsidR="00E74790">
        <w:t>Е ТОВАРИСТВО</w:t>
      </w:r>
      <w:r w:rsidR="00E74790" w:rsidRPr="0075787B">
        <w:t xml:space="preserve"> «КОМП</w:t>
      </w:r>
      <w:r w:rsidR="00E74790">
        <w:t>АНІЯ</w:t>
      </w:r>
      <w:r w:rsidR="00E74790" w:rsidRPr="0075787B">
        <w:t xml:space="preserve"> З УПРАВЛІННЯ АКТИВАМИ АДМІНІСТРАТОР ПЕНСІЙНОГО ФОНДУ «БРОКБІЗНЕСІНВЕСТ</w:t>
      </w:r>
      <w:r w:rsidR="00E74790" w:rsidRPr="00C33810">
        <w:t>»</w:t>
      </w:r>
      <w:r w:rsidR="00E74790" w:rsidRPr="00D5219D">
        <w:t>]</w:t>
      </w:r>
      <w:r w:rsidR="00E74790">
        <w:t xml:space="preserve"> на придбання </w:t>
      </w:r>
      <w:r w:rsidR="00E74790" w:rsidRPr="0075787B">
        <w:t xml:space="preserve">частки </w:t>
      </w:r>
      <w:r w:rsidR="00E152D6">
        <w:t>у</w:t>
      </w:r>
      <w:r w:rsidR="00E74790" w:rsidRPr="0075787B">
        <w:t xml:space="preserve"> статутному капіталі </w:t>
      </w:r>
      <w:r w:rsidR="00E74790">
        <w:t>ТОВАРИСТВА З ОБМЕЖЕНОЮ ВІДПОВІДАЛЬНІСТЮ «</w:t>
      </w:r>
      <w:r w:rsidR="00E74790" w:rsidRPr="00551F0F">
        <w:t>АМАЛТЕЯ ТРЕЙД</w:t>
      </w:r>
      <w:r w:rsidR="00E74790">
        <w:t>»</w:t>
      </w:r>
      <w:r w:rsidR="00E74790" w:rsidRPr="0075787B">
        <w:t xml:space="preserve">, що забезпечує досягнення </w:t>
      </w:r>
      <w:r w:rsidR="00E74790">
        <w:t xml:space="preserve"> </w:t>
      </w:r>
      <w:r w:rsidR="00E74790" w:rsidRPr="0075787B">
        <w:t>50 відсотків голосів у вищому органі управління товариства</w:t>
      </w:r>
      <w:r w:rsidR="00E74790">
        <w:t>.</w:t>
      </w:r>
    </w:p>
    <w:p w14:paraId="15395B11" w14:textId="77777777" w:rsidR="007B2C48" w:rsidRPr="00E74790" w:rsidRDefault="007B2C48" w:rsidP="00E74790">
      <w:pPr>
        <w:pStyle w:val="12"/>
        <w:tabs>
          <w:tab w:val="left" w:pos="567"/>
        </w:tabs>
        <w:spacing w:after="120" w:line="240" w:lineRule="auto"/>
        <w:ind w:firstLine="709"/>
        <w:jc w:val="both"/>
        <w:rPr>
          <w:rFonts w:ascii="Times New Roman" w:hAnsi="Times New Roman" w:cs="Times New Roman"/>
          <w:sz w:val="24"/>
          <w:szCs w:val="24"/>
        </w:rPr>
      </w:pPr>
      <w:r w:rsidRPr="00E74790">
        <w:rPr>
          <w:rFonts w:ascii="Times New Roman" w:hAnsi="Times New Roman" w:cs="Times New Roman"/>
          <w:sz w:val="24"/>
          <w:szCs w:val="24"/>
        </w:rPr>
        <w:t>Штраф підлягає сплаті у двомісячний строк з дня одержання рішення.</w:t>
      </w:r>
    </w:p>
    <w:p w14:paraId="546761D5" w14:textId="77777777" w:rsidR="007B2C48" w:rsidRDefault="007B2C48" w:rsidP="00674B26">
      <w:pPr>
        <w:spacing w:after="120"/>
        <w:ind w:firstLine="720"/>
        <w:jc w:val="both"/>
        <w:rPr>
          <w:lang w:val="uk-UA"/>
        </w:rPr>
      </w:pPr>
      <w:r w:rsidRPr="006C1894">
        <w:rPr>
          <w:lang w:val="uk-UA"/>
        </w:rPr>
        <w:t>Відповідно до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14:paraId="1D210D3C" w14:textId="27697E20" w:rsidR="007B2C48" w:rsidRPr="006C1894" w:rsidRDefault="007B2C48" w:rsidP="00674B26">
      <w:pPr>
        <w:spacing w:after="120"/>
        <w:ind w:firstLine="720"/>
        <w:jc w:val="both"/>
        <w:rPr>
          <w:lang w:val="uk-UA"/>
        </w:rPr>
      </w:pPr>
      <w:r w:rsidRPr="006C1894">
        <w:rPr>
          <w:lang w:val="uk-UA"/>
        </w:rPr>
        <w:t xml:space="preserve">Рішення може бути оскаржене до </w:t>
      </w:r>
      <w:r w:rsidR="00EF10DB">
        <w:rPr>
          <w:lang w:val="uk-UA"/>
        </w:rPr>
        <w:t>Г</w:t>
      </w:r>
      <w:r w:rsidRPr="006C1894">
        <w:rPr>
          <w:lang w:val="uk-UA"/>
        </w:rPr>
        <w:t>осподарського суду міста Києва у двомісячний строк з дня його одержання.</w:t>
      </w:r>
    </w:p>
    <w:p w14:paraId="18057D02" w14:textId="77777777" w:rsidR="00EC4731" w:rsidRDefault="007B2C48" w:rsidP="007B2C48">
      <w:pPr>
        <w:pStyle w:val="a3"/>
        <w:tabs>
          <w:tab w:val="left" w:pos="7110"/>
        </w:tabs>
        <w:spacing w:before="0" w:beforeAutospacing="0" w:after="0" w:afterAutospacing="0"/>
        <w:jc w:val="both"/>
      </w:pPr>
      <w:r w:rsidRPr="006C1894">
        <w:t xml:space="preserve">         </w:t>
      </w:r>
    </w:p>
    <w:p w14:paraId="259970C6" w14:textId="77777777" w:rsidR="00674B26" w:rsidRPr="006C1894" w:rsidRDefault="00674B26" w:rsidP="007B2C48">
      <w:pPr>
        <w:pStyle w:val="a3"/>
        <w:tabs>
          <w:tab w:val="left" w:pos="7110"/>
        </w:tabs>
        <w:spacing w:before="0" w:beforeAutospacing="0" w:after="0" w:afterAutospacing="0"/>
        <w:jc w:val="both"/>
      </w:pPr>
    </w:p>
    <w:p w14:paraId="0A881481" w14:textId="77777777" w:rsidR="00674B26" w:rsidRPr="007E1315" w:rsidRDefault="00674B26" w:rsidP="00674B2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80"/>
        </w:tabs>
        <w:overflowPunct w:val="0"/>
        <w:autoSpaceDE w:val="0"/>
        <w:autoSpaceDN w:val="0"/>
        <w:adjustRightInd w:val="0"/>
        <w:jc w:val="both"/>
        <w:rPr>
          <w:lang w:val="uk-UA"/>
        </w:rPr>
      </w:pPr>
      <w:r w:rsidRPr="007E1315">
        <w:rPr>
          <w:lang w:val="uk-UA"/>
        </w:rPr>
        <w:t>Голова Комітету</w:t>
      </w:r>
      <w:r w:rsidRPr="007E1315">
        <w:rPr>
          <w:lang w:val="uk-UA"/>
        </w:rPr>
        <w:tab/>
      </w:r>
      <w:r w:rsidRPr="007E1315">
        <w:rPr>
          <w:lang w:val="uk-UA"/>
        </w:rPr>
        <w:tab/>
      </w:r>
      <w:r w:rsidRPr="007E1315">
        <w:rPr>
          <w:lang w:val="uk-UA"/>
        </w:rPr>
        <w:tab/>
      </w:r>
      <w:r w:rsidRPr="007E1315">
        <w:rPr>
          <w:lang w:val="uk-UA"/>
        </w:rPr>
        <w:tab/>
      </w:r>
      <w:r w:rsidRPr="007E1315">
        <w:rPr>
          <w:lang w:val="uk-UA"/>
        </w:rPr>
        <w:tab/>
        <w:t xml:space="preserve">                                         Ольга ПІЩАНСЬКА</w:t>
      </w:r>
    </w:p>
    <w:sectPr w:rsidR="00674B26" w:rsidRPr="007E1315" w:rsidSect="00382F2D">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6ED3A" w14:textId="77777777" w:rsidR="00B21FDB" w:rsidRDefault="00B21FDB" w:rsidP="00DB6F36">
      <w:r>
        <w:separator/>
      </w:r>
    </w:p>
  </w:endnote>
  <w:endnote w:type="continuationSeparator" w:id="0">
    <w:p w14:paraId="08AA4202" w14:textId="77777777" w:rsidR="00B21FDB" w:rsidRDefault="00B21FDB" w:rsidP="00DB6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E4EAEE" w14:textId="77777777" w:rsidR="00B21FDB" w:rsidRDefault="00B21FDB" w:rsidP="00DB6F36">
      <w:r>
        <w:separator/>
      </w:r>
    </w:p>
  </w:footnote>
  <w:footnote w:type="continuationSeparator" w:id="0">
    <w:p w14:paraId="4B7AAD65" w14:textId="77777777" w:rsidR="00B21FDB" w:rsidRDefault="00B21FDB" w:rsidP="00DB6F36">
      <w:r>
        <w:continuationSeparator/>
      </w:r>
    </w:p>
  </w:footnote>
  <w:footnote w:id="1">
    <w:p w14:paraId="22BE5687" w14:textId="77777777" w:rsidR="001E39D7" w:rsidRPr="008C4BAC" w:rsidRDefault="001E39D7" w:rsidP="001E39D7">
      <w:pPr>
        <w:pStyle w:val="ac"/>
        <w:rPr>
          <w:i/>
          <w:lang w:val="uk-UA"/>
        </w:rPr>
      </w:pPr>
      <w:r>
        <w:rPr>
          <w:rStyle w:val="ae"/>
        </w:rPr>
        <w:footnoteRef/>
      </w:r>
      <w:r>
        <w:t xml:space="preserve"> </w:t>
      </w:r>
      <w:r w:rsidRPr="008C4BAC">
        <w:rPr>
          <w:i/>
          <w:lang w:val="uk-UA"/>
        </w:rPr>
        <w:t xml:space="preserve">Іншими 50 % володіє фізична особа </w:t>
      </w:r>
      <w:r w:rsidRPr="00771765">
        <w:rPr>
          <w:color w:val="1F1F1F"/>
          <w:shd w:val="clear" w:color="auto" w:fill="FFFFFF"/>
          <w:lang w:val="uk-UA"/>
        </w:rPr>
        <w:t>–</w:t>
      </w:r>
      <w:r w:rsidRPr="008C4BAC">
        <w:rPr>
          <w:i/>
          <w:lang w:val="uk-UA"/>
        </w:rPr>
        <w:t xml:space="preserve"> громадянка України </w:t>
      </w:r>
      <w:r w:rsidRPr="008C4BAC">
        <w:rPr>
          <w:i/>
          <w:spacing w:val="-2"/>
          <w:lang w:val="uk-UA"/>
        </w:rPr>
        <w:t>Фальченко Л. С.</w:t>
      </w:r>
    </w:p>
  </w:footnote>
  <w:footnote w:id="2">
    <w:p w14:paraId="7B0A2F23" w14:textId="77777777" w:rsidR="001E39D7" w:rsidRPr="00FB36D8" w:rsidRDefault="001E39D7" w:rsidP="001E39D7">
      <w:pPr>
        <w:tabs>
          <w:tab w:val="left" w:pos="0"/>
          <w:tab w:val="left" w:pos="142"/>
          <w:tab w:val="left" w:pos="4820"/>
        </w:tabs>
        <w:jc w:val="both"/>
        <w:rPr>
          <w:i/>
          <w:sz w:val="20"/>
          <w:szCs w:val="20"/>
          <w:lang w:val="uk-UA"/>
        </w:rPr>
      </w:pPr>
      <w:r>
        <w:rPr>
          <w:rStyle w:val="ae"/>
        </w:rPr>
        <w:footnoteRef/>
      </w:r>
      <w:r w:rsidRPr="001E39D7">
        <w:rPr>
          <w:lang w:val="uk-UA"/>
        </w:rPr>
        <w:t xml:space="preserve"> </w:t>
      </w:r>
      <w:r>
        <w:rPr>
          <w:i/>
          <w:sz w:val="20"/>
          <w:szCs w:val="20"/>
          <w:lang w:val="uk-UA"/>
        </w:rPr>
        <w:t xml:space="preserve">Придбання </w:t>
      </w:r>
      <w:r w:rsidRPr="00FB36D8">
        <w:rPr>
          <w:i/>
          <w:sz w:val="20"/>
          <w:szCs w:val="20"/>
          <w:lang w:val="uk-UA"/>
        </w:rPr>
        <w:t xml:space="preserve">АТ «ЗНВКІФ «ГЕНЕЗИС КАПІТАЛ» [від імені, за рахунок та в інтересах якого діє </w:t>
      </w:r>
      <w:r w:rsidR="003966B6">
        <w:rPr>
          <w:i/>
          <w:sz w:val="20"/>
          <w:szCs w:val="20"/>
          <w:lang w:val="uk-UA"/>
        </w:rPr>
        <w:t xml:space="preserve"> </w:t>
      </w:r>
      <w:r w:rsidRPr="00FB36D8">
        <w:rPr>
          <w:i/>
          <w:sz w:val="20"/>
          <w:szCs w:val="20"/>
          <w:lang w:val="uk-UA"/>
        </w:rPr>
        <w:t xml:space="preserve">ПрАТ  «КУА АПФ «БРОКБІЗНЕСІНВЕСТ»] частки у статутному капіталі  </w:t>
      </w:r>
      <w:r w:rsidRPr="00FB36D8">
        <w:rPr>
          <w:i/>
          <w:spacing w:val="-2"/>
          <w:sz w:val="20"/>
          <w:szCs w:val="20"/>
          <w:lang w:val="uk-UA"/>
        </w:rPr>
        <w:t>ТОВ «</w:t>
      </w:r>
      <w:r w:rsidRPr="00FB36D8">
        <w:rPr>
          <w:i/>
          <w:sz w:val="20"/>
          <w:szCs w:val="20"/>
          <w:lang w:val="uk-UA"/>
        </w:rPr>
        <w:t xml:space="preserve">АМАЛТЕЯ»,  що забезпечило досягнення 50 відсотків голосів у вищому органі управління товариства </w:t>
      </w:r>
      <w:r>
        <w:rPr>
          <w:i/>
          <w:sz w:val="20"/>
          <w:szCs w:val="20"/>
          <w:lang w:val="uk-UA"/>
        </w:rPr>
        <w:t>відбулося  09 вересня  2020 року. Зазначене придбання було здійснено з порушення законодавства про захист економічної конкуренції (справа від 13.11.2020 № 126-26.13/110-20).</w:t>
      </w:r>
    </w:p>
    <w:p w14:paraId="50BF5776" w14:textId="77777777" w:rsidR="001E39D7" w:rsidRPr="00FB36D8" w:rsidRDefault="001E39D7" w:rsidP="001E39D7">
      <w:pPr>
        <w:pStyle w:val="ac"/>
        <w:rPr>
          <w:i/>
          <w:lang w:val="uk-U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7621833"/>
      <w:docPartObj>
        <w:docPartGallery w:val="Page Numbers (Top of Page)"/>
        <w:docPartUnique/>
      </w:docPartObj>
    </w:sdtPr>
    <w:sdtEndPr/>
    <w:sdtContent>
      <w:p w14:paraId="271C3FC5" w14:textId="77777777" w:rsidR="00382F2D" w:rsidRDefault="00382F2D">
        <w:pPr>
          <w:pStyle w:val="af"/>
          <w:jc w:val="center"/>
        </w:pPr>
        <w:r>
          <w:fldChar w:fldCharType="begin"/>
        </w:r>
        <w:r>
          <w:instrText>PAGE   \* MERGEFORMAT</w:instrText>
        </w:r>
        <w:r>
          <w:fldChar w:fldCharType="separate"/>
        </w:r>
        <w:r>
          <w:rPr>
            <w:lang w:val="uk-UA"/>
          </w:rPr>
          <w:t>2</w:t>
        </w:r>
        <w:r>
          <w:fldChar w:fldCharType="end"/>
        </w:r>
      </w:p>
    </w:sdtContent>
  </w:sdt>
  <w:p w14:paraId="01C73F6A" w14:textId="77777777" w:rsidR="00382F2D" w:rsidRDefault="00382F2D">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3"/>
        <w:szCs w:val="23"/>
        <w:u w:val="none"/>
      </w:rPr>
    </w:lvl>
    <w:lvl w:ilvl="1">
      <w:start w:val="1"/>
      <w:numFmt w:val="decimal"/>
      <w:lvlText w:val="%1."/>
      <w:lvlJc w:val="left"/>
      <w:rPr>
        <w:b w:val="0"/>
        <w:bCs w:val="0"/>
        <w:i w:val="0"/>
        <w:iCs w:val="0"/>
        <w:smallCaps w:val="0"/>
        <w:strike w:val="0"/>
        <w:color w:val="000000"/>
        <w:spacing w:val="0"/>
        <w:w w:val="100"/>
        <w:position w:val="0"/>
        <w:sz w:val="23"/>
        <w:szCs w:val="23"/>
        <w:u w:val="none"/>
      </w:rPr>
    </w:lvl>
    <w:lvl w:ilvl="2">
      <w:start w:val="1"/>
      <w:numFmt w:val="decimal"/>
      <w:lvlText w:val="%1."/>
      <w:lvlJc w:val="left"/>
      <w:rPr>
        <w:b w:val="0"/>
        <w:bCs w:val="0"/>
        <w:i w:val="0"/>
        <w:iCs w:val="0"/>
        <w:smallCaps w:val="0"/>
        <w:strike w:val="0"/>
        <w:color w:val="000000"/>
        <w:spacing w:val="0"/>
        <w:w w:val="100"/>
        <w:position w:val="0"/>
        <w:sz w:val="23"/>
        <w:szCs w:val="23"/>
        <w:u w:val="none"/>
      </w:rPr>
    </w:lvl>
    <w:lvl w:ilvl="3">
      <w:start w:val="1"/>
      <w:numFmt w:val="decimal"/>
      <w:lvlText w:val="%1."/>
      <w:lvlJc w:val="left"/>
      <w:rPr>
        <w:b w:val="0"/>
        <w:bCs w:val="0"/>
        <w:i w:val="0"/>
        <w:iCs w:val="0"/>
        <w:smallCaps w:val="0"/>
        <w:strike w:val="0"/>
        <w:color w:val="000000"/>
        <w:spacing w:val="0"/>
        <w:w w:val="100"/>
        <w:position w:val="0"/>
        <w:sz w:val="23"/>
        <w:szCs w:val="23"/>
        <w:u w:val="none"/>
      </w:rPr>
    </w:lvl>
    <w:lvl w:ilvl="4">
      <w:start w:val="1"/>
      <w:numFmt w:val="decimal"/>
      <w:lvlText w:val="%1."/>
      <w:lvlJc w:val="left"/>
      <w:rPr>
        <w:b w:val="0"/>
        <w:bCs w:val="0"/>
        <w:i w:val="0"/>
        <w:iCs w:val="0"/>
        <w:smallCaps w:val="0"/>
        <w:strike w:val="0"/>
        <w:color w:val="000000"/>
        <w:spacing w:val="0"/>
        <w:w w:val="100"/>
        <w:position w:val="0"/>
        <w:sz w:val="23"/>
        <w:szCs w:val="23"/>
        <w:u w:val="none"/>
      </w:rPr>
    </w:lvl>
    <w:lvl w:ilvl="5">
      <w:start w:val="1"/>
      <w:numFmt w:val="decimal"/>
      <w:lvlText w:val="%1."/>
      <w:lvlJc w:val="left"/>
      <w:rPr>
        <w:b w:val="0"/>
        <w:bCs w:val="0"/>
        <w:i w:val="0"/>
        <w:iCs w:val="0"/>
        <w:smallCaps w:val="0"/>
        <w:strike w:val="0"/>
        <w:color w:val="000000"/>
        <w:spacing w:val="0"/>
        <w:w w:val="100"/>
        <w:position w:val="0"/>
        <w:sz w:val="23"/>
        <w:szCs w:val="23"/>
        <w:u w:val="none"/>
      </w:rPr>
    </w:lvl>
    <w:lvl w:ilvl="6">
      <w:start w:val="1"/>
      <w:numFmt w:val="decimal"/>
      <w:lvlText w:val="%1."/>
      <w:lvlJc w:val="left"/>
      <w:rPr>
        <w:b w:val="0"/>
        <w:bCs w:val="0"/>
        <w:i w:val="0"/>
        <w:iCs w:val="0"/>
        <w:smallCaps w:val="0"/>
        <w:strike w:val="0"/>
        <w:color w:val="000000"/>
        <w:spacing w:val="0"/>
        <w:w w:val="100"/>
        <w:position w:val="0"/>
        <w:sz w:val="23"/>
        <w:szCs w:val="23"/>
        <w:u w:val="none"/>
      </w:rPr>
    </w:lvl>
    <w:lvl w:ilvl="7">
      <w:start w:val="1"/>
      <w:numFmt w:val="decimal"/>
      <w:lvlText w:val="%1."/>
      <w:lvlJc w:val="left"/>
      <w:rPr>
        <w:b w:val="0"/>
        <w:bCs w:val="0"/>
        <w:i w:val="0"/>
        <w:iCs w:val="0"/>
        <w:smallCaps w:val="0"/>
        <w:strike w:val="0"/>
        <w:color w:val="000000"/>
        <w:spacing w:val="0"/>
        <w:w w:val="100"/>
        <w:position w:val="0"/>
        <w:sz w:val="23"/>
        <w:szCs w:val="23"/>
        <w:u w:val="none"/>
      </w:rPr>
    </w:lvl>
    <w:lvl w:ilvl="8">
      <w:start w:val="1"/>
      <w:numFmt w:val="decimal"/>
      <w:lvlText w:val="%1."/>
      <w:lvlJc w:val="left"/>
      <w:rPr>
        <w:b w:val="0"/>
        <w:bCs w:val="0"/>
        <w:i w:val="0"/>
        <w:iCs w:val="0"/>
        <w:smallCaps w:val="0"/>
        <w:strike w:val="0"/>
        <w:color w:val="000000"/>
        <w:spacing w:val="0"/>
        <w:w w:val="100"/>
        <w:position w:val="0"/>
        <w:sz w:val="23"/>
        <w:szCs w:val="23"/>
        <w:u w:val="none"/>
      </w:rPr>
    </w:lvl>
  </w:abstractNum>
  <w:abstractNum w:abstractNumId="1" w15:restartNumberingAfterBreak="0">
    <w:nsid w:val="1229716C"/>
    <w:multiLevelType w:val="hybridMultilevel"/>
    <w:tmpl w:val="E5686128"/>
    <w:lvl w:ilvl="0" w:tplc="BBA64510">
      <w:start w:val="1"/>
      <w:numFmt w:val="russianLower"/>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8455475"/>
    <w:multiLevelType w:val="hybridMultilevel"/>
    <w:tmpl w:val="DDC0C440"/>
    <w:lvl w:ilvl="0" w:tplc="6016B9AA">
      <w:start w:val="1"/>
      <w:numFmt w:val="decimal"/>
      <w:lvlText w:val="%1."/>
      <w:lvlJc w:val="left"/>
      <w:pPr>
        <w:ind w:left="720" w:hanging="360"/>
      </w:pPr>
      <w:rPr>
        <w:rFonts w:hint="default"/>
      </w:rPr>
    </w:lvl>
    <w:lvl w:ilvl="1" w:tplc="3E1073C6">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97F2809"/>
    <w:multiLevelType w:val="hybridMultilevel"/>
    <w:tmpl w:val="501A89F2"/>
    <w:lvl w:ilvl="0" w:tplc="04220001">
      <w:start w:val="1"/>
      <w:numFmt w:val="bullet"/>
      <w:lvlText w:val=""/>
      <w:lvlJc w:val="left"/>
      <w:pPr>
        <w:ind w:left="720" w:hanging="360"/>
      </w:pPr>
      <w:rPr>
        <w:rFonts w:ascii="Symbol" w:hAnsi="Symbo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0EC79ED"/>
    <w:multiLevelType w:val="hybridMultilevel"/>
    <w:tmpl w:val="0D0CC43A"/>
    <w:lvl w:ilvl="0" w:tplc="5C50F210">
      <w:start w:val="1"/>
      <w:numFmt w:val="decimal"/>
      <w:lvlText w:val="(%1)"/>
      <w:lvlJc w:val="left"/>
      <w:pPr>
        <w:ind w:left="360" w:hanging="360"/>
      </w:pPr>
      <w:rPr>
        <w:rFonts w:hint="default"/>
        <w:b w:val="0"/>
      </w:rPr>
    </w:lvl>
    <w:lvl w:ilvl="1" w:tplc="04220019">
      <w:start w:val="1"/>
      <w:numFmt w:val="lowerLetter"/>
      <w:lvlText w:val="%2."/>
      <w:lvlJc w:val="left"/>
      <w:pPr>
        <w:ind w:left="1080" w:hanging="360"/>
      </w:pPr>
    </w:lvl>
    <w:lvl w:ilvl="2" w:tplc="A4306168">
      <w:start w:val="1"/>
      <w:numFmt w:val="decimal"/>
      <w:lvlText w:val="%3."/>
      <w:lvlJc w:val="left"/>
      <w:pPr>
        <w:ind w:left="2640" w:hanging="1020"/>
      </w:pPr>
      <w:rPr>
        <w:rFonts w:hint="default"/>
      </w:r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5" w15:restartNumberingAfterBreak="0">
    <w:nsid w:val="3897285F"/>
    <w:multiLevelType w:val="hybridMultilevel"/>
    <w:tmpl w:val="0E12061E"/>
    <w:lvl w:ilvl="0" w:tplc="15ACD700">
      <w:start w:val="1"/>
      <w:numFmt w:val="bullet"/>
      <w:lvlText w:val=""/>
      <w:lvlJc w:val="left"/>
      <w:pPr>
        <w:ind w:left="720" w:hanging="360"/>
      </w:pPr>
      <w:rPr>
        <w:rFonts w:ascii="Symbol" w:hAnsi="Symbo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F916938"/>
    <w:multiLevelType w:val="hybridMultilevel"/>
    <w:tmpl w:val="97D428E4"/>
    <w:lvl w:ilvl="0" w:tplc="5F46846A">
      <w:start w:val="14"/>
      <w:numFmt w:val="bullet"/>
      <w:lvlText w:val=""/>
      <w:lvlJc w:val="left"/>
      <w:pPr>
        <w:ind w:left="720" w:hanging="360"/>
      </w:pPr>
      <w:rPr>
        <w:rFonts w:ascii="Symbol" w:eastAsia="Times New Roman" w:hAnsi="Symbol" w:cs="Times New Roman" w:hint="default"/>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DFC7DDE"/>
    <w:multiLevelType w:val="hybridMultilevel"/>
    <w:tmpl w:val="0780F990"/>
    <w:lvl w:ilvl="0" w:tplc="87B0EC3E">
      <w:start w:val="1"/>
      <w:numFmt w:val="decimal"/>
      <w:lvlText w:val="%1."/>
      <w:lvlJc w:val="left"/>
      <w:pPr>
        <w:ind w:left="1440" w:hanging="360"/>
      </w:pPr>
      <w:rPr>
        <w:rFonts w:ascii="Times New Roman" w:hAnsi="Times New Roman" w:hint="default"/>
        <w:b/>
        <w:i w:val="0"/>
        <w:color w:val="auto"/>
        <w:sz w:val="24"/>
      </w:rPr>
    </w:lvl>
    <w:lvl w:ilvl="1" w:tplc="04220019" w:tentative="1">
      <w:start w:val="1"/>
      <w:numFmt w:val="lowerLetter"/>
      <w:lvlText w:val="%2."/>
      <w:lvlJc w:val="left"/>
      <w:pPr>
        <w:ind w:left="2160" w:hanging="360"/>
      </w:pPr>
    </w:lvl>
    <w:lvl w:ilvl="2" w:tplc="0422001B">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8" w15:restartNumberingAfterBreak="0">
    <w:nsid w:val="4E6C57C1"/>
    <w:multiLevelType w:val="hybridMultilevel"/>
    <w:tmpl w:val="575CDB1C"/>
    <w:lvl w:ilvl="0" w:tplc="3A72714E">
      <w:start w:val="1"/>
      <w:numFmt w:val="lowerRoman"/>
      <w:lvlText w:val="(%1)"/>
      <w:lvlJc w:val="left"/>
      <w:pPr>
        <w:ind w:left="360" w:hanging="360"/>
      </w:pPr>
      <w:rPr>
        <w:rFonts w:cs="Times New Roman" w:hint="default"/>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9" w15:restartNumberingAfterBreak="0">
    <w:nsid w:val="510320CF"/>
    <w:multiLevelType w:val="multilevel"/>
    <w:tmpl w:val="0B9475BA"/>
    <w:lvl w:ilvl="0">
      <w:start w:val="1"/>
      <w:numFmt w:val="decimal"/>
      <w:lvlText w:val="(%1."/>
      <w:lvlJc w:val="left"/>
      <w:pPr>
        <w:ind w:left="450" w:hanging="450"/>
      </w:pPr>
      <w:rPr>
        <w:rFonts w:hint="default"/>
      </w:rPr>
    </w:lvl>
    <w:lvl w:ilvl="1">
      <w:start w:val="1"/>
      <w:numFmt w:val="decimal"/>
      <w:lvlText w:val="(%2)"/>
      <w:lvlJc w:val="left"/>
      <w:pPr>
        <w:ind w:left="1440" w:hanging="720"/>
      </w:pPr>
      <w:rPr>
        <w:rFonts w:ascii="Times New Roman" w:eastAsia="Times New Roman" w:hAnsi="Times New Roman" w:cs="Times New Roman"/>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6C8E5B40"/>
    <w:multiLevelType w:val="multilevel"/>
    <w:tmpl w:val="443074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F67204C"/>
    <w:multiLevelType w:val="hybridMultilevel"/>
    <w:tmpl w:val="C6F66038"/>
    <w:lvl w:ilvl="0" w:tplc="54EA17A0">
      <w:start w:val="1"/>
      <w:numFmt w:val="decimal"/>
      <w:lvlText w:val="(%1)"/>
      <w:lvlJc w:val="left"/>
      <w:pPr>
        <w:ind w:left="360" w:hanging="360"/>
      </w:pPr>
      <w:rPr>
        <w:rFonts w:cs="Times New Roman" w:hint="default"/>
      </w:rPr>
    </w:lvl>
    <w:lvl w:ilvl="1" w:tplc="C4F6B5F6">
      <w:start w:val="1"/>
      <w:numFmt w:val="bullet"/>
      <w:lvlText w:val="-"/>
      <w:lvlJc w:val="left"/>
      <w:pPr>
        <w:ind w:left="2359" w:hanging="570"/>
      </w:pPr>
      <w:rPr>
        <w:rFonts w:ascii="Times New Roman" w:eastAsia="Times New Roman" w:hAnsi="Times New Roman" w:hint="default"/>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2" w15:restartNumberingAfterBreak="0">
    <w:nsid w:val="6FB553DF"/>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12B4EEE"/>
    <w:multiLevelType w:val="hybridMultilevel"/>
    <w:tmpl w:val="A5729148"/>
    <w:lvl w:ilvl="0" w:tplc="54EA17A0">
      <w:start w:val="1"/>
      <w:numFmt w:val="decimal"/>
      <w:lvlText w:val="(%1)"/>
      <w:lvlJc w:val="left"/>
      <w:pPr>
        <w:ind w:left="720" w:hanging="360"/>
      </w:pPr>
      <w:rPr>
        <w:rFonts w:hint="default"/>
      </w:rPr>
    </w:lvl>
    <w:lvl w:ilvl="1" w:tplc="54EA17A0">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32F2C1E"/>
    <w:multiLevelType w:val="hybridMultilevel"/>
    <w:tmpl w:val="AD6A3E02"/>
    <w:lvl w:ilvl="0" w:tplc="888A7CA0">
      <w:start w:val="1"/>
      <w:numFmt w:val="decimal"/>
      <w:lvlText w:val="(%1)"/>
      <w:lvlJc w:val="left"/>
      <w:pPr>
        <w:ind w:left="720" w:hanging="360"/>
      </w:pPr>
      <w:rPr>
        <w:rFonts w:hint="default"/>
        <w:b w:val="0"/>
        <w:color w:val="00000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6E04073"/>
    <w:multiLevelType w:val="hybridMultilevel"/>
    <w:tmpl w:val="466E664E"/>
    <w:lvl w:ilvl="0" w:tplc="64407C64">
      <w:start w:val="1"/>
      <w:numFmt w:val="decimal"/>
      <w:lvlText w:val="(%1)"/>
      <w:lvlJc w:val="left"/>
      <w:pPr>
        <w:ind w:left="502" w:hanging="360"/>
      </w:pPr>
      <w:rPr>
        <w:rFonts w:hint="default"/>
        <w:b w:val="0"/>
        <w:i w:val="0"/>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4"/>
  </w:num>
  <w:num w:numId="2">
    <w:abstractNumId w:val="2"/>
  </w:num>
  <w:num w:numId="3">
    <w:abstractNumId w:val="1"/>
  </w:num>
  <w:num w:numId="4">
    <w:abstractNumId w:val="11"/>
  </w:num>
  <w:num w:numId="5">
    <w:abstractNumId w:val="12"/>
  </w:num>
  <w:num w:numId="6">
    <w:abstractNumId w:val="8"/>
  </w:num>
  <w:num w:numId="7">
    <w:abstractNumId w:val="3"/>
  </w:num>
  <w:num w:numId="8">
    <w:abstractNumId w:val="5"/>
  </w:num>
  <w:num w:numId="9">
    <w:abstractNumId w:val="6"/>
  </w:num>
  <w:num w:numId="10">
    <w:abstractNumId w:val="13"/>
  </w:num>
  <w:num w:numId="11">
    <w:abstractNumId w:val="7"/>
  </w:num>
  <w:num w:numId="12">
    <w:abstractNumId w:val="15"/>
  </w:num>
  <w:num w:numId="13">
    <w:abstractNumId w:val="10"/>
  </w:num>
  <w:num w:numId="14">
    <w:abstractNumId w:val="14"/>
  </w:num>
  <w:num w:numId="15">
    <w:abstractNumId w:val="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C48"/>
    <w:rsid w:val="00001DB9"/>
    <w:rsid w:val="0001231B"/>
    <w:rsid w:val="00075602"/>
    <w:rsid w:val="000764F6"/>
    <w:rsid w:val="00084256"/>
    <w:rsid w:val="00096791"/>
    <w:rsid w:val="000D1A32"/>
    <w:rsid w:val="000E2725"/>
    <w:rsid w:val="000E2D5F"/>
    <w:rsid w:val="00107B7E"/>
    <w:rsid w:val="00151339"/>
    <w:rsid w:val="00197FBB"/>
    <w:rsid w:val="001B6B7F"/>
    <w:rsid w:val="001E0C19"/>
    <w:rsid w:val="001E39D7"/>
    <w:rsid w:val="001F1020"/>
    <w:rsid w:val="00220346"/>
    <w:rsid w:val="0022064B"/>
    <w:rsid w:val="00243045"/>
    <w:rsid w:val="00250954"/>
    <w:rsid w:val="00250D07"/>
    <w:rsid w:val="00263853"/>
    <w:rsid w:val="00294EED"/>
    <w:rsid w:val="00296CE1"/>
    <w:rsid w:val="002B4B3F"/>
    <w:rsid w:val="002F07D8"/>
    <w:rsid w:val="0032103D"/>
    <w:rsid w:val="0036436F"/>
    <w:rsid w:val="003810BC"/>
    <w:rsid w:val="00382F2D"/>
    <w:rsid w:val="003966B6"/>
    <w:rsid w:val="003C5CBE"/>
    <w:rsid w:val="00431219"/>
    <w:rsid w:val="00436232"/>
    <w:rsid w:val="00462144"/>
    <w:rsid w:val="00472EA0"/>
    <w:rsid w:val="004746E1"/>
    <w:rsid w:val="00491B0B"/>
    <w:rsid w:val="004B3135"/>
    <w:rsid w:val="004D234F"/>
    <w:rsid w:val="004F10F8"/>
    <w:rsid w:val="0053054B"/>
    <w:rsid w:val="005D6CD9"/>
    <w:rsid w:val="005E36D5"/>
    <w:rsid w:val="005F1FD5"/>
    <w:rsid w:val="00674B26"/>
    <w:rsid w:val="006A0F25"/>
    <w:rsid w:val="006B0102"/>
    <w:rsid w:val="00711615"/>
    <w:rsid w:val="007153E1"/>
    <w:rsid w:val="00744CE1"/>
    <w:rsid w:val="007458D1"/>
    <w:rsid w:val="00784049"/>
    <w:rsid w:val="007B2C48"/>
    <w:rsid w:val="007C05BB"/>
    <w:rsid w:val="007C29FB"/>
    <w:rsid w:val="007C6E28"/>
    <w:rsid w:val="007D3FEC"/>
    <w:rsid w:val="0082691A"/>
    <w:rsid w:val="00834FCE"/>
    <w:rsid w:val="0086062C"/>
    <w:rsid w:val="00870A0E"/>
    <w:rsid w:val="008A035C"/>
    <w:rsid w:val="008D4A05"/>
    <w:rsid w:val="008F0BDA"/>
    <w:rsid w:val="008F341C"/>
    <w:rsid w:val="00905670"/>
    <w:rsid w:val="009065E9"/>
    <w:rsid w:val="00911FFE"/>
    <w:rsid w:val="0094012B"/>
    <w:rsid w:val="00962B8D"/>
    <w:rsid w:val="009804BC"/>
    <w:rsid w:val="009D05DC"/>
    <w:rsid w:val="00A11224"/>
    <w:rsid w:val="00A23FCC"/>
    <w:rsid w:val="00A51C9B"/>
    <w:rsid w:val="00A55449"/>
    <w:rsid w:val="00A6714F"/>
    <w:rsid w:val="00A77A4C"/>
    <w:rsid w:val="00A9651D"/>
    <w:rsid w:val="00AA27C9"/>
    <w:rsid w:val="00AB72FE"/>
    <w:rsid w:val="00AD0090"/>
    <w:rsid w:val="00AD06A5"/>
    <w:rsid w:val="00AE2018"/>
    <w:rsid w:val="00AE3AE5"/>
    <w:rsid w:val="00AF299F"/>
    <w:rsid w:val="00AF5737"/>
    <w:rsid w:val="00B0042D"/>
    <w:rsid w:val="00B06E81"/>
    <w:rsid w:val="00B171D5"/>
    <w:rsid w:val="00B21FDB"/>
    <w:rsid w:val="00B31566"/>
    <w:rsid w:val="00B4474F"/>
    <w:rsid w:val="00B8704D"/>
    <w:rsid w:val="00BC2E52"/>
    <w:rsid w:val="00C013C5"/>
    <w:rsid w:val="00C06437"/>
    <w:rsid w:val="00C11053"/>
    <w:rsid w:val="00C53DF6"/>
    <w:rsid w:val="00C678BC"/>
    <w:rsid w:val="00CD295A"/>
    <w:rsid w:val="00CE5EAB"/>
    <w:rsid w:val="00D40BA0"/>
    <w:rsid w:val="00D52991"/>
    <w:rsid w:val="00D87BD5"/>
    <w:rsid w:val="00D974A4"/>
    <w:rsid w:val="00DB0F0E"/>
    <w:rsid w:val="00DB6F36"/>
    <w:rsid w:val="00DD371D"/>
    <w:rsid w:val="00E02AE3"/>
    <w:rsid w:val="00E03CF3"/>
    <w:rsid w:val="00E152D6"/>
    <w:rsid w:val="00E4455F"/>
    <w:rsid w:val="00E62CE3"/>
    <w:rsid w:val="00E74790"/>
    <w:rsid w:val="00E807C0"/>
    <w:rsid w:val="00E9480A"/>
    <w:rsid w:val="00EA09F2"/>
    <w:rsid w:val="00EA1952"/>
    <w:rsid w:val="00EB0AA1"/>
    <w:rsid w:val="00EB4FF2"/>
    <w:rsid w:val="00EC4731"/>
    <w:rsid w:val="00EF10DB"/>
    <w:rsid w:val="00F44878"/>
    <w:rsid w:val="00F516A7"/>
    <w:rsid w:val="00F661C2"/>
    <w:rsid w:val="00FA0E26"/>
    <w:rsid w:val="00FA3E28"/>
    <w:rsid w:val="00FB2657"/>
    <w:rsid w:val="00FB5889"/>
    <w:rsid w:val="00FF7E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00616"/>
  <w15:docId w15:val="{F52DD742-A8DF-4B7A-8476-39E5B2DA8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B2C4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8704D"/>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8F341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B010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B2C48"/>
    <w:pPr>
      <w:spacing w:before="100" w:beforeAutospacing="1" w:after="100" w:afterAutospacing="1"/>
    </w:pPr>
    <w:rPr>
      <w:lang w:val="uk-UA" w:eastAsia="uk-UA"/>
    </w:rPr>
  </w:style>
  <w:style w:type="paragraph" w:styleId="a4">
    <w:name w:val="Balloon Text"/>
    <w:basedOn w:val="a"/>
    <w:link w:val="a5"/>
    <w:uiPriority w:val="99"/>
    <w:semiHidden/>
    <w:unhideWhenUsed/>
    <w:rsid w:val="007B2C48"/>
    <w:rPr>
      <w:rFonts w:ascii="Tahoma" w:hAnsi="Tahoma" w:cs="Tahoma"/>
      <w:sz w:val="16"/>
      <w:szCs w:val="16"/>
    </w:rPr>
  </w:style>
  <w:style w:type="character" w:customStyle="1" w:styleId="a5">
    <w:name w:val="Текст у виносці Знак"/>
    <w:basedOn w:val="a0"/>
    <w:link w:val="a4"/>
    <w:uiPriority w:val="99"/>
    <w:semiHidden/>
    <w:rsid w:val="007B2C48"/>
    <w:rPr>
      <w:rFonts w:ascii="Tahoma" w:eastAsia="Times New Roman" w:hAnsi="Tahoma" w:cs="Tahoma"/>
      <w:sz w:val="16"/>
      <w:szCs w:val="16"/>
      <w:lang w:val="ru-RU" w:eastAsia="ru-RU"/>
    </w:rPr>
  </w:style>
  <w:style w:type="character" w:customStyle="1" w:styleId="10">
    <w:name w:val="Заголовок 1 Знак"/>
    <w:basedOn w:val="a0"/>
    <w:link w:val="1"/>
    <w:rsid w:val="00B8704D"/>
    <w:rPr>
      <w:rFonts w:ascii="Cambria" w:eastAsia="Times New Roman" w:hAnsi="Cambria" w:cs="Times New Roman"/>
      <w:b/>
      <w:bCs/>
      <w:kern w:val="32"/>
      <w:sz w:val="32"/>
      <w:szCs w:val="32"/>
      <w:lang w:val="ru-RU" w:eastAsia="ru-RU"/>
    </w:rPr>
  </w:style>
  <w:style w:type="paragraph" w:customStyle="1" w:styleId="11">
    <w:name w:val="Абзац списка1"/>
    <w:basedOn w:val="a"/>
    <w:rsid w:val="00B8704D"/>
    <w:pPr>
      <w:ind w:left="720"/>
      <w:contextualSpacing/>
    </w:pPr>
    <w:rPr>
      <w:rFonts w:eastAsia="Calibri"/>
    </w:rPr>
  </w:style>
  <w:style w:type="character" w:customStyle="1" w:styleId="30">
    <w:name w:val="Заголовок 3 Знак"/>
    <w:basedOn w:val="a0"/>
    <w:link w:val="3"/>
    <w:uiPriority w:val="9"/>
    <w:semiHidden/>
    <w:rsid w:val="006B0102"/>
    <w:rPr>
      <w:rFonts w:asciiTheme="majorHAnsi" w:eastAsiaTheme="majorEastAsia" w:hAnsiTheme="majorHAnsi" w:cstheme="majorBidi"/>
      <w:b/>
      <w:bCs/>
      <w:color w:val="4F81BD" w:themeColor="accent1"/>
      <w:sz w:val="24"/>
      <w:szCs w:val="24"/>
      <w:lang w:val="ru-RU" w:eastAsia="ru-RU"/>
    </w:rPr>
  </w:style>
  <w:style w:type="character" w:styleId="a6">
    <w:name w:val="annotation reference"/>
    <w:basedOn w:val="a0"/>
    <w:uiPriority w:val="99"/>
    <w:semiHidden/>
    <w:unhideWhenUsed/>
    <w:rsid w:val="00CD295A"/>
    <w:rPr>
      <w:sz w:val="16"/>
      <w:szCs w:val="16"/>
    </w:rPr>
  </w:style>
  <w:style w:type="paragraph" w:styleId="a7">
    <w:name w:val="annotation text"/>
    <w:basedOn w:val="a"/>
    <w:link w:val="a8"/>
    <w:uiPriority w:val="99"/>
    <w:semiHidden/>
    <w:unhideWhenUsed/>
    <w:rsid w:val="00CD295A"/>
    <w:rPr>
      <w:sz w:val="20"/>
      <w:szCs w:val="20"/>
    </w:rPr>
  </w:style>
  <w:style w:type="character" w:customStyle="1" w:styleId="a8">
    <w:name w:val="Текст примітки Знак"/>
    <w:basedOn w:val="a0"/>
    <w:link w:val="a7"/>
    <w:uiPriority w:val="99"/>
    <w:semiHidden/>
    <w:rsid w:val="00CD295A"/>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CD295A"/>
    <w:rPr>
      <w:b/>
      <w:bCs/>
    </w:rPr>
  </w:style>
  <w:style w:type="character" w:customStyle="1" w:styleId="aa">
    <w:name w:val="Тема примітки Знак"/>
    <w:basedOn w:val="a8"/>
    <w:link w:val="a9"/>
    <w:uiPriority w:val="99"/>
    <w:semiHidden/>
    <w:rsid w:val="00CD295A"/>
    <w:rPr>
      <w:rFonts w:ascii="Times New Roman" w:eastAsia="Times New Roman" w:hAnsi="Times New Roman" w:cs="Times New Roman"/>
      <w:b/>
      <w:bCs/>
      <w:sz w:val="20"/>
      <w:szCs w:val="20"/>
      <w:lang w:val="ru-RU" w:eastAsia="ru-RU"/>
    </w:rPr>
  </w:style>
  <w:style w:type="paragraph" w:styleId="ab">
    <w:name w:val="List Paragraph"/>
    <w:basedOn w:val="a"/>
    <w:uiPriority w:val="34"/>
    <w:qFormat/>
    <w:rsid w:val="00744CE1"/>
    <w:pPr>
      <w:ind w:left="720"/>
      <w:contextualSpacing/>
    </w:pPr>
  </w:style>
  <w:style w:type="paragraph" w:styleId="ac">
    <w:name w:val="footnote text"/>
    <w:basedOn w:val="a"/>
    <w:link w:val="ad"/>
    <w:uiPriority w:val="99"/>
    <w:unhideWhenUsed/>
    <w:rsid w:val="00DB6F36"/>
    <w:rPr>
      <w:sz w:val="20"/>
      <w:szCs w:val="20"/>
    </w:rPr>
  </w:style>
  <w:style w:type="character" w:customStyle="1" w:styleId="ad">
    <w:name w:val="Текст виноски Знак"/>
    <w:basedOn w:val="a0"/>
    <w:link w:val="ac"/>
    <w:uiPriority w:val="99"/>
    <w:rsid w:val="00DB6F36"/>
    <w:rPr>
      <w:rFonts w:ascii="Times New Roman" w:eastAsia="Times New Roman" w:hAnsi="Times New Roman" w:cs="Times New Roman"/>
      <w:sz w:val="20"/>
      <w:szCs w:val="20"/>
      <w:lang w:val="ru-RU" w:eastAsia="ru-RU"/>
    </w:rPr>
  </w:style>
  <w:style w:type="character" w:styleId="ae">
    <w:name w:val="footnote reference"/>
    <w:basedOn w:val="a0"/>
    <w:unhideWhenUsed/>
    <w:rsid w:val="00DB6F36"/>
    <w:rPr>
      <w:vertAlign w:val="superscript"/>
    </w:rPr>
  </w:style>
  <w:style w:type="paragraph" w:styleId="af">
    <w:name w:val="header"/>
    <w:basedOn w:val="a"/>
    <w:link w:val="af0"/>
    <w:uiPriority w:val="99"/>
    <w:unhideWhenUsed/>
    <w:rsid w:val="00AA27C9"/>
    <w:pPr>
      <w:tabs>
        <w:tab w:val="center" w:pos="4819"/>
        <w:tab w:val="right" w:pos="9639"/>
      </w:tabs>
    </w:pPr>
  </w:style>
  <w:style w:type="character" w:customStyle="1" w:styleId="af0">
    <w:name w:val="Верхній колонтитул Знак"/>
    <w:basedOn w:val="a0"/>
    <w:link w:val="af"/>
    <w:uiPriority w:val="99"/>
    <w:rsid w:val="00AA27C9"/>
    <w:rPr>
      <w:rFonts w:ascii="Times New Roman" w:eastAsia="Times New Roman" w:hAnsi="Times New Roman" w:cs="Times New Roman"/>
      <w:sz w:val="24"/>
      <w:szCs w:val="24"/>
      <w:lang w:val="ru-RU" w:eastAsia="ru-RU"/>
    </w:rPr>
  </w:style>
  <w:style w:type="paragraph" w:styleId="af1">
    <w:name w:val="footer"/>
    <w:basedOn w:val="a"/>
    <w:link w:val="af2"/>
    <w:uiPriority w:val="99"/>
    <w:unhideWhenUsed/>
    <w:rsid w:val="00AA27C9"/>
    <w:pPr>
      <w:tabs>
        <w:tab w:val="center" w:pos="4819"/>
        <w:tab w:val="right" w:pos="9639"/>
      </w:tabs>
    </w:pPr>
  </w:style>
  <w:style w:type="character" w:customStyle="1" w:styleId="af2">
    <w:name w:val="Нижній колонтитул Знак"/>
    <w:basedOn w:val="a0"/>
    <w:link w:val="af1"/>
    <w:uiPriority w:val="99"/>
    <w:rsid w:val="00AA27C9"/>
    <w:rPr>
      <w:rFonts w:ascii="Times New Roman" w:eastAsia="Times New Roman" w:hAnsi="Times New Roman" w:cs="Times New Roman"/>
      <w:sz w:val="24"/>
      <w:szCs w:val="24"/>
      <w:lang w:val="ru-RU" w:eastAsia="ru-RU"/>
    </w:rPr>
  </w:style>
  <w:style w:type="character" w:customStyle="1" w:styleId="af3">
    <w:name w:val="Основной текст_"/>
    <w:link w:val="12"/>
    <w:uiPriority w:val="99"/>
    <w:rsid w:val="00834FCE"/>
  </w:style>
  <w:style w:type="paragraph" w:customStyle="1" w:styleId="12">
    <w:name w:val="Основной текст1"/>
    <w:basedOn w:val="a"/>
    <w:link w:val="af3"/>
    <w:uiPriority w:val="99"/>
    <w:rsid w:val="00834FCE"/>
    <w:pPr>
      <w:widowControl w:val="0"/>
      <w:spacing w:after="240" w:line="262" w:lineRule="auto"/>
      <w:ind w:firstLine="400"/>
    </w:pPr>
    <w:rPr>
      <w:rFonts w:asciiTheme="minorHAnsi" w:eastAsiaTheme="minorHAnsi" w:hAnsiTheme="minorHAnsi" w:cstheme="minorBidi"/>
      <w:sz w:val="22"/>
      <w:szCs w:val="22"/>
      <w:lang w:val="uk-UA" w:eastAsia="en-US"/>
    </w:rPr>
  </w:style>
  <w:style w:type="paragraph" w:customStyle="1" w:styleId="21">
    <w:name w:val="Основной текст 21"/>
    <w:basedOn w:val="a"/>
    <w:qFormat/>
    <w:rsid w:val="00834FCE"/>
    <w:pPr>
      <w:overflowPunct w:val="0"/>
      <w:autoSpaceDE w:val="0"/>
      <w:autoSpaceDN w:val="0"/>
      <w:adjustRightInd w:val="0"/>
      <w:ind w:firstLine="720"/>
      <w:jc w:val="both"/>
      <w:textAlignment w:val="baseline"/>
    </w:pPr>
    <w:rPr>
      <w:szCs w:val="20"/>
      <w:lang w:val="uk-UA" w:eastAsia="uk-UA"/>
    </w:rPr>
  </w:style>
  <w:style w:type="character" w:customStyle="1" w:styleId="20">
    <w:name w:val="Заголовок 2 Знак"/>
    <w:basedOn w:val="a0"/>
    <w:link w:val="2"/>
    <w:uiPriority w:val="9"/>
    <w:semiHidden/>
    <w:rsid w:val="008F341C"/>
    <w:rPr>
      <w:rFonts w:asciiTheme="majorHAnsi" w:eastAsiaTheme="majorEastAsia" w:hAnsiTheme="majorHAnsi" w:cstheme="majorBidi"/>
      <w:b/>
      <w:bCs/>
      <w:color w:val="4F81BD" w:themeColor="accent1"/>
      <w:sz w:val="26"/>
      <w:szCs w:val="26"/>
      <w:lang w:val="ru-RU" w:eastAsia="ru-RU"/>
    </w:rPr>
  </w:style>
  <w:style w:type="paragraph" w:customStyle="1" w:styleId="211">
    <w:name w:val="Основной текст 211"/>
    <w:basedOn w:val="a"/>
    <w:rsid w:val="00711615"/>
    <w:pPr>
      <w:overflowPunct w:val="0"/>
      <w:autoSpaceDE w:val="0"/>
      <w:autoSpaceDN w:val="0"/>
      <w:adjustRightInd w:val="0"/>
      <w:ind w:firstLine="720"/>
      <w:jc w:val="both"/>
    </w:pPr>
    <w:rPr>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558B99-CE08-44E2-AE13-DE853A691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7653</Words>
  <Characters>4363</Characters>
  <Application>Microsoft Office Word</Application>
  <DocSecurity>0</DocSecurity>
  <Lines>36</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Федорчук Даніїл Едуардович</dc:creator>
  <cp:lastModifiedBy>Ільєнко Юлія Вікторівна</cp:lastModifiedBy>
  <cp:revision>4</cp:revision>
  <cp:lastPrinted>2023-09-12T10:18:00Z</cp:lastPrinted>
  <dcterms:created xsi:type="dcterms:W3CDTF">2023-09-12T10:08:00Z</dcterms:created>
  <dcterms:modified xsi:type="dcterms:W3CDTF">2023-09-12T10:18:00Z</dcterms:modified>
</cp:coreProperties>
</file>