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6F" w:rsidRDefault="00771D6F" w:rsidP="00771D6F">
      <w:pPr>
        <w:overflowPunct w:val="0"/>
        <w:autoSpaceDE w:val="0"/>
        <w:autoSpaceDN w:val="0"/>
        <w:adjustRightInd w:val="0"/>
        <w:ind w:right="113"/>
        <w:jc w:val="center"/>
        <w:textAlignment w:val="baseline"/>
        <w:rPr>
          <w:rFonts w:ascii="Baltica" w:hAnsi="Baltica"/>
          <w:sz w:val="22"/>
          <w:szCs w:val="20"/>
          <w:lang w:val="uk-UA" w:eastAsia="uk-UA"/>
        </w:rPr>
      </w:pPr>
      <w:bookmarkStart w:id="0" w:name="_GoBack"/>
      <w:bookmarkEnd w:id="0"/>
      <w:r>
        <w:rPr>
          <w:rFonts w:ascii="Baltica" w:hAnsi="Baltica"/>
          <w:noProof/>
          <w:szCs w:val="20"/>
          <w:lang w:val="uk-UA" w:eastAsia="uk-UA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6F" w:rsidRDefault="00771D6F" w:rsidP="00771D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altica" w:hAnsi="Baltica"/>
          <w:sz w:val="16"/>
          <w:szCs w:val="16"/>
          <w:lang w:val="uk-UA" w:eastAsia="uk-UA"/>
        </w:rPr>
      </w:pPr>
    </w:p>
    <w:p w:rsidR="00771D6F" w:rsidRPr="00310AA9" w:rsidRDefault="00771D6F" w:rsidP="00771D6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uk-UA" w:eastAsia="uk-UA"/>
        </w:rPr>
      </w:pPr>
      <w:r w:rsidRPr="00310AA9">
        <w:rPr>
          <w:b/>
          <w:sz w:val="32"/>
          <w:szCs w:val="32"/>
          <w:lang w:val="uk-UA" w:eastAsia="uk-UA"/>
        </w:rPr>
        <w:t>АНТИМОНОПОЛЬНИЙ   КОМІТЕТ   УКРАЇНИ</w:t>
      </w:r>
    </w:p>
    <w:p w:rsidR="00771D6F" w:rsidRPr="00310AA9" w:rsidRDefault="00771D6F" w:rsidP="00771D6F">
      <w:pPr>
        <w:tabs>
          <w:tab w:val="left" w:leader="hyphen" w:pos="10206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  <w:lang w:val="uk-UA" w:eastAsia="uk-UA"/>
        </w:rPr>
      </w:pPr>
    </w:p>
    <w:p w:rsidR="00771D6F" w:rsidRPr="00310AA9" w:rsidRDefault="00771D6F" w:rsidP="00771D6F">
      <w:pPr>
        <w:tabs>
          <w:tab w:val="left" w:leader="hyphen" w:pos="1020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uk-UA" w:eastAsia="uk-UA"/>
        </w:rPr>
      </w:pPr>
      <w:r w:rsidRPr="00310AA9">
        <w:rPr>
          <w:b/>
          <w:sz w:val="32"/>
          <w:szCs w:val="32"/>
          <w:lang w:val="uk-UA" w:eastAsia="uk-UA"/>
        </w:rPr>
        <w:t>РОЗПОРЯДЖЕННЯ</w:t>
      </w:r>
    </w:p>
    <w:p w:rsidR="00771D6F" w:rsidRPr="00310AA9" w:rsidRDefault="00771D6F" w:rsidP="00771D6F">
      <w:pPr>
        <w:tabs>
          <w:tab w:val="left" w:leader="hyphen" w:pos="1020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val="uk-UA" w:eastAsia="uk-UA"/>
        </w:rPr>
      </w:pPr>
    </w:p>
    <w:p w:rsidR="00771D6F" w:rsidRPr="00310AA9" w:rsidRDefault="00771D6F" w:rsidP="00771D6F">
      <w:pPr>
        <w:tabs>
          <w:tab w:val="left" w:leader="hyphen" w:pos="10206"/>
        </w:tabs>
        <w:overflowPunct w:val="0"/>
        <w:autoSpaceDE w:val="0"/>
        <w:autoSpaceDN w:val="0"/>
        <w:adjustRightInd w:val="0"/>
        <w:textAlignment w:val="baseline"/>
        <w:rPr>
          <w:bCs/>
          <w:lang w:val="uk-UA" w:eastAsia="uk-UA"/>
        </w:rPr>
      </w:pPr>
    </w:p>
    <w:p w:rsidR="00771D6F" w:rsidRPr="00310AA9" w:rsidRDefault="002E4F5B" w:rsidP="00771D6F">
      <w:pPr>
        <w:tabs>
          <w:tab w:val="left" w:leader="hyphen" w:pos="10206"/>
        </w:tabs>
        <w:overflowPunct w:val="0"/>
        <w:autoSpaceDE w:val="0"/>
        <w:autoSpaceDN w:val="0"/>
        <w:adjustRightInd w:val="0"/>
        <w:textAlignment w:val="baseline"/>
        <w:rPr>
          <w:lang w:val="uk-UA" w:eastAsia="uk-UA"/>
        </w:rPr>
      </w:pPr>
      <w:r>
        <w:rPr>
          <w:lang w:val="uk-UA" w:eastAsia="uk-UA"/>
        </w:rPr>
        <w:t>15</w:t>
      </w:r>
      <w:r w:rsidR="001313F1" w:rsidRPr="00310AA9">
        <w:rPr>
          <w:lang w:val="uk-UA" w:eastAsia="uk-UA"/>
        </w:rPr>
        <w:t xml:space="preserve"> серпня</w:t>
      </w:r>
      <w:r w:rsidR="00574CAA" w:rsidRPr="00310AA9">
        <w:rPr>
          <w:lang w:val="uk-UA" w:eastAsia="uk-UA"/>
        </w:rPr>
        <w:t xml:space="preserve"> </w:t>
      </w:r>
      <w:r w:rsidR="00AB2AB2" w:rsidRPr="00310AA9">
        <w:rPr>
          <w:lang w:val="uk-UA" w:eastAsia="uk-UA"/>
        </w:rPr>
        <w:t>202</w:t>
      </w:r>
      <w:r w:rsidR="00574CAA" w:rsidRPr="00310AA9">
        <w:rPr>
          <w:lang w:val="uk-UA" w:eastAsia="uk-UA"/>
        </w:rPr>
        <w:t>4</w:t>
      </w:r>
      <w:r w:rsidR="00771D6F" w:rsidRPr="00310AA9">
        <w:rPr>
          <w:lang w:val="uk-UA" w:eastAsia="uk-UA"/>
        </w:rPr>
        <w:t xml:space="preserve"> р.</w:t>
      </w:r>
      <w:r w:rsidR="001A0F4F" w:rsidRPr="00310AA9">
        <w:rPr>
          <w:lang w:val="uk-UA" w:eastAsia="uk-UA"/>
        </w:rPr>
        <w:t xml:space="preserve">        </w:t>
      </w:r>
      <w:r w:rsidR="00771D6F" w:rsidRPr="00310AA9">
        <w:rPr>
          <w:lang w:val="uk-UA" w:eastAsia="uk-UA"/>
        </w:rPr>
        <w:t xml:space="preserve">               </w:t>
      </w:r>
      <w:r w:rsidR="005B53E2" w:rsidRPr="00310AA9">
        <w:rPr>
          <w:lang w:val="uk-UA" w:eastAsia="uk-UA"/>
        </w:rPr>
        <w:t xml:space="preserve">                    </w:t>
      </w:r>
      <w:r w:rsidR="00C67E7A" w:rsidRPr="00310AA9">
        <w:rPr>
          <w:lang w:val="uk-UA" w:eastAsia="uk-UA"/>
        </w:rPr>
        <w:t xml:space="preserve"> </w:t>
      </w:r>
      <w:r w:rsidR="005B53E2" w:rsidRPr="00310AA9">
        <w:rPr>
          <w:lang w:val="uk-UA" w:eastAsia="uk-UA"/>
        </w:rPr>
        <w:t xml:space="preserve">   </w:t>
      </w:r>
      <w:r w:rsidR="00771D6F" w:rsidRPr="00310AA9">
        <w:rPr>
          <w:lang w:val="uk-UA" w:eastAsia="uk-UA"/>
        </w:rPr>
        <w:t xml:space="preserve">Київ                    </w:t>
      </w:r>
      <w:r w:rsidR="00EA3F10" w:rsidRPr="00310AA9">
        <w:rPr>
          <w:lang w:val="uk-UA" w:eastAsia="uk-UA"/>
        </w:rPr>
        <w:t xml:space="preserve">                               </w:t>
      </w:r>
      <w:r w:rsidR="002F4BE1" w:rsidRPr="00310AA9">
        <w:rPr>
          <w:lang w:val="uk-UA" w:eastAsia="uk-UA"/>
        </w:rPr>
        <w:t xml:space="preserve">         </w:t>
      </w:r>
      <w:r w:rsidR="00771D6F" w:rsidRPr="00310AA9">
        <w:rPr>
          <w:lang w:val="uk-UA" w:eastAsia="uk-UA"/>
        </w:rPr>
        <w:t>№</w:t>
      </w:r>
      <w:r w:rsidR="00EA3F10" w:rsidRPr="00310AA9">
        <w:rPr>
          <w:lang w:val="uk-UA" w:eastAsia="uk-UA"/>
        </w:rPr>
        <w:t xml:space="preserve"> </w:t>
      </w:r>
      <w:r w:rsidR="000B2DDD">
        <w:rPr>
          <w:lang w:val="uk-UA" w:eastAsia="uk-UA"/>
        </w:rPr>
        <w:t>17</w:t>
      </w:r>
      <w:r w:rsidR="00771D6F" w:rsidRPr="00310AA9">
        <w:rPr>
          <w:lang w:val="uk-UA" w:eastAsia="uk-UA"/>
        </w:rPr>
        <w:t>-р</w:t>
      </w:r>
      <w:r w:rsidR="002F4BE1" w:rsidRPr="00310AA9">
        <w:rPr>
          <w:lang w:val="uk-UA" w:eastAsia="uk-UA"/>
        </w:rPr>
        <w:t>п</w:t>
      </w:r>
    </w:p>
    <w:p w:rsidR="00771D6F" w:rsidRPr="00310AA9" w:rsidRDefault="00771D6F" w:rsidP="00771D6F">
      <w:pPr>
        <w:jc w:val="center"/>
        <w:rPr>
          <w:lang w:val="uk-UA"/>
        </w:rPr>
      </w:pPr>
    </w:p>
    <w:p w:rsidR="00771D6F" w:rsidRPr="00310AA9" w:rsidRDefault="00771D6F" w:rsidP="00771D6F">
      <w:pPr>
        <w:jc w:val="center"/>
        <w:rPr>
          <w:lang w:val="uk-UA"/>
        </w:rPr>
      </w:pPr>
    </w:p>
    <w:p w:rsidR="00771D6F" w:rsidRPr="00310AA9" w:rsidRDefault="00771D6F" w:rsidP="00771D6F">
      <w:pPr>
        <w:jc w:val="both"/>
        <w:rPr>
          <w:lang w:val="uk-UA"/>
        </w:rPr>
      </w:pPr>
      <w:r w:rsidRPr="00310AA9">
        <w:rPr>
          <w:lang w:val="uk-UA"/>
        </w:rPr>
        <w:t>Про виправлення опис</w:t>
      </w:r>
      <w:r w:rsidR="00310AA9" w:rsidRPr="00310AA9">
        <w:rPr>
          <w:lang w:val="uk-UA"/>
        </w:rPr>
        <w:t>ок</w:t>
      </w:r>
    </w:p>
    <w:p w:rsidR="00771D6F" w:rsidRPr="00310AA9" w:rsidRDefault="00771D6F" w:rsidP="00771D6F">
      <w:pPr>
        <w:pStyle w:val="2"/>
        <w:tabs>
          <w:tab w:val="left" w:pos="7088"/>
        </w:tabs>
        <w:rPr>
          <w:sz w:val="24"/>
        </w:rPr>
      </w:pPr>
    </w:p>
    <w:p w:rsidR="00907E3F" w:rsidRPr="00310AA9" w:rsidRDefault="00907E3F" w:rsidP="00771D6F">
      <w:pPr>
        <w:pStyle w:val="2"/>
        <w:tabs>
          <w:tab w:val="left" w:pos="7088"/>
        </w:tabs>
        <w:rPr>
          <w:sz w:val="24"/>
        </w:rPr>
      </w:pPr>
    </w:p>
    <w:p w:rsidR="00771D6F" w:rsidRPr="00310AA9" w:rsidRDefault="00771D6F" w:rsidP="00DF2B81">
      <w:pPr>
        <w:pStyle w:val="2"/>
        <w:tabs>
          <w:tab w:val="left" w:pos="7088"/>
        </w:tabs>
        <w:ind w:firstLine="567"/>
        <w:rPr>
          <w:sz w:val="24"/>
        </w:rPr>
      </w:pPr>
      <w:r w:rsidRPr="00310AA9">
        <w:rPr>
          <w:sz w:val="24"/>
        </w:rPr>
        <w:t xml:space="preserve">Антимонопольний комітет України, розглянувши подання Департаменту </w:t>
      </w:r>
      <w:r w:rsidR="001A0F4F" w:rsidRPr="00310AA9">
        <w:rPr>
          <w:sz w:val="24"/>
        </w:rPr>
        <w:t xml:space="preserve">досліджень і розслідувань ринків виробничої сфери </w:t>
      </w:r>
      <w:r w:rsidR="00BC74EC" w:rsidRPr="00310AA9">
        <w:rPr>
          <w:sz w:val="24"/>
        </w:rPr>
        <w:t xml:space="preserve">від </w:t>
      </w:r>
      <w:r w:rsidR="00B11A6A">
        <w:rPr>
          <w:sz w:val="24"/>
        </w:rPr>
        <w:t>14</w:t>
      </w:r>
      <w:r w:rsidR="001313F1" w:rsidRPr="00310AA9">
        <w:rPr>
          <w:sz w:val="24"/>
        </w:rPr>
        <w:t xml:space="preserve"> серпня</w:t>
      </w:r>
      <w:r w:rsidR="00AB2AB2" w:rsidRPr="00310AA9">
        <w:rPr>
          <w:sz w:val="24"/>
        </w:rPr>
        <w:t xml:space="preserve"> 202</w:t>
      </w:r>
      <w:r w:rsidR="00574CAA" w:rsidRPr="00310AA9">
        <w:rPr>
          <w:sz w:val="24"/>
        </w:rPr>
        <w:t xml:space="preserve">4 </w:t>
      </w:r>
      <w:r w:rsidR="005F6483" w:rsidRPr="00310AA9">
        <w:rPr>
          <w:sz w:val="24"/>
        </w:rPr>
        <w:t>року</w:t>
      </w:r>
      <w:r w:rsidR="001A0F4F" w:rsidRPr="00310AA9">
        <w:rPr>
          <w:sz w:val="24"/>
        </w:rPr>
        <w:t xml:space="preserve"> </w:t>
      </w:r>
      <w:r w:rsidR="00593C8B" w:rsidRPr="003F4699">
        <w:rPr>
          <w:sz w:val="24"/>
        </w:rPr>
        <w:t xml:space="preserve">№ </w:t>
      </w:r>
      <w:r w:rsidR="00B11A6A">
        <w:rPr>
          <w:sz w:val="24"/>
        </w:rPr>
        <w:t>126-01/323-п</w:t>
      </w:r>
      <w:r w:rsidR="00BC74EC" w:rsidRPr="003F4699">
        <w:rPr>
          <w:sz w:val="24"/>
        </w:rPr>
        <w:t xml:space="preserve"> </w:t>
      </w:r>
      <w:r w:rsidRPr="003F4699">
        <w:rPr>
          <w:sz w:val="24"/>
        </w:rPr>
        <w:t>про</w:t>
      </w:r>
      <w:r w:rsidRPr="00310AA9">
        <w:rPr>
          <w:sz w:val="24"/>
        </w:rPr>
        <w:t xml:space="preserve"> виправлення опис</w:t>
      </w:r>
      <w:r w:rsidR="00310AA9" w:rsidRPr="00310AA9">
        <w:rPr>
          <w:sz w:val="24"/>
        </w:rPr>
        <w:t>ок</w:t>
      </w:r>
      <w:r w:rsidRPr="00310AA9">
        <w:rPr>
          <w:sz w:val="24"/>
        </w:rPr>
        <w:t>, допущен</w:t>
      </w:r>
      <w:r w:rsidR="00723774">
        <w:rPr>
          <w:sz w:val="24"/>
        </w:rPr>
        <w:t xml:space="preserve">их </w:t>
      </w:r>
      <w:r w:rsidRPr="00310AA9">
        <w:rPr>
          <w:sz w:val="24"/>
        </w:rPr>
        <w:t>у рішенн</w:t>
      </w:r>
      <w:r w:rsidR="005B53E2" w:rsidRPr="00310AA9">
        <w:rPr>
          <w:sz w:val="24"/>
        </w:rPr>
        <w:t>і</w:t>
      </w:r>
      <w:r w:rsidRPr="00310AA9">
        <w:rPr>
          <w:sz w:val="24"/>
        </w:rPr>
        <w:t xml:space="preserve"> Антимонопольного комітету України, </w:t>
      </w:r>
    </w:p>
    <w:p w:rsidR="00771D6F" w:rsidRPr="00310AA9" w:rsidRDefault="00771D6F" w:rsidP="00DF2B81">
      <w:pPr>
        <w:pStyle w:val="a3"/>
        <w:ind w:firstLine="567"/>
        <w:rPr>
          <w:lang w:val="uk-UA"/>
        </w:rPr>
      </w:pPr>
    </w:p>
    <w:p w:rsidR="00771D6F" w:rsidRPr="00310AA9" w:rsidRDefault="00771D6F" w:rsidP="00DF2B81">
      <w:pPr>
        <w:ind w:firstLine="567"/>
        <w:jc w:val="center"/>
        <w:rPr>
          <w:b/>
          <w:lang w:val="uk-UA"/>
        </w:rPr>
      </w:pPr>
      <w:r w:rsidRPr="00310AA9">
        <w:rPr>
          <w:b/>
          <w:lang w:val="uk-UA"/>
        </w:rPr>
        <w:t>ВСТАНОВИВ:</w:t>
      </w:r>
    </w:p>
    <w:p w:rsidR="00B92E60" w:rsidRPr="00310AA9" w:rsidRDefault="00B92E60" w:rsidP="00DF2B81">
      <w:pPr>
        <w:ind w:firstLine="567"/>
        <w:jc w:val="center"/>
        <w:rPr>
          <w:lang w:val="uk-UA"/>
        </w:rPr>
      </w:pPr>
    </w:p>
    <w:p w:rsidR="00574CAA" w:rsidRPr="00310AA9" w:rsidRDefault="00B92E60" w:rsidP="00DF2B81">
      <w:pPr>
        <w:tabs>
          <w:tab w:val="left" w:pos="720"/>
          <w:tab w:val="left" w:pos="4820"/>
        </w:tabs>
        <w:ind w:firstLine="567"/>
        <w:jc w:val="both"/>
        <w:rPr>
          <w:spacing w:val="-4"/>
          <w:lang w:val="uk-UA"/>
        </w:rPr>
      </w:pPr>
      <w:r w:rsidRPr="00310AA9">
        <w:rPr>
          <w:lang w:val="uk-UA"/>
        </w:rPr>
        <w:t xml:space="preserve">Антимонопольний комітет України прийняв рішення від </w:t>
      </w:r>
      <w:r w:rsidR="001313F1" w:rsidRPr="00310AA9">
        <w:rPr>
          <w:lang w:val="uk-UA"/>
        </w:rPr>
        <w:t>18 липня</w:t>
      </w:r>
      <w:r w:rsidR="00574CAA" w:rsidRPr="00310AA9">
        <w:rPr>
          <w:lang w:val="uk-UA"/>
        </w:rPr>
        <w:t xml:space="preserve"> 2024</w:t>
      </w:r>
      <w:r w:rsidRPr="00310AA9">
        <w:rPr>
          <w:lang w:val="uk-UA"/>
        </w:rPr>
        <w:t xml:space="preserve"> року № </w:t>
      </w:r>
      <w:r w:rsidR="001313F1" w:rsidRPr="00310AA9">
        <w:rPr>
          <w:lang w:val="uk-UA"/>
        </w:rPr>
        <w:t>225</w:t>
      </w:r>
      <w:r w:rsidR="00574CAA" w:rsidRPr="00310AA9">
        <w:rPr>
          <w:lang w:val="uk-UA"/>
        </w:rPr>
        <w:t>-</w:t>
      </w:r>
      <w:r w:rsidRPr="00310AA9">
        <w:rPr>
          <w:lang w:val="uk-UA"/>
        </w:rPr>
        <w:t xml:space="preserve">р, яким надав </w:t>
      </w:r>
      <w:r w:rsidR="001313F1" w:rsidRPr="00310AA9">
        <w:rPr>
          <w:lang w:val="uk-UA"/>
        </w:rPr>
        <w:t>дозвіл компанії «</w:t>
      </w:r>
      <w:proofErr w:type="spellStart"/>
      <w:r w:rsidR="001313F1" w:rsidRPr="00310AA9">
        <w:rPr>
          <w:lang w:val="uk-UA"/>
        </w:rPr>
        <w:t>Hulk</w:t>
      </w:r>
      <w:proofErr w:type="spellEnd"/>
      <w:r w:rsidR="001313F1" w:rsidRPr="00310AA9">
        <w:rPr>
          <w:lang w:val="uk-UA"/>
        </w:rPr>
        <w:t xml:space="preserve"> </w:t>
      </w:r>
      <w:proofErr w:type="spellStart"/>
      <w:r w:rsidR="001313F1" w:rsidRPr="00310AA9">
        <w:rPr>
          <w:lang w:val="uk-UA"/>
        </w:rPr>
        <w:t>Asia</w:t>
      </w:r>
      <w:proofErr w:type="spellEnd"/>
      <w:r w:rsidR="001313F1" w:rsidRPr="00310AA9">
        <w:rPr>
          <w:lang w:val="uk-UA"/>
        </w:rPr>
        <w:t xml:space="preserve"> </w:t>
      </w:r>
      <w:proofErr w:type="spellStart"/>
      <w:r w:rsidR="001313F1" w:rsidRPr="00310AA9">
        <w:rPr>
          <w:lang w:val="uk-UA"/>
        </w:rPr>
        <w:t>Holdings</w:t>
      </w:r>
      <w:proofErr w:type="spellEnd"/>
      <w:r w:rsidR="001313F1" w:rsidRPr="00310AA9">
        <w:rPr>
          <w:lang w:val="uk-UA"/>
        </w:rPr>
        <w:t xml:space="preserve"> II </w:t>
      </w:r>
      <w:proofErr w:type="spellStart"/>
      <w:r w:rsidR="001313F1" w:rsidRPr="00310AA9">
        <w:rPr>
          <w:lang w:val="uk-UA"/>
        </w:rPr>
        <w:t>Pte</w:t>
      </w:r>
      <w:proofErr w:type="spellEnd"/>
      <w:r w:rsidR="001313F1" w:rsidRPr="00310AA9">
        <w:rPr>
          <w:lang w:val="uk-UA"/>
        </w:rPr>
        <w:t xml:space="preserve">. </w:t>
      </w:r>
      <w:proofErr w:type="spellStart"/>
      <w:r w:rsidR="001313F1" w:rsidRPr="00310AA9">
        <w:rPr>
          <w:lang w:val="uk-UA"/>
        </w:rPr>
        <w:t>Ltd</w:t>
      </w:r>
      <w:proofErr w:type="spellEnd"/>
      <w:r w:rsidR="001313F1" w:rsidRPr="00310AA9">
        <w:rPr>
          <w:lang w:val="uk-UA"/>
        </w:rPr>
        <w:t>.» (м. Сінгапур, Республіка Сінгапур) на набуття одноосібного контролю над компанією «</w:t>
      </w:r>
      <w:proofErr w:type="spellStart"/>
      <w:r w:rsidR="001313F1" w:rsidRPr="00310AA9">
        <w:rPr>
          <w:lang w:val="uk-UA"/>
        </w:rPr>
        <w:t>Quinag</w:t>
      </w:r>
      <w:proofErr w:type="spellEnd"/>
      <w:r w:rsidR="001313F1" w:rsidRPr="00310AA9">
        <w:rPr>
          <w:lang w:val="uk-UA"/>
        </w:rPr>
        <w:t xml:space="preserve"> </w:t>
      </w:r>
      <w:proofErr w:type="spellStart"/>
      <w:r w:rsidR="001313F1" w:rsidRPr="00310AA9">
        <w:rPr>
          <w:lang w:val="uk-UA"/>
        </w:rPr>
        <w:t>Acquisition</w:t>
      </w:r>
      <w:proofErr w:type="spellEnd"/>
      <w:r w:rsidR="001313F1" w:rsidRPr="00310AA9">
        <w:rPr>
          <w:lang w:val="uk-UA"/>
        </w:rPr>
        <w:t xml:space="preserve"> (FDI) </w:t>
      </w:r>
      <w:proofErr w:type="spellStart"/>
      <w:r w:rsidR="001313F1" w:rsidRPr="00310AA9">
        <w:rPr>
          <w:lang w:val="uk-UA"/>
        </w:rPr>
        <w:t>Ltd</w:t>
      </w:r>
      <w:proofErr w:type="spellEnd"/>
      <w:r w:rsidR="001313F1" w:rsidRPr="00310AA9">
        <w:rPr>
          <w:lang w:val="uk-UA"/>
        </w:rPr>
        <w:t xml:space="preserve">» </w:t>
      </w:r>
      <w:r w:rsidR="001900AB" w:rsidRPr="00310AA9">
        <w:rPr>
          <w:lang w:val="uk-UA"/>
        </w:rPr>
        <w:br/>
      </w:r>
      <w:r w:rsidR="001313F1" w:rsidRPr="00310AA9">
        <w:rPr>
          <w:lang w:val="uk-UA"/>
        </w:rPr>
        <w:t>(м. Порт-Луї, Республіка Маврикій)</w:t>
      </w:r>
      <w:r w:rsidR="00574CAA" w:rsidRPr="00310AA9">
        <w:rPr>
          <w:spacing w:val="-4"/>
          <w:lang w:val="uk-UA"/>
        </w:rPr>
        <w:t>.</w:t>
      </w:r>
    </w:p>
    <w:p w:rsidR="00310AA9" w:rsidRPr="00310AA9" w:rsidRDefault="00310AA9" w:rsidP="00DF2B81">
      <w:pPr>
        <w:tabs>
          <w:tab w:val="left" w:pos="720"/>
          <w:tab w:val="left" w:pos="4820"/>
        </w:tabs>
        <w:ind w:firstLine="567"/>
        <w:jc w:val="both"/>
        <w:rPr>
          <w:lang w:val="uk-UA"/>
        </w:rPr>
      </w:pPr>
    </w:p>
    <w:p w:rsidR="00310AA9" w:rsidRPr="00310AA9" w:rsidRDefault="00A610D8" w:rsidP="00DF2B81">
      <w:pPr>
        <w:ind w:firstLine="567"/>
        <w:jc w:val="both"/>
        <w:rPr>
          <w:lang w:val="uk-UA"/>
        </w:rPr>
      </w:pPr>
      <w:r w:rsidRPr="00310AA9">
        <w:rPr>
          <w:spacing w:val="-6"/>
          <w:lang w:val="uk-UA"/>
        </w:rPr>
        <w:t>В описов</w:t>
      </w:r>
      <w:r w:rsidR="009A1836" w:rsidRPr="00310AA9">
        <w:rPr>
          <w:spacing w:val="-6"/>
          <w:lang w:val="uk-UA"/>
        </w:rPr>
        <w:t xml:space="preserve">ій </w:t>
      </w:r>
      <w:r w:rsidRPr="00310AA9">
        <w:rPr>
          <w:spacing w:val="-6"/>
          <w:lang w:val="uk-UA"/>
        </w:rPr>
        <w:t>частин</w:t>
      </w:r>
      <w:r w:rsidR="009A1836" w:rsidRPr="00310AA9">
        <w:rPr>
          <w:spacing w:val="-6"/>
          <w:lang w:val="uk-UA"/>
        </w:rPr>
        <w:t>і вказаного</w:t>
      </w:r>
      <w:r w:rsidRPr="00310AA9">
        <w:rPr>
          <w:spacing w:val="-6"/>
          <w:lang w:val="uk-UA"/>
        </w:rPr>
        <w:t xml:space="preserve"> </w:t>
      </w:r>
      <w:r w:rsidR="008146B7" w:rsidRPr="00310AA9">
        <w:rPr>
          <w:lang w:val="uk-UA"/>
        </w:rPr>
        <w:t>рішення</w:t>
      </w:r>
      <w:r w:rsidR="00771D6F" w:rsidRPr="00310AA9">
        <w:rPr>
          <w:lang w:val="uk-UA"/>
        </w:rPr>
        <w:t xml:space="preserve"> </w:t>
      </w:r>
      <w:r w:rsidR="005B53E2" w:rsidRPr="00310AA9">
        <w:rPr>
          <w:lang w:val="uk-UA"/>
        </w:rPr>
        <w:t>бул</w:t>
      </w:r>
      <w:r w:rsidR="00310AA9" w:rsidRPr="00310AA9">
        <w:rPr>
          <w:lang w:val="uk-UA"/>
        </w:rPr>
        <w:t>и</w:t>
      </w:r>
      <w:r w:rsidR="005B53E2" w:rsidRPr="00310AA9">
        <w:rPr>
          <w:lang w:val="uk-UA"/>
        </w:rPr>
        <w:t xml:space="preserve"> допущен</w:t>
      </w:r>
      <w:r w:rsidR="00310AA9" w:rsidRPr="00310AA9">
        <w:rPr>
          <w:lang w:val="uk-UA"/>
        </w:rPr>
        <w:t>і</w:t>
      </w:r>
      <w:r w:rsidR="005B53E2" w:rsidRPr="00310AA9">
        <w:rPr>
          <w:lang w:val="uk-UA"/>
        </w:rPr>
        <w:t xml:space="preserve"> описк</w:t>
      </w:r>
      <w:r w:rsidR="00310AA9" w:rsidRPr="00310AA9">
        <w:rPr>
          <w:lang w:val="uk-UA"/>
        </w:rPr>
        <w:t>и</w:t>
      </w:r>
      <w:r w:rsidR="00771D6F" w:rsidRPr="00310AA9">
        <w:rPr>
          <w:lang w:val="uk-UA"/>
        </w:rPr>
        <w:t xml:space="preserve">, а саме: </w:t>
      </w:r>
    </w:p>
    <w:p w:rsidR="00310AA9" w:rsidRPr="00310AA9" w:rsidRDefault="00AB2AB2" w:rsidP="00DF2B81">
      <w:pPr>
        <w:ind w:firstLine="567"/>
        <w:jc w:val="both"/>
        <w:rPr>
          <w:lang w:val="uk-UA"/>
        </w:rPr>
      </w:pPr>
      <w:r w:rsidRPr="00310AA9">
        <w:rPr>
          <w:lang w:val="uk-UA"/>
        </w:rPr>
        <w:t xml:space="preserve">замість </w:t>
      </w:r>
      <w:r w:rsidR="00B92E60" w:rsidRPr="00310AA9">
        <w:rPr>
          <w:lang w:val="uk-UA"/>
        </w:rPr>
        <w:t>слів</w:t>
      </w:r>
      <w:r w:rsidRPr="00310AA9">
        <w:rPr>
          <w:lang w:val="uk-UA"/>
        </w:rPr>
        <w:t xml:space="preserve"> </w:t>
      </w:r>
      <w:r w:rsidR="001313F1" w:rsidRPr="00310AA9">
        <w:rPr>
          <w:lang w:val="uk-UA"/>
        </w:rPr>
        <w:t>«</w:t>
      </w:r>
      <w:r w:rsidR="00310AA9" w:rsidRPr="00310AA9">
        <w:rPr>
          <w:lang w:val="uk-UA"/>
        </w:rPr>
        <w:t>Концентрація полягає в набутті компанією «</w:t>
      </w:r>
      <w:proofErr w:type="spellStart"/>
      <w:r w:rsidR="00310AA9" w:rsidRPr="00310AA9">
        <w:rPr>
          <w:lang w:val="uk-UA"/>
        </w:rPr>
        <w:t>Hulk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Asia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Holdings</w:t>
      </w:r>
      <w:proofErr w:type="spellEnd"/>
      <w:r w:rsidR="00310AA9" w:rsidRPr="00310AA9">
        <w:rPr>
          <w:lang w:val="uk-UA"/>
        </w:rPr>
        <w:t xml:space="preserve"> II </w:t>
      </w:r>
      <w:proofErr w:type="spellStart"/>
      <w:r w:rsidR="00310AA9" w:rsidRPr="00310AA9">
        <w:rPr>
          <w:lang w:val="uk-UA"/>
        </w:rPr>
        <w:t>Pte</w:t>
      </w:r>
      <w:proofErr w:type="spellEnd"/>
      <w:r w:rsidR="00310AA9" w:rsidRPr="00310AA9">
        <w:rPr>
          <w:lang w:val="uk-UA"/>
        </w:rPr>
        <w:t xml:space="preserve">.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>.» одноосібного контролю над компанією «</w:t>
      </w:r>
      <w:proofErr w:type="spellStart"/>
      <w:r w:rsidR="00310AA9" w:rsidRPr="00310AA9">
        <w:rPr>
          <w:lang w:val="uk-UA"/>
        </w:rPr>
        <w:t>Quinag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Acquisition</w:t>
      </w:r>
      <w:proofErr w:type="spellEnd"/>
      <w:r w:rsidR="00310AA9" w:rsidRPr="00310AA9">
        <w:rPr>
          <w:lang w:val="uk-UA"/>
        </w:rPr>
        <w:t xml:space="preserve"> (FDI)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>» шляхом придбання усіх випущених акцій компанії «</w:t>
      </w:r>
      <w:proofErr w:type="spellStart"/>
      <w:r w:rsidR="00310AA9" w:rsidRPr="00310AA9">
        <w:rPr>
          <w:lang w:val="uk-UA"/>
        </w:rPr>
        <w:t>Quinag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Acquisition</w:t>
      </w:r>
      <w:proofErr w:type="spellEnd"/>
      <w:r w:rsidR="00310AA9" w:rsidRPr="00310AA9">
        <w:rPr>
          <w:lang w:val="uk-UA"/>
        </w:rPr>
        <w:t xml:space="preserve"> (FDI)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>»</w:t>
      </w:r>
      <w:r w:rsidR="001313F1" w:rsidRPr="00310AA9">
        <w:rPr>
          <w:lang w:val="uk-UA"/>
        </w:rPr>
        <w:t xml:space="preserve"> </w:t>
      </w:r>
      <w:r w:rsidR="00574CAA" w:rsidRPr="00310AA9">
        <w:rPr>
          <w:lang w:val="uk-UA"/>
        </w:rPr>
        <w:t xml:space="preserve"> </w:t>
      </w:r>
      <w:r w:rsidRPr="00310AA9">
        <w:rPr>
          <w:lang w:val="uk-UA"/>
        </w:rPr>
        <w:t xml:space="preserve">зазначено </w:t>
      </w:r>
      <w:r w:rsidR="00B92E60" w:rsidRPr="00310AA9">
        <w:rPr>
          <w:lang w:val="uk-UA"/>
        </w:rPr>
        <w:t>слов</w:t>
      </w:r>
      <w:r w:rsidR="00574CAA" w:rsidRPr="00310AA9">
        <w:rPr>
          <w:lang w:val="uk-UA"/>
        </w:rPr>
        <w:t xml:space="preserve">а </w:t>
      </w:r>
      <w:r w:rsidR="00310AA9" w:rsidRPr="00310AA9">
        <w:rPr>
          <w:lang w:val="uk-UA"/>
        </w:rPr>
        <w:t>«Концентрація полягає в набутті компанією «</w:t>
      </w:r>
      <w:proofErr w:type="spellStart"/>
      <w:r w:rsidR="00310AA9" w:rsidRPr="00310AA9">
        <w:rPr>
          <w:lang w:val="uk-UA"/>
        </w:rPr>
        <w:t>Hulk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Asia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Holdings</w:t>
      </w:r>
      <w:proofErr w:type="spellEnd"/>
      <w:r w:rsidR="00310AA9" w:rsidRPr="00310AA9">
        <w:rPr>
          <w:lang w:val="uk-UA"/>
        </w:rPr>
        <w:t xml:space="preserve"> II </w:t>
      </w:r>
      <w:proofErr w:type="spellStart"/>
      <w:r w:rsidR="00310AA9" w:rsidRPr="00310AA9">
        <w:rPr>
          <w:lang w:val="uk-UA"/>
        </w:rPr>
        <w:t>Pte</w:t>
      </w:r>
      <w:proofErr w:type="spellEnd"/>
      <w:r w:rsidR="00310AA9" w:rsidRPr="00310AA9">
        <w:rPr>
          <w:lang w:val="uk-UA"/>
        </w:rPr>
        <w:t xml:space="preserve">.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>.» одноосібного контролю над компанією «</w:t>
      </w:r>
      <w:proofErr w:type="spellStart"/>
      <w:r w:rsidR="00310AA9" w:rsidRPr="00310AA9">
        <w:rPr>
          <w:lang w:val="uk-UA"/>
        </w:rPr>
        <w:t>Quinag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Acquisition</w:t>
      </w:r>
      <w:proofErr w:type="spellEnd"/>
      <w:r w:rsidR="00310AA9" w:rsidRPr="00310AA9">
        <w:rPr>
          <w:lang w:val="uk-UA"/>
        </w:rPr>
        <w:t xml:space="preserve"> (FDI)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 xml:space="preserve">» </w:t>
      </w:r>
      <w:r w:rsidR="001313F1" w:rsidRPr="00310AA9">
        <w:rPr>
          <w:lang w:val="uk-UA"/>
        </w:rPr>
        <w:t>та двома підконтрольними їй компаніями шляхом придбання усіх випущених акцій компанії «</w:t>
      </w:r>
      <w:proofErr w:type="spellStart"/>
      <w:r w:rsidR="001313F1" w:rsidRPr="00310AA9">
        <w:rPr>
          <w:lang w:val="uk-UA"/>
        </w:rPr>
        <w:t>Quinag</w:t>
      </w:r>
      <w:proofErr w:type="spellEnd"/>
      <w:r w:rsidR="001313F1" w:rsidRPr="00310AA9">
        <w:rPr>
          <w:lang w:val="uk-UA"/>
        </w:rPr>
        <w:t xml:space="preserve"> </w:t>
      </w:r>
      <w:proofErr w:type="spellStart"/>
      <w:r w:rsidR="001313F1" w:rsidRPr="00310AA9">
        <w:rPr>
          <w:lang w:val="uk-UA"/>
        </w:rPr>
        <w:t>Acquisition</w:t>
      </w:r>
      <w:proofErr w:type="spellEnd"/>
      <w:r w:rsidR="001313F1" w:rsidRPr="00310AA9">
        <w:rPr>
          <w:lang w:val="uk-UA"/>
        </w:rPr>
        <w:t xml:space="preserve"> (FDI) </w:t>
      </w:r>
      <w:proofErr w:type="spellStart"/>
      <w:r w:rsidR="001313F1" w:rsidRPr="00310AA9">
        <w:rPr>
          <w:lang w:val="uk-UA"/>
        </w:rPr>
        <w:t>Ltd</w:t>
      </w:r>
      <w:proofErr w:type="spellEnd"/>
      <w:r w:rsidR="001313F1" w:rsidRPr="00310AA9">
        <w:rPr>
          <w:lang w:val="uk-UA"/>
        </w:rPr>
        <w:t>»</w:t>
      </w:r>
      <w:r w:rsidR="00310AA9" w:rsidRPr="00310AA9">
        <w:rPr>
          <w:lang w:val="uk-UA"/>
        </w:rPr>
        <w:t>;</w:t>
      </w:r>
      <w:r w:rsidR="009A1836" w:rsidRPr="00310AA9">
        <w:rPr>
          <w:lang w:val="uk-UA"/>
        </w:rPr>
        <w:t xml:space="preserve"> </w:t>
      </w:r>
    </w:p>
    <w:p w:rsidR="001313F1" w:rsidRPr="00310AA9" w:rsidRDefault="009A1836" w:rsidP="00DF2B81">
      <w:pPr>
        <w:ind w:firstLine="567"/>
        <w:jc w:val="both"/>
        <w:rPr>
          <w:lang w:val="uk-UA"/>
        </w:rPr>
      </w:pPr>
      <w:r w:rsidRPr="00310AA9">
        <w:rPr>
          <w:lang w:val="uk-UA"/>
        </w:rPr>
        <w:t xml:space="preserve">замість слів </w:t>
      </w:r>
      <w:r w:rsidR="00310AA9" w:rsidRPr="00310AA9">
        <w:rPr>
          <w:lang w:val="uk-UA"/>
        </w:rPr>
        <w:t>«компанія «</w:t>
      </w:r>
      <w:proofErr w:type="spellStart"/>
      <w:r w:rsidR="00310AA9" w:rsidRPr="00310AA9">
        <w:rPr>
          <w:lang w:val="uk-UA"/>
        </w:rPr>
        <w:t>Quinag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Acquisition</w:t>
      </w:r>
      <w:proofErr w:type="spellEnd"/>
      <w:r w:rsidR="00310AA9" w:rsidRPr="00310AA9">
        <w:rPr>
          <w:lang w:val="uk-UA"/>
        </w:rPr>
        <w:t xml:space="preserve"> (FDI)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 xml:space="preserve">» </w:t>
      </w:r>
      <w:r w:rsidR="00310AA9" w:rsidRPr="00310AA9">
        <w:rPr>
          <w:iCs/>
          <w:lang w:val="uk-UA" w:eastAsia="ar-SA"/>
        </w:rPr>
        <w:t xml:space="preserve">та усі компанії, що прямо та/або опосередковано підконтрольні </w:t>
      </w:r>
      <w:r w:rsidR="00310AA9" w:rsidRPr="00310AA9">
        <w:rPr>
          <w:lang w:val="uk-UA"/>
        </w:rPr>
        <w:t>«компанії «</w:t>
      </w:r>
      <w:proofErr w:type="spellStart"/>
      <w:r w:rsidR="00310AA9" w:rsidRPr="00310AA9">
        <w:rPr>
          <w:lang w:val="uk-UA"/>
        </w:rPr>
        <w:t>Quinag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Acquisition</w:t>
      </w:r>
      <w:proofErr w:type="spellEnd"/>
      <w:r w:rsidR="00310AA9" w:rsidRPr="00310AA9">
        <w:rPr>
          <w:lang w:val="uk-UA"/>
        </w:rPr>
        <w:t xml:space="preserve"> (FDI)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 xml:space="preserve">», утворюють групу компаній Об’єкта придбання (далі – Група Об’єкта придбання)» </w:t>
      </w:r>
      <w:r w:rsidRPr="00310AA9">
        <w:rPr>
          <w:lang w:val="uk-UA"/>
        </w:rPr>
        <w:t xml:space="preserve">зазначено слова </w:t>
      </w:r>
      <w:r w:rsidR="00310AA9" w:rsidRPr="00310AA9">
        <w:rPr>
          <w:lang w:val="uk-UA"/>
        </w:rPr>
        <w:t>«компанія «</w:t>
      </w:r>
      <w:proofErr w:type="spellStart"/>
      <w:r w:rsidR="00310AA9" w:rsidRPr="00310AA9">
        <w:rPr>
          <w:lang w:val="uk-UA"/>
        </w:rPr>
        <w:t>Quinag</w:t>
      </w:r>
      <w:proofErr w:type="spellEnd"/>
      <w:r w:rsidR="00310AA9" w:rsidRPr="00310AA9">
        <w:rPr>
          <w:lang w:val="uk-UA"/>
        </w:rPr>
        <w:t xml:space="preserve"> </w:t>
      </w:r>
      <w:proofErr w:type="spellStart"/>
      <w:r w:rsidR="00310AA9" w:rsidRPr="00310AA9">
        <w:rPr>
          <w:lang w:val="uk-UA"/>
        </w:rPr>
        <w:t>Acquisition</w:t>
      </w:r>
      <w:proofErr w:type="spellEnd"/>
      <w:r w:rsidR="00310AA9" w:rsidRPr="00310AA9">
        <w:rPr>
          <w:lang w:val="uk-UA"/>
        </w:rPr>
        <w:t xml:space="preserve"> (FDI) </w:t>
      </w:r>
      <w:proofErr w:type="spellStart"/>
      <w:r w:rsidR="00310AA9" w:rsidRPr="00310AA9">
        <w:rPr>
          <w:lang w:val="uk-UA"/>
        </w:rPr>
        <w:t>Ltd</w:t>
      </w:r>
      <w:proofErr w:type="spellEnd"/>
      <w:r w:rsidR="00310AA9" w:rsidRPr="00310AA9">
        <w:rPr>
          <w:lang w:val="uk-UA"/>
        </w:rPr>
        <w:t>» та дві підконтрольні їй компанії утворюють групу компаній Об’єкта придбання (далі – Група Об’єкта придбання)»</w:t>
      </w:r>
      <w:r w:rsidRPr="00310AA9">
        <w:rPr>
          <w:lang w:val="uk-UA"/>
        </w:rPr>
        <w:t>.</w:t>
      </w:r>
    </w:p>
    <w:p w:rsidR="00310AA9" w:rsidRPr="00310AA9" w:rsidRDefault="00310AA9" w:rsidP="00DF2B81">
      <w:pPr>
        <w:ind w:firstLine="567"/>
        <w:jc w:val="both"/>
        <w:rPr>
          <w:rFonts w:eastAsia="Calibri"/>
          <w:spacing w:val="-6"/>
          <w:lang w:val="uk-UA" w:eastAsia="en-US"/>
        </w:rPr>
      </w:pPr>
    </w:p>
    <w:p w:rsidR="00A610D8" w:rsidRPr="00310AA9" w:rsidRDefault="00A610D8" w:rsidP="00DF2B81">
      <w:pPr>
        <w:ind w:firstLine="567"/>
        <w:jc w:val="both"/>
        <w:rPr>
          <w:lang w:val="uk-UA"/>
        </w:rPr>
      </w:pPr>
      <w:r w:rsidRPr="00310AA9">
        <w:rPr>
          <w:lang w:val="uk-UA"/>
        </w:rPr>
        <w:t xml:space="preserve">Враховуючи викладене, керуючись статтею 7 Закону України «Про Антимонопольний комітет України», частиною п’ятою статті 31 Закону України «Про захист економічної конкуренції» та </w:t>
      </w:r>
      <w:r w:rsidR="008D2C59" w:rsidRPr="00310AA9">
        <w:rPr>
          <w:lang w:val="uk-UA"/>
        </w:rPr>
        <w:t xml:space="preserve">підпунктом 7 пункту 10 розділу XI Положення про порядок розгляду заяв та справ про концентрацію суб’єктів господарювання, затвердженого розпорядженням Антимонопольного комітету України від 19 лютого 2002 року № 33-р, зареєстрованого в Міністерстві юстиції України 21 березня 2002 року за № 284/6572 (у редакції розпорядження Антимонопольного комітету України від 21.06.2016 № 14-рп (зі змінами)), </w:t>
      </w:r>
      <w:r w:rsidRPr="00310AA9">
        <w:rPr>
          <w:lang w:val="uk-UA"/>
        </w:rPr>
        <w:t xml:space="preserve"> Антимонопольний комітет України</w:t>
      </w:r>
    </w:p>
    <w:p w:rsidR="00771D6F" w:rsidRPr="00310AA9" w:rsidRDefault="00771D6F" w:rsidP="00771D6F">
      <w:pPr>
        <w:pStyle w:val="a3"/>
        <w:ind w:firstLine="708"/>
        <w:rPr>
          <w:noProof w:val="0"/>
          <w:lang w:val="uk-UA"/>
        </w:rPr>
      </w:pPr>
    </w:p>
    <w:p w:rsidR="00310AA9" w:rsidRPr="00310AA9" w:rsidRDefault="00310AA9" w:rsidP="00771D6F">
      <w:pPr>
        <w:pStyle w:val="a3"/>
        <w:ind w:firstLine="708"/>
        <w:rPr>
          <w:noProof w:val="0"/>
          <w:lang w:val="uk-UA"/>
        </w:rPr>
      </w:pPr>
    </w:p>
    <w:p w:rsidR="00310AA9" w:rsidRPr="00310AA9" w:rsidRDefault="00310AA9" w:rsidP="00771D6F">
      <w:pPr>
        <w:pStyle w:val="a3"/>
        <w:ind w:firstLine="708"/>
        <w:rPr>
          <w:noProof w:val="0"/>
          <w:lang w:val="uk-UA"/>
        </w:rPr>
      </w:pPr>
    </w:p>
    <w:p w:rsidR="00771D6F" w:rsidRPr="00310AA9" w:rsidRDefault="00771D6F" w:rsidP="00771D6F">
      <w:pPr>
        <w:pStyle w:val="a3"/>
        <w:jc w:val="center"/>
        <w:rPr>
          <w:b/>
          <w:noProof w:val="0"/>
          <w:lang w:val="uk-UA"/>
        </w:rPr>
      </w:pPr>
      <w:r w:rsidRPr="00310AA9">
        <w:rPr>
          <w:b/>
          <w:noProof w:val="0"/>
          <w:lang w:val="uk-UA"/>
        </w:rPr>
        <w:lastRenderedPageBreak/>
        <w:t>ПОСТАНОВИВ:</w:t>
      </w:r>
    </w:p>
    <w:p w:rsidR="00771D6F" w:rsidRPr="00310AA9" w:rsidRDefault="00771D6F" w:rsidP="00771D6F">
      <w:pPr>
        <w:pStyle w:val="a3"/>
        <w:jc w:val="center"/>
        <w:rPr>
          <w:noProof w:val="0"/>
          <w:highlight w:val="yellow"/>
          <w:lang w:val="uk-UA"/>
        </w:rPr>
      </w:pPr>
    </w:p>
    <w:p w:rsidR="00310AA9" w:rsidRPr="00310AA9" w:rsidRDefault="00F6752B" w:rsidP="00574CAA">
      <w:pPr>
        <w:ind w:firstLine="567"/>
        <w:jc w:val="both"/>
        <w:rPr>
          <w:lang w:val="uk-UA"/>
        </w:rPr>
      </w:pPr>
      <w:r w:rsidRPr="00310AA9">
        <w:rPr>
          <w:lang w:val="uk-UA"/>
        </w:rPr>
        <w:t xml:space="preserve">Виправити </w:t>
      </w:r>
      <w:r w:rsidR="00A610D8" w:rsidRPr="00310AA9">
        <w:rPr>
          <w:lang w:val="uk-UA"/>
        </w:rPr>
        <w:t>описк</w:t>
      </w:r>
      <w:r w:rsidR="00310AA9" w:rsidRPr="00310AA9">
        <w:rPr>
          <w:lang w:val="uk-UA"/>
        </w:rPr>
        <w:t>и</w:t>
      </w:r>
      <w:r w:rsidR="00A610D8" w:rsidRPr="00310AA9">
        <w:rPr>
          <w:lang w:val="uk-UA"/>
        </w:rPr>
        <w:t xml:space="preserve"> </w:t>
      </w:r>
      <w:r w:rsidR="009A1836" w:rsidRPr="00310AA9">
        <w:rPr>
          <w:lang w:val="uk-UA"/>
        </w:rPr>
        <w:t>в</w:t>
      </w:r>
      <w:r w:rsidR="00A610D8" w:rsidRPr="00310AA9">
        <w:rPr>
          <w:lang w:val="uk-UA"/>
        </w:rPr>
        <w:t xml:space="preserve"> описов</w:t>
      </w:r>
      <w:r w:rsidR="009A1836" w:rsidRPr="00310AA9">
        <w:rPr>
          <w:lang w:val="uk-UA"/>
        </w:rPr>
        <w:t xml:space="preserve">ій </w:t>
      </w:r>
      <w:r w:rsidR="00A610D8" w:rsidRPr="00310AA9">
        <w:rPr>
          <w:lang w:val="uk-UA"/>
        </w:rPr>
        <w:t>частин</w:t>
      </w:r>
      <w:r w:rsidR="009A1836" w:rsidRPr="00310AA9">
        <w:rPr>
          <w:lang w:val="uk-UA"/>
        </w:rPr>
        <w:t xml:space="preserve">і </w:t>
      </w:r>
      <w:r w:rsidRPr="00310AA9">
        <w:rPr>
          <w:lang w:val="uk-UA"/>
        </w:rPr>
        <w:t xml:space="preserve">рішення Антимонопольного комітету України </w:t>
      </w:r>
      <w:r w:rsidR="002E4F5B">
        <w:rPr>
          <w:lang w:val="uk-UA"/>
        </w:rPr>
        <w:br/>
      </w:r>
      <w:r w:rsidR="00574CAA" w:rsidRPr="00310AA9">
        <w:rPr>
          <w:lang w:val="uk-UA"/>
        </w:rPr>
        <w:t>від</w:t>
      </w:r>
      <w:r w:rsidR="002E4F5B">
        <w:rPr>
          <w:lang w:val="uk-UA"/>
        </w:rPr>
        <w:t xml:space="preserve"> </w:t>
      </w:r>
      <w:r w:rsidR="009A1836" w:rsidRPr="00310AA9">
        <w:rPr>
          <w:lang w:val="uk-UA"/>
        </w:rPr>
        <w:t>18 липня 2024 року № 225-р</w:t>
      </w:r>
      <w:r w:rsidR="00A610D8" w:rsidRPr="00310AA9">
        <w:rPr>
          <w:lang w:val="uk-UA"/>
        </w:rPr>
        <w:t>, а саме:</w:t>
      </w:r>
      <w:r w:rsidRPr="00310AA9">
        <w:rPr>
          <w:lang w:val="uk-UA"/>
        </w:rPr>
        <w:t xml:space="preserve"> </w:t>
      </w:r>
      <w:bookmarkStart w:id="1" w:name="_Hlk174029912"/>
    </w:p>
    <w:p w:rsidR="00310AA9" w:rsidRPr="00310AA9" w:rsidRDefault="00310AA9" w:rsidP="00310AA9">
      <w:pPr>
        <w:ind w:firstLine="567"/>
        <w:jc w:val="both"/>
        <w:rPr>
          <w:lang w:val="uk-UA"/>
        </w:rPr>
      </w:pPr>
      <w:r w:rsidRPr="00310AA9">
        <w:rPr>
          <w:lang w:val="uk-UA"/>
        </w:rPr>
        <w:t>слова «Концентрація полягає в набутті компанією «</w:t>
      </w:r>
      <w:proofErr w:type="spellStart"/>
      <w:r w:rsidRPr="00310AA9">
        <w:rPr>
          <w:lang w:val="uk-UA"/>
        </w:rPr>
        <w:t>Hulk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Asia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Holdings</w:t>
      </w:r>
      <w:proofErr w:type="spellEnd"/>
      <w:r w:rsidRPr="00310AA9">
        <w:rPr>
          <w:lang w:val="uk-UA"/>
        </w:rPr>
        <w:t xml:space="preserve"> II </w:t>
      </w:r>
      <w:proofErr w:type="spellStart"/>
      <w:r w:rsidRPr="00310AA9">
        <w:rPr>
          <w:lang w:val="uk-UA"/>
        </w:rPr>
        <w:t>Pte</w:t>
      </w:r>
      <w:proofErr w:type="spellEnd"/>
      <w:r w:rsidRPr="00310AA9">
        <w:rPr>
          <w:lang w:val="uk-UA"/>
        </w:rPr>
        <w:t xml:space="preserve">.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.» одноосібного контролю над компанією «</w:t>
      </w:r>
      <w:proofErr w:type="spellStart"/>
      <w:r w:rsidRPr="00310AA9">
        <w:rPr>
          <w:lang w:val="uk-UA"/>
        </w:rPr>
        <w:t>Quinag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Acquisition</w:t>
      </w:r>
      <w:proofErr w:type="spellEnd"/>
      <w:r w:rsidRPr="00310AA9">
        <w:rPr>
          <w:lang w:val="uk-UA"/>
        </w:rPr>
        <w:t xml:space="preserve"> (FDI)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» та двома підконтрольними їй компаніями шляхом придбання усіх випущених акцій компанії «</w:t>
      </w:r>
      <w:proofErr w:type="spellStart"/>
      <w:r w:rsidRPr="00310AA9">
        <w:rPr>
          <w:lang w:val="uk-UA"/>
        </w:rPr>
        <w:t>Quinag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Acquisition</w:t>
      </w:r>
      <w:proofErr w:type="spellEnd"/>
      <w:r w:rsidRPr="00310AA9">
        <w:rPr>
          <w:lang w:val="uk-UA"/>
        </w:rPr>
        <w:t xml:space="preserve"> (FDI)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» замінити словами «Концентрація полягає в набутті компанією «</w:t>
      </w:r>
      <w:proofErr w:type="spellStart"/>
      <w:r w:rsidRPr="00310AA9">
        <w:rPr>
          <w:lang w:val="uk-UA"/>
        </w:rPr>
        <w:t>Hulk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Asia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Holdings</w:t>
      </w:r>
      <w:proofErr w:type="spellEnd"/>
      <w:r w:rsidRPr="00310AA9">
        <w:rPr>
          <w:lang w:val="uk-UA"/>
        </w:rPr>
        <w:t xml:space="preserve"> II </w:t>
      </w:r>
      <w:proofErr w:type="spellStart"/>
      <w:r w:rsidRPr="00310AA9">
        <w:rPr>
          <w:lang w:val="uk-UA"/>
        </w:rPr>
        <w:t>Pte</w:t>
      </w:r>
      <w:proofErr w:type="spellEnd"/>
      <w:r w:rsidRPr="00310AA9">
        <w:rPr>
          <w:lang w:val="uk-UA"/>
        </w:rPr>
        <w:t xml:space="preserve">.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.» одноосібного контролю над компанією «</w:t>
      </w:r>
      <w:proofErr w:type="spellStart"/>
      <w:r w:rsidRPr="00310AA9">
        <w:rPr>
          <w:lang w:val="uk-UA"/>
        </w:rPr>
        <w:t>Quinag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Acquisition</w:t>
      </w:r>
      <w:proofErr w:type="spellEnd"/>
      <w:r w:rsidRPr="00310AA9">
        <w:rPr>
          <w:lang w:val="uk-UA"/>
        </w:rPr>
        <w:t xml:space="preserve"> (FDI)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» шляхом придбання усіх випущених акцій компанії «</w:t>
      </w:r>
      <w:proofErr w:type="spellStart"/>
      <w:r w:rsidRPr="00310AA9">
        <w:rPr>
          <w:lang w:val="uk-UA"/>
        </w:rPr>
        <w:t>Quinag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Acquisition</w:t>
      </w:r>
      <w:proofErr w:type="spellEnd"/>
      <w:r w:rsidRPr="00310AA9">
        <w:rPr>
          <w:lang w:val="uk-UA"/>
        </w:rPr>
        <w:t xml:space="preserve"> (FDI)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»;</w:t>
      </w:r>
    </w:p>
    <w:p w:rsidR="00310AA9" w:rsidRPr="00310AA9" w:rsidRDefault="00310AA9" w:rsidP="00310AA9">
      <w:pPr>
        <w:ind w:firstLine="567"/>
        <w:jc w:val="both"/>
        <w:rPr>
          <w:lang w:val="uk-UA"/>
        </w:rPr>
      </w:pPr>
      <w:r w:rsidRPr="00310AA9">
        <w:rPr>
          <w:spacing w:val="-6"/>
          <w:lang w:val="uk-UA"/>
        </w:rPr>
        <w:t>слова «</w:t>
      </w:r>
      <w:r w:rsidRPr="00310AA9">
        <w:rPr>
          <w:lang w:val="uk-UA"/>
        </w:rPr>
        <w:t>компанія «</w:t>
      </w:r>
      <w:proofErr w:type="spellStart"/>
      <w:r w:rsidRPr="00310AA9">
        <w:rPr>
          <w:lang w:val="uk-UA"/>
        </w:rPr>
        <w:t>Quinag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Acquisition</w:t>
      </w:r>
      <w:proofErr w:type="spellEnd"/>
      <w:r w:rsidRPr="00310AA9">
        <w:rPr>
          <w:lang w:val="uk-UA"/>
        </w:rPr>
        <w:t xml:space="preserve"> (FDI)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» та дві підконтрольні їй компанії утворюють групу компаній Об’єкта придбання (далі – Група Об’єкта придбання)» замінити словами «компанія «</w:t>
      </w:r>
      <w:proofErr w:type="spellStart"/>
      <w:r w:rsidRPr="00310AA9">
        <w:rPr>
          <w:lang w:val="uk-UA"/>
        </w:rPr>
        <w:t>Quinag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Acquisition</w:t>
      </w:r>
      <w:proofErr w:type="spellEnd"/>
      <w:r w:rsidRPr="00310AA9">
        <w:rPr>
          <w:lang w:val="uk-UA"/>
        </w:rPr>
        <w:t xml:space="preserve"> (FDI)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 xml:space="preserve">» </w:t>
      </w:r>
      <w:r w:rsidRPr="00310AA9">
        <w:rPr>
          <w:iCs/>
          <w:lang w:val="uk-UA" w:eastAsia="ar-SA"/>
        </w:rPr>
        <w:t xml:space="preserve">та усі компанії, що прямо та/або опосередковано підконтрольні </w:t>
      </w:r>
      <w:r w:rsidRPr="00310AA9">
        <w:rPr>
          <w:lang w:val="uk-UA"/>
        </w:rPr>
        <w:t>компанії «</w:t>
      </w:r>
      <w:proofErr w:type="spellStart"/>
      <w:r w:rsidRPr="00310AA9">
        <w:rPr>
          <w:lang w:val="uk-UA"/>
        </w:rPr>
        <w:t>Quinag</w:t>
      </w:r>
      <w:proofErr w:type="spellEnd"/>
      <w:r w:rsidRPr="00310AA9">
        <w:rPr>
          <w:lang w:val="uk-UA"/>
        </w:rPr>
        <w:t xml:space="preserve"> </w:t>
      </w:r>
      <w:proofErr w:type="spellStart"/>
      <w:r w:rsidRPr="00310AA9">
        <w:rPr>
          <w:lang w:val="uk-UA"/>
        </w:rPr>
        <w:t>Acquisition</w:t>
      </w:r>
      <w:proofErr w:type="spellEnd"/>
      <w:r w:rsidRPr="00310AA9">
        <w:rPr>
          <w:lang w:val="uk-UA"/>
        </w:rPr>
        <w:t xml:space="preserve"> (FDI) </w:t>
      </w:r>
      <w:proofErr w:type="spellStart"/>
      <w:r w:rsidRPr="00310AA9">
        <w:rPr>
          <w:lang w:val="uk-UA"/>
        </w:rPr>
        <w:t>Ltd</w:t>
      </w:r>
      <w:proofErr w:type="spellEnd"/>
      <w:r w:rsidRPr="00310AA9">
        <w:rPr>
          <w:lang w:val="uk-UA"/>
        </w:rPr>
        <w:t>», утворюють групу компаній Об’єкта придбання (далі – Група Об’єкта придбання)».</w:t>
      </w:r>
    </w:p>
    <w:p w:rsidR="00310AA9" w:rsidRPr="00310AA9" w:rsidRDefault="00310AA9" w:rsidP="00574CAA">
      <w:pPr>
        <w:ind w:firstLine="567"/>
        <w:jc w:val="both"/>
        <w:rPr>
          <w:lang w:val="uk-UA"/>
        </w:rPr>
      </w:pPr>
    </w:p>
    <w:bookmarkEnd w:id="1"/>
    <w:p w:rsidR="00771D6F" w:rsidRPr="006C382E" w:rsidRDefault="00771D6F" w:rsidP="00574CAA">
      <w:pPr>
        <w:overflowPunct w:val="0"/>
        <w:autoSpaceDE w:val="0"/>
        <w:autoSpaceDN w:val="0"/>
        <w:adjustRightInd w:val="0"/>
        <w:ind w:firstLine="709"/>
        <w:jc w:val="both"/>
        <w:rPr>
          <w:highlight w:val="yellow"/>
          <w:lang w:val="uk-UA"/>
        </w:rPr>
      </w:pPr>
    </w:p>
    <w:p w:rsidR="00771D6F" w:rsidRPr="006C382E" w:rsidRDefault="00771D6F" w:rsidP="00771D6F">
      <w:pPr>
        <w:pStyle w:val="a3"/>
        <w:rPr>
          <w:noProof w:val="0"/>
          <w:highlight w:val="yellow"/>
          <w:lang w:val="uk-UA"/>
        </w:rPr>
      </w:pPr>
    </w:p>
    <w:p w:rsidR="00776B4A" w:rsidRDefault="00776B4A" w:rsidP="005B53E2">
      <w:pPr>
        <w:rPr>
          <w:lang w:val="uk-UA"/>
        </w:rPr>
      </w:pPr>
    </w:p>
    <w:p w:rsidR="005B53E2" w:rsidRPr="006C382E" w:rsidRDefault="002E4F5B" w:rsidP="005B53E2">
      <w:pPr>
        <w:rPr>
          <w:lang w:val="uk-UA"/>
        </w:rPr>
      </w:pPr>
      <w:r>
        <w:rPr>
          <w:lang w:val="uk-UA"/>
        </w:rPr>
        <w:t xml:space="preserve">В. о. </w:t>
      </w:r>
      <w:r w:rsidR="005B53E2" w:rsidRPr="006C382E">
        <w:rPr>
          <w:lang w:val="uk-UA"/>
        </w:rPr>
        <w:t>Голов</w:t>
      </w:r>
      <w:r>
        <w:rPr>
          <w:lang w:val="uk-UA"/>
        </w:rPr>
        <w:t>и</w:t>
      </w:r>
      <w:r w:rsidR="005B53E2" w:rsidRPr="006C382E">
        <w:rPr>
          <w:lang w:val="uk-UA"/>
        </w:rPr>
        <w:t xml:space="preserve"> Комітету                                                            </w:t>
      </w:r>
      <w:r>
        <w:rPr>
          <w:lang w:val="uk-UA"/>
        </w:rPr>
        <w:t xml:space="preserve">        </w:t>
      </w:r>
      <w:r w:rsidR="005B53E2" w:rsidRPr="006C382E">
        <w:rPr>
          <w:lang w:val="uk-UA"/>
        </w:rPr>
        <w:t xml:space="preserve">     </w:t>
      </w:r>
      <w:r w:rsidR="003B7CAD" w:rsidRPr="006C382E">
        <w:rPr>
          <w:lang w:val="uk-UA"/>
        </w:rPr>
        <w:t xml:space="preserve">   </w:t>
      </w:r>
      <w:r w:rsidR="00574CAA" w:rsidRPr="006C382E">
        <w:rPr>
          <w:lang w:val="uk-UA"/>
        </w:rPr>
        <w:t xml:space="preserve">        </w:t>
      </w:r>
      <w:r>
        <w:rPr>
          <w:lang w:val="uk-UA"/>
        </w:rPr>
        <w:t>Максим САНДИГА</w:t>
      </w:r>
    </w:p>
    <w:p w:rsidR="00BA30C1" w:rsidRPr="006C382E" w:rsidRDefault="00BA30C1" w:rsidP="00BA30C1">
      <w:pPr>
        <w:pStyle w:val="2"/>
        <w:tabs>
          <w:tab w:val="left" w:pos="8647"/>
          <w:tab w:val="left" w:pos="9356"/>
        </w:tabs>
        <w:ind w:firstLine="0"/>
      </w:pPr>
    </w:p>
    <w:p w:rsidR="00A610D8" w:rsidRPr="006C382E" w:rsidRDefault="00A610D8" w:rsidP="000B2DDD">
      <w:pPr>
        <w:rPr>
          <w:lang w:val="uk-UA"/>
        </w:rPr>
      </w:pPr>
    </w:p>
    <w:sectPr w:rsidR="00A610D8" w:rsidRPr="006C382E" w:rsidSect="002E4F5B">
      <w:headerReference w:type="even" r:id="rId8"/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E79" w:rsidRDefault="00837E79" w:rsidP="0099781D">
      <w:r>
        <w:separator/>
      </w:r>
    </w:p>
  </w:endnote>
  <w:endnote w:type="continuationSeparator" w:id="0">
    <w:p w:rsidR="00837E79" w:rsidRDefault="00837E79" w:rsidP="0099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E79" w:rsidRDefault="00837E79" w:rsidP="0099781D">
      <w:r>
        <w:separator/>
      </w:r>
    </w:p>
  </w:footnote>
  <w:footnote w:type="continuationSeparator" w:id="0">
    <w:p w:rsidR="00837E79" w:rsidRDefault="00837E79" w:rsidP="0099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703417"/>
      <w:docPartObj>
        <w:docPartGallery w:val="Page Numbers (Top of Page)"/>
        <w:docPartUnique/>
      </w:docPartObj>
    </w:sdtPr>
    <w:sdtEndPr/>
    <w:sdtContent>
      <w:p w:rsidR="002E4F5B" w:rsidRDefault="002E4F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4F5B" w:rsidRDefault="002E4F5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81D" w:rsidRDefault="0099781D">
    <w:pPr>
      <w:pStyle w:val="aa"/>
      <w:jc w:val="center"/>
    </w:pPr>
  </w:p>
  <w:p w:rsidR="0099781D" w:rsidRDefault="0099781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6F"/>
    <w:rsid w:val="00073387"/>
    <w:rsid w:val="00077697"/>
    <w:rsid w:val="000B2DDD"/>
    <w:rsid w:val="000B338E"/>
    <w:rsid w:val="000C41A7"/>
    <w:rsid w:val="00121236"/>
    <w:rsid w:val="001313F1"/>
    <w:rsid w:val="001900AB"/>
    <w:rsid w:val="001A0F4F"/>
    <w:rsid w:val="001A4E39"/>
    <w:rsid w:val="001D2C0C"/>
    <w:rsid w:val="002108ED"/>
    <w:rsid w:val="00291DAC"/>
    <w:rsid w:val="002E4F5B"/>
    <w:rsid w:val="002F4BE1"/>
    <w:rsid w:val="00310AA9"/>
    <w:rsid w:val="00343171"/>
    <w:rsid w:val="003B6BD4"/>
    <w:rsid w:val="003B7CAD"/>
    <w:rsid w:val="003F08B7"/>
    <w:rsid w:val="003F4699"/>
    <w:rsid w:val="00476746"/>
    <w:rsid w:val="00477304"/>
    <w:rsid w:val="00574CAA"/>
    <w:rsid w:val="00593C8B"/>
    <w:rsid w:val="005B53E2"/>
    <w:rsid w:val="005F6483"/>
    <w:rsid w:val="006A07DD"/>
    <w:rsid w:val="006C382E"/>
    <w:rsid w:val="006C6722"/>
    <w:rsid w:val="006E6E4A"/>
    <w:rsid w:val="00723774"/>
    <w:rsid w:val="00733610"/>
    <w:rsid w:val="00771D6F"/>
    <w:rsid w:val="00776B4A"/>
    <w:rsid w:val="007D41F2"/>
    <w:rsid w:val="007D4B70"/>
    <w:rsid w:val="007E199E"/>
    <w:rsid w:val="00804A62"/>
    <w:rsid w:val="0081357B"/>
    <w:rsid w:val="008146B7"/>
    <w:rsid w:val="00837E79"/>
    <w:rsid w:val="00856E1B"/>
    <w:rsid w:val="00872C29"/>
    <w:rsid w:val="0088209D"/>
    <w:rsid w:val="008870E4"/>
    <w:rsid w:val="008B7155"/>
    <w:rsid w:val="008D2C59"/>
    <w:rsid w:val="008D5822"/>
    <w:rsid w:val="008D752A"/>
    <w:rsid w:val="008E0D92"/>
    <w:rsid w:val="008E2D24"/>
    <w:rsid w:val="00900AD2"/>
    <w:rsid w:val="00907E3F"/>
    <w:rsid w:val="0099781D"/>
    <w:rsid w:val="009A1836"/>
    <w:rsid w:val="009D22E2"/>
    <w:rsid w:val="009E24CE"/>
    <w:rsid w:val="00A03044"/>
    <w:rsid w:val="00A36C6B"/>
    <w:rsid w:val="00A610D8"/>
    <w:rsid w:val="00A72028"/>
    <w:rsid w:val="00AA7244"/>
    <w:rsid w:val="00AB2AB2"/>
    <w:rsid w:val="00B11A6A"/>
    <w:rsid w:val="00B17B5E"/>
    <w:rsid w:val="00B63E65"/>
    <w:rsid w:val="00B92E60"/>
    <w:rsid w:val="00BA30C1"/>
    <w:rsid w:val="00BC0534"/>
    <w:rsid w:val="00BC74EC"/>
    <w:rsid w:val="00BD18D1"/>
    <w:rsid w:val="00BE5854"/>
    <w:rsid w:val="00C534CC"/>
    <w:rsid w:val="00C53B31"/>
    <w:rsid w:val="00C67E7A"/>
    <w:rsid w:val="00C90849"/>
    <w:rsid w:val="00CE5BE1"/>
    <w:rsid w:val="00D025FF"/>
    <w:rsid w:val="00D448F8"/>
    <w:rsid w:val="00DB38D4"/>
    <w:rsid w:val="00DF2B81"/>
    <w:rsid w:val="00E9109B"/>
    <w:rsid w:val="00EA3F10"/>
    <w:rsid w:val="00EA62B3"/>
    <w:rsid w:val="00EC531E"/>
    <w:rsid w:val="00EE3E02"/>
    <w:rsid w:val="00F6752B"/>
    <w:rsid w:val="00F90E05"/>
    <w:rsid w:val="00FB675D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11C7-723B-43F1-8744-7317478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1D6F"/>
    <w:pPr>
      <w:overflowPunct w:val="0"/>
      <w:autoSpaceDE w:val="0"/>
      <w:autoSpaceDN w:val="0"/>
      <w:adjustRightInd w:val="0"/>
      <w:jc w:val="both"/>
    </w:pPr>
    <w:rPr>
      <w:noProof/>
      <w:szCs w:val="20"/>
    </w:rPr>
  </w:style>
  <w:style w:type="character" w:customStyle="1" w:styleId="a4">
    <w:name w:val="Основной текст Знак"/>
    <w:basedOn w:val="a0"/>
    <w:link w:val="a3"/>
    <w:semiHidden/>
    <w:rsid w:val="00771D6F"/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771D6F"/>
    <w:pPr>
      <w:autoSpaceDE w:val="0"/>
      <w:autoSpaceDN w:val="0"/>
      <w:adjustRightInd w:val="0"/>
      <w:ind w:firstLine="720"/>
      <w:jc w:val="both"/>
    </w:pPr>
    <w:rPr>
      <w:sz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771D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6F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Subtle Reference"/>
    <w:basedOn w:val="a0"/>
    <w:uiPriority w:val="31"/>
    <w:qFormat/>
    <w:rsid w:val="00121236"/>
    <w:rPr>
      <w:smallCaps/>
      <w:color w:val="C0504D" w:themeColor="accent2"/>
      <w:u w:val="single"/>
    </w:rPr>
  </w:style>
  <w:style w:type="character" w:customStyle="1" w:styleId="a8">
    <w:name w:val="Абзац списка Знак"/>
    <w:aliases w:val="#Listenabsatz Знак,PBM ART Знак,Normal mit Aufzählung a) Знак,Normal mit Aufzahlung a) Знак,????? ?????? Знак,Bullet List Знак,FooterText Знак,numbered Знак,Paragraphe de liste1 Знак,Bulletr List Paragraph Знак,列出段落 Знак,列出段落1 Знак"/>
    <w:link w:val="a9"/>
    <w:uiPriority w:val="34"/>
    <w:qFormat/>
    <w:locked/>
    <w:rsid w:val="009A1836"/>
    <w:rPr>
      <w:rFonts w:ascii="Calibri" w:eastAsia="Calibri" w:hAnsi="Calibri" w:cs="Times New Roman"/>
      <w:lang w:val="x-none"/>
    </w:rPr>
  </w:style>
  <w:style w:type="paragraph" w:styleId="a9">
    <w:name w:val="List Paragraph"/>
    <w:aliases w:val="#Listenabsatz,PBM ART,Normal mit Aufzählung a),Normal mit Aufzahlung a),????? ??????,Bullet List,FooterText,numbered,Paragraphe de liste1,Bulletr List Paragraph,列出段落,列出段落1,List Paragraph2,List Paragraph21,Párrafo de lista1,Parágrafo da List"/>
    <w:basedOn w:val="a"/>
    <w:link w:val="a8"/>
    <w:uiPriority w:val="34"/>
    <w:qFormat/>
    <w:rsid w:val="009A18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9978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78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978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781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8DC9-FF48-4D7B-9D25-E8A58514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AMCU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Демченюк Ірина Олександрівна</dc:creator>
  <cp:lastModifiedBy>Василенко Альона Валеріївна</cp:lastModifiedBy>
  <cp:revision>3</cp:revision>
  <cp:lastPrinted>2024-08-15T07:15:00Z</cp:lastPrinted>
  <dcterms:created xsi:type="dcterms:W3CDTF">2024-08-20T09:12:00Z</dcterms:created>
  <dcterms:modified xsi:type="dcterms:W3CDTF">2024-08-27T06:37:00Z</dcterms:modified>
</cp:coreProperties>
</file>