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F72E6A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7553E6" w:rsidP="008A2548">
      <w:pPr>
        <w:tabs>
          <w:tab w:val="left" w:pos="4820"/>
          <w:tab w:val="left" w:leader="hyphen" w:pos="10206"/>
        </w:tabs>
      </w:pPr>
      <w:r>
        <w:rPr>
          <w:bCs/>
        </w:rPr>
        <w:t>04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3936F0">
        <w:t>№</w:t>
      </w:r>
      <w:r w:rsidR="009C3FDC">
        <w:t xml:space="preserve"> </w:t>
      </w:r>
      <w:r>
        <w:rPr>
          <w:lang w:val="ru-RU"/>
        </w:rPr>
        <w:t>128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5953EA" w:rsidRDefault="00186751" w:rsidP="00D51EBD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8A2548" w:rsidRPr="008A2548">
        <w:rPr>
          <w:rFonts w:eastAsia="Calibri"/>
          <w:szCs w:val="24"/>
          <w:lang w:eastAsia="en-US"/>
        </w:rPr>
        <w:t>уповноваженого представника суб’єкта господарювання в особі компаній «OpenGate Capital Partners II, LP», «OpenGate Capital Partners II-A, LP» та «OGCP II Employee Co-Invest, LP» (усі – Гранд Кайман, Кайманові Острови) (далі – суб’єкт господарювання в особі Фондів «OpenGate ІІ») й компанії «Esko BV» (м. Гент, Бельгія)</w:t>
      </w:r>
      <w:r w:rsidR="00D51EBD" w:rsidRPr="00D51EBD">
        <w:rPr>
          <w:rFonts w:eastAsia="Calibri"/>
          <w:szCs w:val="24"/>
          <w:lang w:eastAsia="en-US"/>
        </w:rPr>
        <w:t xml:space="preserve">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у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D51EBD" w:rsidRPr="00D51EBD">
        <w:rPr>
          <w:rFonts w:eastAsia="Calibri"/>
          <w:szCs w:val="24"/>
          <w:lang w:eastAsia="en-US"/>
        </w:rPr>
        <w:t xml:space="preserve"> на</w:t>
      </w:r>
      <w:r w:rsidR="008A2548">
        <w:rPr>
          <w:rFonts w:eastAsia="Calibri"/>
          <w:szCs w:val="24"/>
          <w:lang w:eastAsia="en-US"/>
        </w:rPr>
        <w:t xml:space="preserve"> опосередковане</w:t>
      </w:r>
      <w:r w:rsidR="00D51EBD" w:rsidRPr="00D51EBD">
        <w:rPr>
          <w:rFonts w:eastAsia="Calibri"/>
          <w:szCs w:val="24"/>
          <w:lang w:eastAsia="en-US"/>
        </w:rPr>
        <w:t xml:space="preserve"> придбання акцій </w:t>
      </w:r>
      <w:r w:rsidR="008A2548" w:rsidRPr="008A2548">
        <w:rPr>
          <w:rFonts w:eastAsia="Calibri"/>
          <w:szCs w:val="24"/>
          <w:lang w:eastAsia="en-US"/>
        </w:rPr>
        <w:t>компанії «</w:t>
      </w:r>
      <w:r w:rsidR="005953EA" w:rsidRPr="005953EA">
        <w:rPr>
          <w:rFonts w:eastAsia="Calibri"/>
          <w:szCs w:val="24"/>
          <w:lang w:eastAsia="en-US"/>
        </w:rPr>
        <w:t>Kongsberg Precision Cutting Systems Germany GmbH» (м. Ітцего, Німеччина)</w:t>
      </w:r>
      <w:r w:rsidR="008078B0" w:rsidRPr="005953EA">
        <w:t xml:space="preserve">, </w:t>
      </w:r>
    </w:p>
    <w:p w:rsidR="00186751" w:rsidRPr="005953EA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5953EA" w:rsidRDefault="00186751" w:rsidP="00AD58F5">
      <w:pPr>
        <w:pStyle w:val="a3"/>
        <w:ind w:firstLine="709"/>
        <w:jc w:val="center"/>
      </w:pPr>
      <w:r w:rsidRPr="005953EA">
        <w:t>ВСТАНОВИВ:</w:t>
      </w:r>
    </w:p>
    <w:p w:rsidR="00186751" w:rsidRPr="005953EA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5953EA" w:rsidRDefault="00ED4EE9" w:rsidP="009858B5">
      <w:pPr>
        <w:pStyle w:val="a3"/>
        <w:tabs>
          <w:tab w:val="left" w:pos="4862"/>
        </w:tabs>
        <w:ind w:firstLine="709"/>
      </w:pPr>
      <w:r w:rsidRPr="005953EA">
        <w:t xml:space="preserve">Концентрація </w:t>
      </w:r>
      <w:r w:rsidR="008550D1" w:rsidRPr="005953EA">
        <w:t xml:space="preserve">полягає у </w:t>
      </w:r>
      <w:r w:rsidR="008550D1" w:rsidRPr="005953EA">
        <w:rPr>
          <w:szCs w:val="24"/>
        </w:rPr>
        <w:t xml:space="preserve">придбанні </w:t>
      </w:r>
      <w:r w:rsidR="008A2548" w:rsidRPr="005953EA">
        <w:rPr>
          <w:rFonts w:eastAsia="Calibri"/>
          <w:szCs w:val="24"/>
          <w:lang w:eastAsia="en-US"/>
        </w:rPr>
        <w:t>суб’єктом господарювання в особі Фондів «OpenGate ІІ»</w:t>
      </w:r>
      <w:r w:rsidR="008550D1" w:rsidRPr="005953EA">
        <w:rPr>
          <w:szCs w:val="24"/>
        </w:rPr>
        <w:t xml:space="preserve"> </w:t>
      </w:r>
      <w:r w:rsidR="008A2548" w:rsidRPr="005953EA">
        <w:rPr>
          <w:szCs w:val="24"/>
        </w:rPr>
        <w:t>[через компанію «Van Gogh Intermediate Holdings Sarl» (м. Люксембург, Люксембург)] акцій</w:t>
      </w:r>
      <w:r w:rsidR="008550D1" w:rsidRPr="005953EA">
        <w:rPr>
          <w:szCs w:val="24"/>
        </w:rPr>
        <w:t xml:space="preserve"> </w:t>
      </w:r>
      <w:r w:rsidR="008A2548" w:rsidRPr="005953EA">
        <w:rPr>
          <w:rFonts w:eastAsia="Calibri"/>
          <w:szCs w:val="24"/>
          <w:lang w:eastAsia="en-US"/>
        </w:rPr>
        <w:t>компанії «</w:t>
      </w:r>
      <w:r w:rsidR="005953EA" w:rsidRPr="005953EA">
        <w:rPr>
          <w:rFonts w:eastAsia="Calibri"/>
          <w:szCs w:val="24"/>
          <w:lang w:eastAsia="en-US"/>
        </w:rPr>
        <w:t>Kongsberg Precision Cutting Systems Germany GmbH</w:t>
      </w:r>
      <w:r w:rsidR="008A2548" w:rsidRPr="005953EA">
        <w:rPr>
          <w:rFonts w:eastAsia="Calibri"/>
          <w:szCs w:val="24"/>
          <w:lang w:eastAsia="en-US"/>
        </w:rPr>
        <w:t>»</w:t>
      </w:r>
      <w:r w:rsidR="008550D1" w:rsidRPr="005953EA">
        <w:rPr>
          <w:rFonts w:eastAsia="Calibri"/>
          <w:szCs w:val="24"/>
          <w:lang w:eastAsia="en-US"/>
        </w:rPr>
        <w:t xml:space="preserve">, що забезпечує перевищення </w:t>
      </w:r>
      <w:r w:rsidR="008A2548" w:rsidRPr="005953EA">
        <w:rPr>
          <w:rFonts w:eastAsia="Calibri"/>
          <w:szCs w:val="24"/>
          <w:lang w:eastAsia="en-US"/>
        </w:rPr>
        <w:t>50</w:t>
      </w:r>
      <w:r w:rsidR="008550D1" w:rsidRPr="005953EA">
        <w:rPr>
          <w:rFonts w:eastAsia="Calibri"/>
          <w:szCs w:val="24"/>
          <w:lang w:eastAsia="en-US"/>
        </w:rPr>
        <w:t xml:space="preserve"> відсотків голосів у вищому </w:t>
      </w:r>
      <w:r w:rsidR="006F57CC" w:rsidRPr="005953EA">
        <w:rPr>
          <w:rFonts w:eastAsia="Calibri"/>
          <w:szCs w:val="24"/>
          <w:lang w:eastAsia="en-US"/>
        </w:rPr>
        <w:t xml:space="preserve">органі </w:t>
      </w:r>
      <w:r w:rsidR="008550D1" w:rsidRPr="005953EA">
        <w:rPr>
          <w:rFonts w:eastAsia="Calibri"/>
          <w:szCs w:val="24"/>
          <w:lang w:eastAsia="en-US"/>
        </w:rPr>
        <w:t>управл</w:t>
      </w:r>
      <w:r w:rsidR="000074C3" w:rsidRPr="005953EA">
        <w:rPr>
          <w:rFonts w:eastAsia="Calibri"/>
          <w:szCs w:val="24"/>
          <w:lang w:eastAsia="en-US"/>
        </w:rPr>
        <w:t>і</w:t>
      </w:r>
      <w:r w:rsidR="008550D1" w:rsidRPr="005953EA">
        <w:rPr>
          <w:rFonts w:eastAsia="Calibri"/>
          <w:szCs w:val="24"/>
          <w:lang w:eastAsia="en-US"/>
        </w:rPr>
        <w:t xml:space="preserve">ння </w:t>
      </w:r>
      <w:r w:rsidR="008A2548" w:rsidRPr="005953EA">
        <w:rPr>
          <w:rFonts w:eastAsia="Calibri"/>
          <w:szCs w:val="24"/>
          <w:lang w:eastAsia="en-US"/>
        </w:rPr>
        <w:t>компанії</w:t>
      </w:r>
      <w:r w:rsidR="00D51EBD" w:rsidRPr="005953EA">
        <w:t>.</w:t>
      </w:r>
    </w:p>
    <w:p w:rsidR="009909DF" w:rsidRPr="005953EA" w:rsidRDefault="009909DF" w:rsidP="009858B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5953EA" w:rsidRDefault="00186751" w:rsidP="009858B5">
      <w:pPr>
        <w:pStyle w:val="a3"/>
        <w:tabs>
          <w:tab w:val="left" w:pos="4862"/>
        </w:tabs>
        <w:ind w:firstLine="709"/>
      </w:pPr>
      <w:r w:rsidRPr="005953EA">
        <w:t>Відповідно до наданої заявниками інформації:</w:t>
      </w:r>
    </w:p>
    <w:p w:rsidR="0063141E" w:rsidRPr="005953EA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9858B5" w:rsidRPr="005953E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5953EA">
        <w:rPr>
          <w:rFonts w:eastAsia="Calibri"/>
          <w:lang w:eastAsia="en-US"/>
        </w:rPr>
        <w:t>компанія «</w:t>
      </w:r>
      <w:r w:rsidR="005953EA" w:rsidRPr="005953EA">
        <w:rPr>
          <w:rFonts w:eastAsia="Calibri"/>
          <w:lang w:eastAsia="en-US"/>
        </w:rPr>
        <w:t>Kongsberg Precision Cutting Systems Germany GmbH</w:t>
      </w:r>
      <w:r w:rsidRPr="005953EA">
        <w:rPr>
          <w:rFonts w:eastAsia="Calibri"/>
          <w:lang w:eastAsia="en-US"/>
        </w:rPr>
        <w:t>» не здійснює господарської діяльності на території України;</w:t>
      </w:r>
    </w:p>
    <w:p w:rsidR="009858B5" w:rsidRPr="005953E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5953EA">
        <w:rPr>
          <w:rFonts w:eastAsia="Calibri"/>
          <w:lang w:eastAsia="en-US"/>
        </w:rPr>
        <w:t>компанія «</w:t>
      </w:r>
      <w:r w:rsidR="005953EA" w:rsidRPr="005953EA">
        <w:rPr>
          <w:rFonts w:eastAsia="Calibri"/>
          <w:lang w:eastAsia="en-US"/>
        </w:rPr>
        <w:t>Kongsberg Precision Cutting Systems Germany GmbH</w:t>
      </w:r>
      <w:r w:rsidRPr="005953EA">
        <w:rPr>
          <w:rFonts w:eastAsia="Calibri"/>
          <w:lang w:eastAsia="en-US"/>
        </w:rPr>
        <w:t>» пов’язана відносинами контролю із суб’єктами господарювання – нерезидентами України, які разом утворюють Групу Esko (далі – Група Esko);</w:t>
      </w:r>
    </w:p>
    <w:p w:rsidR="009858B5" w:rsidRPr="005953E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5953EA">
        <w:rPr>
          <w:rFonts w:eastAsia="Calibri"/>
          <w:lang w:eastAsia="en-US"/>
        </w:rPr>
        <w:t>на території України Група</w:t>
      </w:r>
      <w:r w:rsidRPr="005953E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5953EA">
        <w:rPr>
          <w:rFonts w:eastAsia="Calibri"/>
          <w:lang w:eastAsia="en-US"/>
        </w:rPr>
        <w:t>Esko здійснює діяльність із постачання програмного забезпечення, а саме: цифрових технологій різання, витратних матеріалів, запасних частин та надання супутніх послух (технічного обслуговування, навчання та монтажу);</w:t>
      </w:r>
    </w:p>
    <w:p w:rsidR="009858B5" w:rsidRPr="005953E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5953EA">
        <w:rPr>
          <w:rFonts w:eastAsia="Calibri"/>
          <w:lang w:eastAsia="en-US"/>
        </w:rPr>
        <w:t xml:space="preserve">також Група Esko пов’язана відносинами контролю із суб’єктами господарювання – нерезидентами України, які утворюють Групу </w:t>
      </w:r>
      <w:r w:rsidRPr="005953EA">
        <w:rPr>
          <w:rFonts w:eastAsia="Calibri"/>
          <w:lang w:val="en-US" w:eastAsia="en-US"/>
        </w:rPr>
        <w:t>Danaher</w:t>
      </w:r>
      <w:r w:rsidRPr="005953EA">
        <w:rPr>
          <w:rFonts w:eastAsia="Calibri"/>
          <w:lang w:eastAsia="en-US"/>
        </w:rPr>
        <w:t xml:space="preserve"> (далі – Група Danaher);</w:t>
      </w:r>
    </w:p>
    <w:p w:rsidR="009858B5" w:rsidRPr="005953E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5953EA">
        <w:rPr>
          <w:rFonts w:eastAsia="Calibri"/>
          <w:lang w:eastAsia="en-US"/>
        </w:rPr>
        <w:t>на території України Група Danaher здійснює діяльність у сферах: екологічних та прикладних рішень (захист глобальних ресурсів та забезпечення безпеки продуктів харчування та води); діагностики (сприяння науковим дослідженням у клінічних науково-дослідних, академічних та державних установах, шляхом надання обладнання та послуг для подальшої роботи в таких галузях, як хронічні захворювання та інфекції на клінічному рівні);  медико-біологічних розробок (захист здоров’я пацієнтів шляхом діагностичної достовірності за допомогою сучасного обладнання, інструментів та програмного забезпечення);</w:t>
      </w:r>
    </w:p>
    <w:p w:rsidR="009858B5" w:rsidRPr="005953E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5953EA">
        <w:rPr>
          <w:rFonts w:eastAsia="Calibri"/>
          <w:lang w:eastAsia="en-US"/>
        </w:rPr>
        <w:t>контроль над Групою Esko</w:t>
      </w:r>
      <w:r w:rsidRPr="005953E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5953EA">
        <w:rPr>
          <w:rFonts w:eastAsia="Calibri"/>
          <w:lang w:eastAsia="en-US"/>
        </w:rPr>
        <w:t>та</w:t>
      </w:r>
      <w:r w:rsidRPr="005953E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5953EA">
        <w:rPr>
          <w:rFonts w:eastAsia="Calibri"/>
          <w:lang w:eastAsia="en-US"/>
        </w:rPr>
        <w:t xml:space="preserve">Групою Danaher здійснює компанія «Danaher </w:t>
      </w:r>
      <w:r w:rsidRPr="005953EA">
        <w:rPr>
          <w:rFonts w:eastAsia="Calibri"/>
          <w:lang w:val="en-US" w:eastAsia="en-US"/>
        </w:rPr>
        <w:t>Corporation</w:t>
      </w:r>
      <w:r w:rsidRPr="005953EA">
        <w:rPr>
          <w:rFonts w:eastAsia="Calibri"/>
          <w:lang w:eastAsia="en-US"/>
        </w:rPr>
        <w:t>» (м. Вашингтон, США), яка здійснює діяльність з управління корпоративними правами суб’єктів господарювання;</w:t>
      </w:r>
    </w:p>
    <w:p w:rsidR="009858B5" w:rsidRPr="005953EA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5953EA">
        <w:rPr>
          <w:rFonts w:eastAsia="Calibri"/>
          <w:lang w:eastAsia="en-US"/>
        </w:rPr>
        <w:lastRenderedPageBreak/>
        <w:t>після здійснення заявлен</w:t>
      </w:r>
      <w:r w:rsidR="007553E6">
        <w:rPr>
          <w:rFonts w:eastAsia="Calibri"/>
          <w:lang w:eastAsia="en-US"/>
        </w:rPr>
        <w:t>ої</w:t>
      </w:r>
      <w:r w:rsidRPr="005953EA">
        <w:rPr>
          <w:rFonts w:eastAsia="Calibri"/>
          <w:lang w:eastAsia="en-US"/>
        </w:rPr>
        <w:t xml:space="preserve"> концентраці</w:t>
      </w:r>
      <w:r w:rsidR="007553E6">
        <w:rPr>
          <w:rFonts w:eastAsia="Calibri"/>
          <w:lang w:eastAsia="en-US"/>
        </w:rPr>
        <w:t>ї</w:t>
      </w:r>
      <w:r w:rsidRPr="005953EA">
        <w:rPr>
          <w:rFonts w:eastAsia="Calibri"/>
          <w:lang w:eastAsia="en-US"/>
        </w:rPr>
        <w:t xml:space="preserve"> відносини контролю між Групою Esko, Групою Danaher, компанією «Danaher Corporation» та Об’єктом придбання будуть припинені;</w:t>
      </w:r>
    </w:p>
    <w:p w:rsidR="009858B5" w:rsidRPr="007553E6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7553E6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5953EA" w:rsidRDefault="007553E6" w:rsidP="009858B5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>
        <w:rPr>
          <w:rFonts w:eastAsia="Calibri"/>
          <w:lang w:eastAsia="en-US"/>
        </w:rPr>
        <w:t xml:space="preserve">суб’єкт </w:t>
      </w:r>
      <w:r w:rsidR="009858B5" w:rsidRPr="005953EA">
        <w:rPr>
          <w:rFonts w:eastAsia="Calibri"/>
          <w:lang w:eastAsia="en-US"/>
        </w:rPr>
        <w:t>господарювання в особі Фондів «OpenGate ІІ» здійснює діяльність з управління корпоративними правами суб’єктів господарювання та не здійснює господарської діяльності на території України;</w:t>
      </w:r>
    </w:p>
    <w:p w:rsidR="009858B5" w:rsidRPr="005953EA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5953EA">
        <w:rPr>
          <w:bCs/>
        </w:rPr>
        <w:t>суб’єкт господарювання в особі Фондів «OpenGate ІІ» пов’язаний відносинами контролю із:</w:t>
      </w:r>
    </w:p>
    <w:p w:rsidR="009858B5" w:rsidRPr="005953EA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5953EA">
        <w:rPr>
          <w:bCs/>
        </w:rPr>
        <w:t>суб’єктами господарювання – нерезидентами України, які на території України здійснюють діяльність із: реалізації плівки ПВХ (гнучкої, напівжорсткої, жорсткої), чавунних печей і камінів, рухомих перегородок, спеціальних хімічних речовин на основі цинку,</w:t>
      </w:r>
      <w:r w:rsidRPr="005953EA">
        <w:rPr>
          <w:szCs w:val="20"/>
        </w:rPr>
        <w:t xml:space="preserve"> </w:t>
      </w:r>
      <w:r w:rsidRPr="005953EA">
        <w:rPr>
          <w:bCs/>
        </w:rPr>
        <w:t>карбіду кремнію; виробництва спеціалізованих замків підвищеної надійності; надання послуг охорони, постачання програмного забезпечення та хмарних послуг для бездротових потокових медіа та спільних програмних рішень (надання можливості будь-якій кількості користувачів на будь-якому пристрої бездротово ділитися та управляти контентом на дисплеях, а також безперешкодно підключатися до віддалених учасників, використовуючи будь-яку послугу веб-конференції);</w:t>
      </w:r>
    </w:p>
    <w:p w:rsidR="009858B5" w:rsidRPr="005953EA" w:rsidRDefault="009858B5" w:rsidP="009858B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953EA">
        <w:rPr>
          <w:bCs/>
        </w:rPr>
        <w:t>іншими суб’єктами господарювання – нерезидентами України, які не здійснюють господарськ</w:t>
      </w:r>
      <w:r w:rsidR="007553E6">
        <w:rPr>
          <w:bCs/>
        </w:rPr>
        <w:t>ої</w:t>
      </w:r>
      <w:r w:rsidRPr="005953EA">
        <w:rPr>
          <w:bCs/>
        </w:rPr>
        <w:t xml:space="preserve"> діяльн</w:t>
      </w:r>
      <w:r w:rsidR="007553E6">
        <w:rPr>
          <w:bCs/>
        </w:rPr>
        <w:t>о</w:t>
      </w:r>
      <w:r w:rsidRPr="005953EA">
        <w:rPr>
          <w:bCs/>
        </w:rPr>
        <w:t>ст</w:t>
      </w:r>
      <w:r w:rsidR="007553E6">
        <w:rPr>
          <w:bCs/>
        </w:rPr>
        <w:t>і</w:t>
      </w:r>
      <w:r w:rsidRPr="005953EA">
        <w:rPr>
          <w:bCs/>
        </w:rPr>
        <w:t xml:space="preserve"> на території України</w:t>
      </w:r>
      <w:r w:rsidR="007553E6">
        <w:rPr>
          <w:bCs/>
        </w:rPr>
        <w:t>.</w:t>
      </w:r>
    </w:p>
    <w:p w:rsidR="008A2548" w:rsidRPr="005953EA" w:rsidRDefault="008A2548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Pr="005953EA" w:rsidRDefault="00186751" w:rsidP="00AD58F5">
      <w:pPr>
        <w:pStyle w:val="a3"/>
        <w:tabs>
          <w:tab w:val="left" w:pos="4862"/>
        </w:tabs>
        <w:ind w:firstLine="709"/>
      </w:pPr>
      <w:r w:rsidRPr="005953E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Pr="005953EA" w:rsidRDefault="008479B2" w:rsidP="00AD58F5">
      <w:pPr>
        <w:pStyle w:val="a3"/>
        <w:tabs>
          <w:tab w:val="left" w:pos="4862"/>
        </w:tabs>
        <w:ind w:firstLine="709"/>
      </w:pPr>
    </w:p>
    <w:p w:rsidR="00186751" w:rsidRPr="005953EA" w:rsidRDefault="00186751" w:rsidP="00AD58F5">
      <w:pPr>
        <w:pStyle w:val="a3"/>
        <w:tabs>
          <w:tab w:val="left" w:pos="4862"/>
        </w:tabs>
        <w:ind w:firstLine="709"/>
      </w:pPr>
      <w:r w:rsidRPr="005953EA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5953EA" w:rsidRDefault="00186751" w:rsidP="00AD58F5">
      <w:pPr>
        <w:pStyle w:val="a3"/>
        <w:tabs>
          <w:tab w:val="left" w:pos="4862"/>
        </w:tabs>
        <w:ind w:firstLine="709"/>
      </w:pPr>
    </w:p>
    <w:p w:rsidR="00186751" w:rsidRPr="005953EA" w:rsidRDefault="00186751" w:rsidP="00AD58F5">
      <w:pPr>
        <w:pStyle w:val="a3"/>
        <w:ind w:firstLine="709"/>
      </w:pPr>
      <w:r w:rsidRPr="005953EA">
        <w:t xml:space="preserve">                                                       ПОСТАНОВИВ:</w:t>
      </w:r>
    </w:p>
    <w:p w:rsidR="00186751" w:rsidRPr="005953EA" w:rsidRDefault="00186751" w:rsidP="00AD58F5">
      <w:pPr>
        <w:pStyle w:val="a3"/>
        <w:ind w:firstLine="709"/>
      </w:pPr>
    </w:p>
    <w:p w:rsidR="0077541B" w:rsidRPr="005953EA" w:rsidRDefault="008A2548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5953EA">
        <w:rPr>
          <w:lang w:eastAsia="uk-UA"/>
        </w:rPr>
        <w:t>Надати дозвіл</w:t>
      </w:r>
      <w:r w:rsidRPr="005953EA">
        <w:t xml:space="preserve"> </w:t>
      </w:r>
      <w:r w:rsidRPr="005953EA">
        <w:rPr>
          <w:lang w:eastAsia="uk-UA"/>
        </w:rPr>
        <w:t>суб’єкту господарювання в особі компаній «OpenGate Capital Partners II, LP», «OpenGate Capital Partners II-A, LP» та «OGCP II Employee Co-Invest, LP» (усі – Гранд Кайман, Кайманові Острови) на опосередковане придбання акцій</w:t>
      </w:r>
      <w:r w:rsidRPr="005953EA">
        <w:rPr>
          <w:rFonts w:eastAsia="Calibri"/>
          <w:lang w:eastAsia="en-US"/>
        </w:rPr>
        <w:t xml:space="preserve"> компанії «</w:t>
      </w:r>
      <w:r w:rsidR="005953EA" w:rsidRPr="005953EA">
        <w:rPr>
          <w:rFonts w:eastAsia="Calibri"/>
          <w:lang w:eastAsia="en-US"/>
        </w:rPr>
        <w:t>Kongsberg Precision Cutting Systems Germany GmbH» (м. Ітцего, Німеччина)</w:t>
      </w:r>
      <w:r w:rsidRPr="005953EA">
        <w:rPr>
          <w:rFonts w:eastAsia="Calibri"/>
          <w:lang w:eastAsia="en-US"/>
        </w:rPr>
        <w:t>, що забезпечить перевищення 50 відсотків голосів у вищому органі управління компанії</w:t>
      </w:r>
      <w:r w:rsidR="00D51EBD" w:rsidRPr="005953EA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r w:rsidR="00DA6462">
        <w:rPr>
          <w:lang w:val="ru-RU"/>
        </w:rPr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3E5" w:rsidRDefault="00EF63E5">
      <w:r>
        <w:separator/>
      </w:r>
    </w:p>
  </w:endnote>
  <w:endnote w:type="continuationSeparator" w:id="0">
    <w:p w:rsidR="00EF63E5" w:rsidRDefault="00EF6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3E5" w:rsidRDefault="00EF63E5">
      <w:r>
        <w:separator/>
      </w:r>
    </w:p>
  </w:footnote>
  <w:footnote w:type="continuationSeparator" w:id="0">
    <w:p w:rsidR="00EF63E5" w:rsidRDefault="00EF6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548" w:rsidRDefault="008A25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</w:pPr>
  </w:p>
  <w:p w:rsidR="008A2548" w:rsidRDefault="008A2548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2E6A">
      <w:rPr>
        <w:rStyle w:val="a6"/>
        <w:noProof/>
      </w:rPr>
      <w:t>2</w:t>
    </w:r>
    <w:r>
      <w:rPr>
        <w:rStyle w:val="a6"/>
      </w:rPr>
      <w:fldChar w:fldCharType="end"/>
    </w:r>
  </w:p>
  <w:p w:rsidR="008A2548" w:rsidRDefault="008A2548">
    <w:pPr>
      <w:pStyle w:val="a5"/>
    </w:pPr>
  </w:p>
  <w:p w:rsidR="008A2548" w:rsidRPr="00B82EE1" w:rsidRDefault="008A254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953EA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3FA5"/>
    <w:rsid w:val="00645DAA"/>
    <w:rsid w:val="00646053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53E6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1EDD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3AE0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EF63E5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2E6A"/>
    <w:rsid w:val="00F73FFC"/>
    <w:rsid w:val="00F84055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4708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2021-03-16T06:14:00Z</cp:lastPrinted>
  <dcterms:created xsi:type="dcterms:W3CDTF">2021-03-22T07:25:00Z</dcterms:created>
  <dcterms:modified xsi:type="dcterms:W3CDTF">2021-03-22T07:25:00Z</dcterms:modified>
</cp:coreProperties>
</file>