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711C" w:rsidRPr="00876633" w:rsidRDefault="009F6371" w:rsidP="00261174">
      <w:pPr>
        <w:contextualSpacing/>
        <w:jc w:val="center"/>
        <w:rPr>
          <w:sz w:val="16"/>
          <w:szCs w:val="16"/>
          <w:lang w:val="uk-UA"/>
        </w:rPr>
      </w:pPr>
      <w:bookmarkStart w:id="0" w:name="_GoBack"/>
      <w:bookmarkEnd w:id="0"/>
      <w:r>
        <w:rPr>
          <w:noProof/>
        </w:rPr>
        <w:drawing>
          <wp:inline distT="0" distB="0" distL="0" distR="0">
            <wp:extent cx="607060" cy="6889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7060" cy="688975"/>
                    </a:xfrm>
                    <a:prstGeom prst="rect">
                      <a:avLst/>
                    </a:prstGeom>
                    <a:noFill/>
                    <a:ln>
                      <a:noFill/>
                    </a:ln>
                  </pic:spPr>
                </pic:pic>
              </a:graphicData>
            </a:graphic>
          </wp:inline>
        </w:drawing>
      </w:r>
    </w:p>
    <w:p w:rsidR="0012711C" w:rsidRPr="009E2F9B" w:rsidRDefault="0012711C" w:rsidP="00DA2B5A">
      <w:pPr>
        <w:contextualSpacing/>
        <w:jc w:val="center"/>
        <w:rPr>
          <w:b/>
          <w:sz w:val="32"/>
          <w:szCs w:val="32"/>
          <w:lang w:val="uk-UA"/>
        </w:rPr>
      </w:pPr>
      <w:r w:rsidRPr="009E2F9B">
        <w:rPr>
          <w:b/>
          <w:sz w:val="32"/>
          <w:szCs w:val="32"/>
          <w:lang w:val="uk-UA"/>
        </w:rPr>
        <w:t>АНТИМОНОПОЛЬНИЙ   КОМІТЕТ   УКРАЇНИ</w:t>
      </w:r>
    </w:p>
    <w:p w:rsidR="00AF0FB0" w:rsidRPr="00876633" w:rsidRDefault="00AF0FB0" w:rsidP="00DA2B5A">
      <w:pPr>
        <w:tabs>
          <w:tab w:val="left" w:leader="hyphen" w:pos="10206"/>
        </w:tabs>
        <w:contextualSpacing/>
        <w:jc w:val="center"/>
        <w:rPr>
          <w:b/>
          <w:sz w:val="28"/>
          <w:szCs w:val="28"/>
          <w:lang w:val="uk-UA"/>
        </w:rPr>
      </w:pPr>
    </w:p>
    <w:p w:rsidR="0012711C" w:rsidRPr="009E2F9B" w:rsidRDefault="0012711C" w:rsidP="00DA2B5A">
      <w:pPr>
        <w:tabs>
          <w:tab w:val="left" w:leader="hyphen" w:pos="10206"/>
        </w:tabs>
        <w:contextualSpacing/>
        <w:jc w:val="center"/>
        <w:rPr>
          <w:b/>
          <w:sz w:val="32"/>
          <w:szCs w:val="32"/>
          <w:lang w:val="uk-UA"/>
        </w:rPr>
      </w:pPr>
      <w:r w:rsidRPr="009E2F9B">
        <w:rPr>
          <w:b/>
          <w:sz w:val="32"/>
          <w:szCs w:val="32"/>
          <w:lang w:val="uk-UA"/>
        </w:rPr>
        <w:t>РІШЕННЯ</w:t>
      </w:r>
    </w:p>
    <w:p w:rsidR="00AF0FB0" w:rsidRPr="009E2F9B" w:rsidRDefault="00AF0FB0" w:rsidP="00DA2B5A">
      <w:pPr>
        <w:tabs>
          <w:tab w:val="left" w:leader="hyphen" w:pos="10206"/>
        </w:tabs>
        <w:contextualSpacing/>
        <w:jc w:val="center"/>
        <w:rPr>
          <w:b/>
          <w:sz w:val="28"/>
          <w:szCs w:val="28"/>
          <w:lang w:val="uk-UA"/>
        </w:rPr>
      </w:pPr>
    </w:p>
    <w:p w:rsidR="0012711C" w:rsidRPr="00876633" w:rsidRDefault="003E5E46" w:rsidP="00261174">
      <w:pPr>
        <w:tabs>
          <w:tab w:val="left" w:leader="hyphen" w:pos="10206"/>
        </w:tabs>
        <w:contextualSpacing/>
        <w:rPr>
          <w:lang w:val="uk-UA"/>
        </w:rPr>
      </w:pPr>
      <w:r>
        <w:rPr>
          <w:bCs/>
          <w:lang w:val="uk-UA"/>
        </w:rPr>
        <w:t xml:space="preserve">24 </w:t>
      </w:r>
      <w:r w:rsidR="00D72629">
        <w:rPr>
          <w:bCs/>
          <w:lang w:val="uk-UA"/>
        </w:rPr>
        <w:t>грудня</w:t>
      </w:r>
      <w:r w:rsidR="0012711C" w:rsidRPr="00876633">
        <w:rPr>
          <w:bCs/>
          <w:lang w:val="uk-UA"/>
        </w:rPr>
        <w:t xml:space="preserve"> 20</w:t>
      </w:r>
      <w:r w:rsidR="00DA2B5A">
        <w:rPr>
          <w:bCs/>
          <w:lang w:val="uk-UA"/>
        </w:rPr>
        <w:t>20</w:t>
      </w:r>
      <w:r w:rsidR="0012711C" w:rsidRPr="00876633">
        <w:rPr>
          <w:bCs/>
          <w:lang w:val="uk-UA"/>
        </w:rPr>
        <w:t xml:space="preserve"> р.</w:t>
      </w:r>
      <w:r w:rsidR="0012711C" w:rsidRPr="00876633">
        <w:rPr>
          <w:lang w:val="uk-UA"/>
        </w:rPr>
        <w:t xml:space="preserve">              </w:t>
      </w:r>
      <w:r w:rsidR="00AF0FB0" w:rsidRPr="00876633">
        <w:rPr>
          <w:lang w:val="uk-UA"/>
        </w:rPr>
        <w:t xml:space="preserve">    </w:t>
      </w:r>
      <w:r w:rsidR="0012711C" w:rsidRPr="00876633">
        <w:rPr>
          <w:lang w:val="uk-UA"/>
        </w:rPr>
        <w:t xml:space="preserve">              </w:t>
      </w:r>
      <w:r w:rsidR="00261174" w:rsidRPr="00876633">
        <w:rPr>
          <w:lang w:val="uk-UA"/>
        </w:rPr>
        <w:t xml:space="preserve">   </w:t>
      </w:r>
      <w:r w:rsidR="0012711C" w:rsidRPr="00876633">
        <w:rPr>
          <w:lang w:val="uk-UA"/>
        </w:rPr>
        <w:t xml:space="preserve">           </w:t>
      </w:r>
      <w:r>
        <w:rPr>
          <w:lang w:val="uk-UA"/>
        </w:rPr>
        <w:t xml:space="preserve"> </w:t>
      </w:r>
      <w:r w:rsidR="0012711C" w:rsidRPr="00876633">
        <w:rPr>
          <w:lang w:val="uk-UA"/>
        </w:rPr>
        <w:t xml:space="preserve">Київ                 </w:t>
      </w:r>
      <w:r w:rsidR="00AF0FB0" w:rsidRPr="00876633">
        <w:rPr>
          <w:lang w:val="uk-UA"/>
        </w:rPr>
        <w:t xml:space="preserve">    </w:t>
      </w:r>
      <w:r w:rsidR="0012711C" w:rsidRPr="00876633">
        <w:rPr>
          <w:lang w:val="uk-UA"/>
        </w:rPr>
        <w:t xml:space="preserve">                                        </w:t>
      </w:r>
      <w:r>
        <w:rPr>
          <w:lang w:val="uk-UA"/>
        </w:rPr>
        <w:t xml:space="preserve"> </w:t>
      </w:r>
      <w:r w:rsidR="0012711C" w:rsidRPr="00876633">
        <w:rPr>
          <w:lang w:val="uk-UA"/>
        </w:rPr>
        <w:t xml:space="preserve">№ </w:t>
      </w:r>
      <w:r>
        <w:rPr>
          <w:lang w:val="uk-UA"/>
        </w:rPr>
        <w:t>812</w:t>
      </w:r>
      <w:r w:rsidR="00AF0FB0" w:rsidRPr="00876633">
        <w:rPr>
          <w:lang w:val="uk-UA"/>
        </w:rPr>
        <w:t>-р</w:t>
      </w:r>
    </w:p>
    <w:p w:rsidR="00850920" w:rsidRDefault="00850920" w:rsidP="00261174">
      <w:pPr>
        <w:pStyle w:val="a4"/>
        <w:contextualSpacing/>
        <w:rPr>
          <w:lang w:val="uk-UA"/>
        </w:rPr>
      </w:pPr>
    </w:p>
    <w:p w:rsidR="00293F72" w:rsidRPr="00140681" w:rsidRDefault="00293F72" w:rsidP="00261174">
      <w:pPr>
        <w:pStyle w:val="a4"/>
        <w:contextualSpacing/>
        <w:rPr>
          <w:lang w:val="uk-UA"/>
        </w:rPr>
      </w:pPr>
    </w:p>
    <w:p w:rsidR="003C3CF5" w:rsidRPr="00140681" w:rsidRDefault="003C3CF5" w:rsidP="00211FA6">
      <w:pPr>
        <w:pStyle w:val="a4"/>
        <w:contextualSpacing/>
        <w:rPr>
          <w:lang w:val="uk-UA"/>
        </w:rPr>
      </w:pPr>
      <w:r w:rsidRPr="00140681">
        <w:rPr>
          <w:lang w:val="uk-UA"/>
        </w:rPr>
        <w:t xml:space="preserve">Про результати розгляду  </w:t>
      </w:r>
    </w:p>
    <w:p w:rsidR="003C3CF5" w:rsidRPr="00140681" w:rsidRDefault="003C3CF5" w:rsidP="00211FA6">
      <w:pPr>
        <w:contextualSpacing/>
        <w:rPr>
          <w:lang w:val="uk-UA"/>
        </w:rPr>
      </w:pPr>
      <w:r w:rsidRPr="00140681">
        <w:rPr>
          <w:lang w:val="uk-UA"/>
        </w:rPr>
        <w:t>справи про концентрацію</w:t>
      </w:r>
    </w:p>
    <w:p w:rsidR="00EB4E4D" w:rsidRPr="00140681" w:rsidRDefault="00EB4E4D" w:rsidP="00211FA6">
      <w:pPr>
        <w:contextualSpacing/>
        <w:rPr>
          <w:lang w:val="uk-UA"/>
        </w:rPr>
      </w:pPr>
    </w:p>
    <w:p w:rsidR="00FE266D" w:rsidRPr="00140681" w:rsidRDefault="00FE266D" w:rsidP="00211FA6">
      <w:pPr>
        <w:contextualSpacing/>
        <w:rPr>
          <w:lang w:val="uk-UA"/>
        </w:rPr>
      </w:pPr>
    </w:p>
    <w:p w:rsidR="0012711C" w:rsidRPr="00E80C1E" w:rsidRDefault="0012711C" w:rsidP="00E07C2B">
      <w:pPr>
        <w:ind w:firstLine="709"/>
        <w:contextualSpacing/>
        <w:jc w:val="both"/>
        <w:rPr>
          <w:lang w:val="en-US"/>
        </w:rPr>
      </w:pPr>
      <w:r w:rsidRPr="00140681">
        <w:rPr>
          <w:lang w:val="uk-UA"/>
        </w:rPr>
        <w:t xml:space="preserve">Антимонопольний комітет України, розглянувши </w:t>
      </w:r>
      <w:r w:rsidR="004D7E44" w:rsidRPr="00140681">
        <w:rPr>
          <w:lang w:val="uk-UA"/>
        </w:rPr>
        <w:t>матеріали справи</w:t>
      </w:r>
      <w:r w:rsidRPr="00140681">
        <w:rPr>
          <w:lang w:val="uk-UA"/>
        </w:rPr>
        <w:br/>
      </w:r>
      <w:r w:rsidR="007D24AD" w:rsidRPr="00140681">
        <w:rPr>
          <w:lang w:val="uk-UA"/>
        </w:rPr>
        <w:t>№ 128-25/14-20-ЕК про концентрацію у вигляді придбання акціонерним товариством «КОНЦЕРН ГАЛНАФТОГАЗ» (далі – АТ «КОНЦЕРН ГАЛНАФТОГАЗ») (м. Київ) частки в статутному капіталі товариства з обмеженою відповідальністю «НАФТА-ТРАНСШИПМЕНТ» (далі – ТОВ «</w:t>
      </w:r>
      <w:r w:rsidR="000B11F6">
        <w:rPr>
          <w:lang w:val="uk-UA"/>
        </w:rPr>
        <w:t>НАФТА-ТРАНСШИПМЕНТ») (м. Львів),</w:t>
      </w:r>
    </w:p>
    <w:p w:rsidR="00211FA6" w:rsidRDefault="00211FA6" w:rsidP="00E07C2B">
      <w:pPr>
        <w:overflowPunct w:val="0"/>
        <w:autoSpaceDE w:val="0"/>
        <w:autoSpaceDN w:val="0"/>
        <w:adjustRightInd w:val="0"/>
        <w:ind w:firstLine="709"/>
        <w:contextualSpacing/>
        <w:jc w:val="both"/>
        <w:textAlignment w:val="baseline"/>
        <w:rPr>
          <w:lang w:val="uk-UA"/>
        </w:rPr>
      </w:pPr>
    </w:p>
    <w:p w:rsidR="004868D7" w:rsidRPr="00140681" w:rsidRDefault="004868D7" w:rsidP="00E07C2B">
      <w:pPr>
        <w:overflowPunct w:val="0"/>
        <w:autoSpaceDE w:val="0"/>
        <w:autoSpaceDN w:val="0"/>
        <w:adjustRightInd w:val="0"/>
        <w:ind w:firstLine="709"/>
        <w:contextualSpacing/>
        <w:jc w:val="both"/>
        <w:textAlignment w:val="baseline"/>
        <w:rPr>
          <w:lang w:val="uk-UA"/>
        </w:rPr>
      </w:pPr>
    </w:p>
    <w:p w:rsidR="00262106" w:rsidRPr="00140681" w:rsidRDefault="00262106" w:rsidP="00E07C2B">
      <w:pPr>
        <w:contextualSpacing/>
        <w:jc w:val="center"/>
        <w:outlineLvl w:val="0"/>
        <w:rPr>
          <w:lang w:val="uk-UA"/>
        </w:rPr>
      </w:pPr>
      <w:r w:rsidRPr="00140681">
        <w:rPr>
          <w:b/>
          <w:lang w:val="uk-UA"/>
        </w:rPr>
        <w:t>ВСТАНОВИВ:</w:t>
      </w:r>
    </w:p>
    <w:p w:rsidR="00FE266D" w:rsidRDefault="00FE266D" w:rsidP="00E07C2B">
      <w:pPr>
        <w:contextualSpacing/>
        <w:jc w:val="both"/>
        <w:rPr>
          <w:lang w:val="uk-UA"/>
        </w:rPr>
      </w:pPr>
    </w:p>
    <w:p w:rsidR="00A13789" w:rsidRPr="00140681" w:rsidRDefault="00A13789" w:rsidP="00E07C2B">
      <w:pPr>
        <w:contextualSpacing/>
        <w:jc w:val="both"/>
        <w:rPr>
          <w:lang w:val="uk-UA"/>
        </w:rPr>
      </w:pPr>
    </w:p>
    <w:p w:rsidR="00A3102E" w:rsidRPr="00140681" w:rsidRDefault="00A3102E" w:rsidP="00E07C2B">
      <w:pPr>
        <w:numPr>
          <w:ilvl w:val="0"/>
          <w:numId w:val="2"/>
        </w:numPr>
        <w:tabs>
          <w:tab w:val="left" w:pos="709"/>
          <w:tab w:val="left" w:pos="1418"/>
        </w:tabs>
        <w:ind w:left="709" w:hanging="709"/>
        <w:contextualSpacing/>
        <w:jc w:val="both"/>
        <w:rPr>
          <w:b/>
          <w:lang w:val="uk-UA"/>
        </w:rPr>
      </w:pPr>
      <w:r w:rsidRPr="00140681">
        <w:rPr>
          <w:b/>
          <w:lang w:val="uk-UA"/>
        </w:rPr>
        <w:t>ПРЕДМЕТ СПРАВ</w:t>
      </w:r>
      <w:r w:rsidR="00293F72" w:rsidRPr="00140681">
        <w:rPr>
          <w:b/>
          <w:lang w:val="uk-UA"/>
        </w:rPr>
        <w:t>И</w:t>
      </w:r>
    </w:p>
    <w:p w:rsidR="00FE266D" w:rsidRPr="00140681" w:rsidRDefault="00FE266D" w:rsidP="00E07C2B">
      <w:pPr>
        <w:pStyle w:val="af4"/>
        <w:tabs>
          <w:tab w:val="left" w:pos="709"/>
          <w:tab w:val="left" w:pos="851"/>
        </w:tabs>
        <w:overflowPunct/>
        <w:ind w:left="709"/>
        <w:contextualSpacing/>
        <w:jc w:val="both"/>
        <w:rPr>
          <w:szCs w:val="24"/>
          <w:lang w:val="uk-UA"/>
        </w:rPr>
      </w:pPr>
    </w:p>
    <w:p w:rsidR="007D24AD" w:rsidRPr="00140681" w:rsidRDefault="007D24AD" w:rsidP="00E07C2B">
      <w:pPr>
        <w:pStyle w:val="af4"/>
        <w:numPr>
          <w:ilvl w:val="0"/>
          <w:numId w:val="7"/>
        </w:numPr>
        <w:tabs>
          <w:tab w:val="left" w:pos="709"/>
          <w:tab w:val="left" w:pos="851"/>
        </w:tabs>
        <w:overflowPunct/>
        <w:ind w:left="709" w:hanging="709"/>
        <w:contextualSpacing/>
        <w:jc w:val="both"/>
        <w:rPr>
          <w:szCs w:val="24"/>
          <w:lang w:val="uk-UA"/>
        </w:rPr>
      </w:pPr>
      <w:r w:rsidRPr="00140681">
        <w:rPr>
          <w:szCs w:val="24"/>
          <w:lang w:val="uk-UA"/>
        </w:rPr>
        <w:t>Концентрація полягає у придбанні АТ «КОНЦЕРН ГАЛНАФТОГАЗ» у                    товариства з обмеженою відповідальністю «КОМПАНІЯ З УПРАВЛІННЯ «АКТИВ»                                     (далі – ТОВ «КУА «АКТИВ») частки в статутному капіталі ТОВ «НАФТА-ТРАНСШИПМЕНТ» у розмірі 99,9 відсотк</w:t>
      </w:r>
      <w:r w:rsidR="000B11F6">
        <w:rPr>
          <w:szCs w:val="24"/>
          <w:lang w:val="uk-UA"/>
        </w:rPr>
        <w:t>а</w:t>
      </w:r>
      <w:r w:rsidRPr="00140681">
        <w:rPr>
          <w:szCs w:val="24"/>
          <w:lang w:val="uk-UA"/>
        </w:rPr>
        <w:t>.</w:t>
      </w:r>
    </w:p>
    <w:p w:rsidR="00A3102E" w:rsidRPr="00140681" w:rsidRDefault="00A3102E" w:rsidP="00E07C2B">
      <w:pPr>
        <w:pStyle w:val="aff8"/>
        <w:tabs>
          <w:tab w:val="left" w:pos="851"/>
          <w:tab w:val="left" w:pos="993"/>
        </w:tabs>
        <w:ind w:left="928"/>
        <w:contextualSpacing/>
        <w:jc w:val="both"/>
        <w:rPr>
          <w:lang w:val="uk-UA"/>
        </w:rPr>
      </w:pPr>
    </w:p>
    <w:p w:rsidR="00293F72" w:rsidRPr="00140681" w:rsidRDefault="00A3102E" w:rsidP="00E07C2B">
      <w:pPr>
        <w:pStyle w:val="aff8"/>
        <w:numPr>
          <w:ilvl w:val="0"/>
          <w:numId w:val="7"/>
        </w:numPr>
        <w:tabs>
          <w:tab w:val="left" w:pos="709"/>
          <w:tab w:val="left" w:pos="851"/>
        </w:tabs>
        <w:autoSpaceDE w:val="0"/>
        <w:autoSpaceDN w:val="0"/>
        <w:adjustRightInd w:val="0"/>
        <w:ind w:left="709" w:hanging="709"/>
        <w:contextualSpacing/>
        <w:jc w:val="both"/>
        <w:rPr>
          <w:lang w:val="uk-UA"/>
        </w:rPr>
      </w:pPr>
      <w:r w:rsidRPr="00140681">
        <w:rPr>
          <w:lang w:val="uk-UA"/>
        </w:rPr>
        <w:t>Відповідно до статті 22 Закону України «Про захист економічної конкуренції» концентрацією визнається, зокрема</w:t>
      </w:r>
      <w:r w:rsidR="00293F72" w:rsidRPr="00140681">
        <w:rPr>
          <w:lang w:val="uk-UA"/>
        </w:rPr>
        <w:t>, безпосереднє або опосередковане придбання, набуття у власність іншим способом чи одержання в управління часток (акцій, паїв), що забезпечує досягнення чи перевищення 25 або 50 відсотків голосів у вищому органі управління відповідного суб’єкта господарювання.</w:t>
      </w:r>
    </w:p>
    <w:p w:rsidR="00A3102E" w:rsidRPr="00140681" w:rsidRDefault="00293F72" w:rsidP="00E07C2B">
      <w:pPr>
        <w:pStyle w:val="aff8"/>
        <w:tabs>
          <w:tab w:val="left" w:pos="709"/>
          <w:tab w:val="left" w:pos="851"/>
        </w:tabs>
        <w:autoSpaceDE w:val="0"/>
        <w:autoSpaceDN w:val="0"/>
        <w:adjustRightInd w:val="0"/>
        <w:ind w:left="709"/>
        <w:contextualSpacing/>
        <w:jc w:val="both"/>
        <w:rPr>
          <w:lang w:val="uk-UA"/>
        </w:rPr>
      </w:pPr>
      <w:r w:rsidRPr="00140681">
        <w:rPr>
          <w:lang w:val="uk-UA"/>
        </w:rPr>
        <w:t xml:space="preserve">Отже, заявлені дії </w:t>
      </w:r>
      <w:r w:rsidR="00FE266D" w:rsidRPr="00140681">
        <w:rPr>
          <w:lang w:val="uk-UA"/>
        </w:rPr>
        <w:t>є концентрацією.</w:t>
      </w:r>
    </w:p>
    <w:p w:rsidR="00FE266D" w:rsidRPr="00140681" w:rsidRDefault="00FE266D" w:rsidP="00E07C2B">
      <w:pPr>
        <w:pStyle w:val="aff8"/>
        <w:tabs>
          <w:tab w:val="left" w:pos="709"/>
          <w:tab w:val="left" w:pos="851"/>
        </w:tabs>
        <w:autoSpaceDE w:val="0"/>
        <w:autoSpaceDN w:val="0"/>
        <w:adjustRightInd w:val="0"/>
        <w:contextualSpacing/>
        <w:jc w:val="both"/>
        <w:rPr>
          <w:lang w:val="uk-UA"/>
        </w:rPr>
      </w:pPr>
    </w:p>
    <w:p w:rsidR="00A3102E" w:rsidRPr="00140681" w:rsidRDefault="00A3102E" w:rsidP="00E07C2B">
      <w:pPr>
        <w:pStyle w:val="aff8"/>
        <w:numPr>
          <w:ilvl w:val="0"/>
          <w:numId w:val="7"/>
        </w:numPr>
        <w:tabs>
          <w:tab w:val="left" w:pos="709"/>
          <w:tab w:val="left" w:pos="851"/>
        </w:tabs>
        <w:autoSpaceDE w:val="0"/>
        <w:autoSpaceDN w:val="0"/>
        <w:adjustRightInd w:val="0"/>
        <w:ind w:left="709" w:hanging="709"/>
        <w:contextualSpacing/>
        <w:jc w:val="both"/>
        <w:rPr>
          <w:lang w:val="uk-UA"/>
        </w:rPr>
      </w:pPr>
      <w:r w:rsidRPr="00140681">
        <w:rPr>
          <w:lang w:val="uk-UA"/>
        </w:rPr>
        <w:t>Відповідні вартісні показники учасників концентрації, з урахуванням відносин контролю, за підсумками 2019 року перевищують порогові значення, визначені частиною першою статті 24 Закону України «Про захист економічної конкуренції».</w:t>
      </w:r>
    </w:p>
    <w:p w:rsidR="00FE266D" w:rsidRPr="00140681" w:rsidRDefault="00FE266D" w:rsidP="00E07C2B">
      <w:pPr>
        <w:pStyle w:val="aff8"/>
        <w:tabs>
          <w:tab w:val="left" w:pos="709"/>
          <w:tab w:val="left" w:pos="851"/>
        </w:tabs>
        <w:autoSpaceDE w:val="0"/>
        <w:autoSpaceDN w:val="0"/>
        <w:adjustRightInd w:val="0"/>
        <w:ind w:left="709"/>
        <w:contextualSpacing/>
        <w:jc w:val="both"/>
        <w:rPr>
          <w:lang w:val="uk-UA"/>
        </w:rPr>
      </w:pPr>
    </w:p>
    <w:p w:rsidR="00293F72" w:rsidRPr="00140681" w:rsidRDefault="000B11F6" w:rsidP="00E07C2B">
      <w:pPr>
        <w:pStyle w:val="af4"/>
        <w:numPr>
          <w:ilvl w:val="0"/>
          <w:numId w:val="7"/>
        </w:numPr>
        <w:tabs>
          <w:tab w:val="left" w:pos="709"/>
          <w:tab w:val="left" w:pos="851"/>
        </w:tabs>
        <w:overflowPunct/>
        <w:ind w:left="709" w:hanging="709"/>
        <w:contextualSpacing/>
        <w:jc w:val="both"/>
        <w:rPr>
          <w:szCs w:val="24"/>
          <w:lang w:val="uk-UA"/>
        </w:rPr>
      </w:pPr>
      <w:r>
        <w:rPr>
          <w:szCs w:val="24"/>
          <w:lang w:val="uk-UA"/>
        </w:rPr>
        <w:t xml:space="preserve">У зв’язку </w:t>
      </w:r>
      <w:r w:rsidR="007D24AD" w:rsidRPr="00140681">
        <w:rPr>
          <w:szCs w:val="24"/>
          <w:lang w:val="uk-UA"/>
        </w:rPr>
        <w:t xml:space="preserve">з виявленими </w:t>
      </w:r>
      <w:r>
        <w:rPr>
          <w:szCs w:val="24"/>
          <w:lang w:val="uk-UA"/>
        </w:rPr>
        <w:t>в</w:t>
      </w:r>
      <w:r w:rsidR="007D24AD" w:rsidRPr="00140681">
        <w:rPr>
          <w:szCs w:val="24"/>
          <w:lang w:val="uk-UA"/>
        </w:rPr>
        <w:t xml:space="preserve"> поданих матеріалах підстав</w:t>
      </w:r>
      <w:r>
        <w:rPr>
          <w:szCs w:val="24"/>
          <w:lang w:val="uk-UA"/>
        </w:rPr>
        <w:t>ами</w:t>
      </w:r>
      <w:r w:rsidR="007D24AD" w:rsidRPr="00140681">
        <w:rPr>
          <w:szCs w:val="24"/>
          <w:lang w:val="uk-UA"/>
        </w:rPr>
        <w:t xml:space="preserve"> для заборони концентрації, </w:t>
      </w:r>
      <w:r w:rsidR="00293F72" w:rsidRPr="00140681">
        <w:rPr>
          <w:szCs w:val="24"/>
          <w:lang w:val="uk-UA"/>
        </w:rPr>
        <w:t xml:space="preserve"> відповідно до статті 30 Закону України «Про захист економічної конкуренції», було розпочато розгляд справ про концентрацію.</w:t>
      </w:r>
    </w:p>
    <w:p w:rsidR="00E07C2B" w:rsidRPr="00140681" w:rsidRDefault="00E07C2B" w:rsidP="00E07C2B">
      <w:pPr>
        <w:pStyle w:val="aff8"/>
        <w:tabs>
          <w:tab w:val="left" w:pos="709"/>
          <w:tab w:val="left" w:pos="851"/>
        </w:tabs>
        <w:contextualSpacing/>
        <w:jc w:val="both"/>
        <w:rPr>
          <w:lang w:val="uk-UA"/>
        </w:rPr>
      </w:pPr>
    </w:p>
    <w:p w:rsidR="00A3102E" w:rsidRPr="00140681" w:rsidRDefault="00A3102E" w:rsidP="00E07C2B">
      <w:pPr>
        <w:numPr>
          <w:ilvl w:val="0"/>
          <w:numId w:val="2"/>
        </w:numPr>
        <w:tabs>
          <w:tab w:val="left" w:pos="709"/>
          <w:tab w:val="left" w:pos="1418"/>
        </w:tabs>
        <w:ind w:left="709" w:hanging="709"/>
        <w:contextualSpacing/>
        <w:jc w:val="both"/>
        <w:rPr>
          <w:b/>
          <w:lang w:val="uk-UA"/>
        </w:rPr>
      </w:pPr>
      <w:r w:rsidRPr="00140681">
        <w:rPr>
          <w:b/>
          <w:lang w:val="uk-UA"/>
        </w:rPr>
        <w:t xml:space="preserve">УЧАСНИКИ КОНЦЕНТРАЦІЇ </w:t>
      </w:r>
    </w:p>
    <w:p w:rsidR="00FE266D" w:rsidRPr="00140681" w:rsidRDefault="00FE266D" w:rsidP="00E07C2B">
      <w:pPr>
        <w:tabs>
          <w:tab w:val="left" w:pos="709"/>
          <w:tab w:val="left" w:pos="1418"/>
        </w:tabs>
        <w:ind w:left="709"/>
        <w:contextualSpacing/>
        <w:jc w:val="both"/>
        <w:rPr>
          <w:b/>
          <w:lang w:val="uk-UA"/>
        </w:rPr>
      </w:pPr>
    </w:p>
    <w:p w:rsidR="007D24AD" w:rsidRPr="00140681" w:rsidRDefault="007D24AD" w:rsidP="00E07C2B">
      <w:pPr>
        <w:pStyle w:val="af4"/>
        <w:numPr>
          <w:ilvl w:val="0"/>
          <w:numId w:val="7"/>
        </w:numPr>
        <w:tabs>
          <w:tab w:val="left" w:pos="709"/>
          <w:tab w:val="left" w:pos="851"/>
        </w:tabs>
        <w:overflowPunct/>
        <w:ind w:left="709" w:hanging="709"/>
        <w:contextualSpacing/>
        <w:jc w:val="both"/>
        <w:rPr>
          <w:color w:val="000000"/>
          <w:szCs w:val="24"/>
          <w:lang w:val="uk-UA"/>
        </w:rPr>
      </w:pPr>
      <w:r w:rsidRPr="00140681">
        <w:rPr>
          <w:color w:val="000000"/>
          <w:szCs w:val="24"/>
          <w:lang w:val="uk-UA"/>
        </w:rPr>
        <w:t>Покупець: АТ «КОНЦЕРН ГАЛНАФТОГАЗ».</w:t>
      </w:r>
    </w:p>
    <w:p w:rsidR="007D24AD" w:rsidRPr="00140681" w:rsidRDefault="007D24AD" w:rsidP="00E07C2B">
      <w:pPr>
        <w:pStyle w:val="af4"/>
        <w:numPr>
          <w:ilvl w:val="0"/>
          <w:numId w:val="7"/>
        </w:numPr>
        <w:tabs>
          <w:tab w:val="left" w:pos="709"/>
          <w:tab w:val="left" w:pos="851"/>
        </w:tabs>
        <w:overflowPunct/>
        <w:ind w:left="709" w:hanging="709"/>
        <w:contextualSpacing/>
        <w:jc w:val="both"/>
        <w:rPr>
          <w:color w:val="000000"/>
          <w:szCs w:val="24"/>
          <w:lang w:val="uk-UA"/>
        </w:rPr>
      </w:pPr>
      <w:r w:rsidRPr="00140681">
        <w:rPr>
          <w:color w:val="000000"/>
          <w:szCs w:val="24"/>
          <w:lang w:val="uk-UA"/>
        </w:rPr>
        <w:t>Емітент: ТОВ «НАФТА-ТРАНСШИПМЕНТ».</w:t>
      </w:r>
    </w:p>
    <w:p w:rsidR="00FE266D" w:rsidRPr="00140681" w:rsidRDefault="00FE266D" w:rsidP="00E07C2B">
      <w:pPr>
        <w:pStyle w:val="aff8"/>
        <w:tabs>
          <w:tab w:val="left" w:pos="709"/>
          <w:tab w:val="left" w:pos="851"/>
        </w:tabs>
        <w:ind w:left="709"/>
        <w:contextualSpacing/>
        <w:jc w:val="both"/>
        <w:rPr>
          <w:lang w:val="uk-UA"/>
        </w:rPr>
      </w:pPr>
    </w:p>
    <w:p w:rsidR="00A3102E" w:rsidRPr="00140681" w:rsidRDefault="00A3102E" w:rsidP="00E07C2B">
      <w:pPr>
        <w:numPr>
          <w:ilvl w:val="0"/>
          <w:numId w:val="2"/>
        </w:numPr>
        <w:tabs>
          <w:tab w:val="left" w:pos="709"/>
          <w:tab w:val="left" w:pos="1418"/>
        </w:tabs>
        <w:ind w:left="709" w:hanging="709"/>
        <w:contextualSpacing/>
        <w:jc w:val="both"/>
        <w:rPr>
          <w:b/>
          <w:lang w:val="uk-UA"/>
        </w:rPr>
      </w:pPr>
      <w:r w:rsidRPr="00140681">
        <w:rPr>
          <w:b/>
          <w:lang w:val="uk-UA"/>
        </w:rPr>
        <w:t>ПРОЦЕ</w:t>
      </w:r>
      <w:r w:rsidR="00293F72" w:rsidRPr="00140681">
        <w:rPr>
          <w:b/>
          <w:lang w:val="uk-UA"/>
        </w:rPr>
        <w:t>СУАЛЬНІ</w:t>
      </w:r>
      <w:r w:rsidRPr="00140681">
        <w:rPr>
          <w:b/>
          <w:lang w:val="uk-UA"/>
        </w:rPr>
        <w:t xml:space="preserve"> ДІЇ</w:t>
      </w:r>
    </w:p>
    <w:p w:rsidR="00FE266D" w:rsidRPr="00140681" w:rsidRDefault="00FE266D" w:rsidP="00E07C2B">
      <w:pPr>
        <w:tabs>
          <w:tab w:val="left" w:pos="709"/>
          <w:tab w:val="left" w:pos="1418"/>
        </w:tabs>
        <w:ind w:left="709"/>
        <w:contextualSpacing/>
        <w:jc w:val="both"/>
        <w:rPr>
          <w:b/>
          <w:lang w:val="uk-UA"/>
        </w:rPr>
      </w:pPr>
    </w:p>
    <w:p w:rsidR="007D24AD" w:rsidRDefault="00293F72" w:rsidP="00E07C2B">
      <w:pPr>
        <w:pStyle w:val="af4"/>
        <w:numPr>
          <w:ilvl w:val="0"/>
          <w:numId w:val="7"/>
        </w:numPr>
        <w:tabs>
          <w:tab w:val="left" w:pos="709"/>
          <w:tab w:val="left" w:pos="851"/>
        </w:tabs>
        <w:overflowPunct/>
        <w:ind w:left="709" w:hanging="709"/>
        <w:contextualSpacing/>
        <w:jc w:val="both"/>
        <w:rPr>
          <w:color w:val="000000"/>
          <w:szCs w:val="24"/>
          <w:lang w:val="uk-UA"/>
        </w:rPr>
      </w:pPr>
      <w:r w:rsidRPr="00140681">
        <w:rPr>
          <w:szCs w:val="24"/>
          <w:lang w:val="uk-UA"/>
        </w:rPr>
        <w:t>Р</w:t>
      </w:r>
      <w:r w:rsidR="00A3102E" w:rsidRPr="00140681">
        <w:rPr>
          <w:szCs w:val="24"/>
          <w:lang w:val="uk-UA"/>
        </w:rPr>
        <w:t xml:space="preserve">озпорядженням Голови Антимонопольного комітету України – державного уповноваженого </w:t>
      </w:r>
      <w:r w:rsidR="007D24AD" w:rsidRPr="00140681">
        <w:rPr>
          <w:color w:val="000000"/>
          <w:szCs w:val="24"/>
          <w:lang w:val="uk-UA"/>
        </w:rPr>
        <w:t>ві</w:t>
      </w:r>
      <w:r w:rsidR="000B11F6">
        <w:rPr>
          <w:color w:val="000000"/>
          <w:szCs w:val="24"/>
          <w:lang w:val="uk-UA"/>
        </w:rPr>
        <w:t>д 14 липня 2020 року № 08/224-р</w:t>
      </w:r>
      <w:r w:rsidR="007D24AD" w:rsidRPr="00140681">
        <w:rPr>
          <w:color w:val="000000"/>
          <w:szCs w:val="24"/>
          <w:lang w:val="uk-UA"/>
        </w:rPr>
        <w:t xml:space="preserve"> розпочато розгляд справи </w:t>
      </w:r>
      <w:r w:rsidR="000B11F6">
        <w:rPr>
          <w:color w:val="000000"/>
          <w:szCs w:val="24"/>
          <w:lang w:val="uk-UA"/>
        </w:rPr>
        <w:t xml:space="preserve">                          </w:t>
      </w:r>
      <w:r w:rsidR="007D24AD" w:rsidRPr="00140681">
        <w:rPr>
          <w:color w:val="000000"/>
          <w:szCs w:val="24"/>
          <w:lang w:val="uk-UA"/>
        </w:rPr>
        <w:t>№ 128-25/14-20-ЕК про концентрацію.</w:t>
      </w:r>
    </w:p>
    <w:p w:rsidR="00E07C2B" w:rsidRPr="00140681" w:rsidRDefault="00E07C2B" w:rsidP="00E07C2B">
      <w:pPr>
        <w:pStyle w:val="af4"/>
        <w:tabs>
          <w:tab w:val="left" w:pos="709"/>
          <w:tab w:val="left" w:pos="851"/>
        </w:tabs>
        <w:overflowPunct/>
        <w:ind w:left="709"/>
        <w:contextualSpacing/>
        <w:jc w:val="both"/>
        <w:rPr>
          <w:color w:val="000000"/>
          <w:szCs w:val="24"/>
          <w:lang w:val="uk-UA"/>
        </w:rPr>
      </w:pPr>
    </w:p>
    <w:p w:rsidR="007D24AD" w:rsidRDefault="007D24AD" w:rsidP="00E07C2B">
      <w:pPr>
        <w:pStyle w:val="af4"/>
        <w:numPr>
          <w:ilvl w:val="0"/>
          <w:numId w:val="7"/>
        </w:numPr>
        <w:tabs>
          <w:tab w:val="left" w:pos="709"/>
          <w:tab w:val="left" w:pos="851"/>
        </w:tabs>
        <w:overflowPunct/>
        <w:ind w:left="709" w:hanging="709"/>
        <w:contextualSpacing/>
        <w:jc w:val="both"/>
        <w:rPr>
          <w:color w:val="000000"/>
          <w:szCs w:val="24"/>
          <w:lang w:val="uk-UA"/>
        </w:rPr>
      </w:pPr>
      <w:r w:rsidRPr="00140681">
        <w:rPr>
          <w:color w:val="000000"/>
          <w:szCs w:val="24"/>
          <w:lang w:val="uk-UA"/>
        </w:rPr>
        <w:t>Листом від 14.08.2020 № 128-25/08-11226 уповноваженим представникам заявників направлено копію розпорядження про початок розгляду справи про концентрацію.</w:t>
      </w:r>
    </w:p>
    <w:p w:rsidR="00E07C2B" w:rsidRPr="00140681" w:rsidRDefault="00E07C2B" w:rsidP="00E07C2B">
      <w:pPr>
        <w:pStyle w:val="af4"/>
        <w:tabs>
          <w:tab w:val="left" w:pos="709"/>
          <w:tab w:val="left" w:pos="851"/>
        </w:tabs>
        <w:overflowPunct/>
        <w:ind w:left="0"/>
        <w:contextualSpacing/>
        <w:jc w:val="both"/>
        <w:rPr>
          <w:color w:val="000000"/>
          <w:szCs w:val="24"/>
          <w:lang w:val="uk-UA"/>
        </w:rPr>
      </w:pPr>
    </w:p>
    <w:p w:rsidR="007D24AD" w:rsidRPr="00140681" w:rsidRDefault="007D24AD" w:rsidP="00E07C2B">
      <w:pPr>
        <w:pStyle w:val="af4"/>
        <w:numPr>
          <w:ilvl w:val="0"/>
          <w:numId w:val="7"/>
        </w:numPr>
        <w:tabs>
          <w:tab w:val="left" w:pos="709"/>
          <w:tab w:val="left" w:pos="851"/>
        </w:tabs>
        <w:overflowPunct/>
        <w:ind w:left="709" w:hanging="709"/>
        <w:contextualSpacing/>
        <w:jc w:val="both"/>
        <w:rPr>
          <w:color w:val="000000"/>
          <w:szCs w:val="24"/>
          <w:lang w:val="uk-UA"/>
        </w:rPr>
      </w:pPr>
      <w:r w:rsidRPr="00140681">
        <w:rPr>
          <w:color w:val="000000"/>
          <w:szCs w:val="24"/>
          <w:lang w:val="uk-UA"/>
        </w:rPr>
        <w:t>Листом від 17.09.2020 № 128-25/08-12683 направлено запит про надання інформації до Адміністрації морських портів України (далі – АМПУ).</w:t>
      </w:r>
    </w:p>
    <w:p w:rsidR="00E07C2B" w:rsidRPr="00140681" w:rsidRDefault="00E07C2B" w:rsidP="00E07C2B">
      <w:pPr>
        <w:pStyle w:val="aff8"/>
        <w:tabs>
          <w:tab w:val="left" w:pos="851"/>
          <w:tab w:val="left" w:pos="1134"/>
        </w:tabs>
        <w:ind w:left="851"/>
        <w:contextualSpacing/>
        <w:jc w:val="both"/>
        <w:rPr>
          <w:lang w:val="uk-UA"/>
        </w:rPr>
      </w:pPr>
    </w:p>
    <w:p w:rsidR="00A3102E" w:rsidRPr="00140681" w:rsidRDefault="00A3102E" w:rsidP="00E07C2B">
      <w:pPr>
        <w:numPr>
          <w:ilvl w:val="0"/>
          <w:numId w:val="2"/>
        </w:numPr>
        <w:tabs>
          <w:tab w:val="left" w:pos="709"/>
          <w:tab w:val="left" w:pos="1418"/>
        </w:tabs>
        <w:ind w:left="709" w:hanging="709"/>
        <w:contextualSpacing/>
        <w:jc w:val="both"/>
        <w:rPr>
          <w:b/>
          <w:lang w:val="uk-UA"/>
        </w:rPr>
      </w:pPr>
      <w:r w:rsidRPr="00140681">
        <w:rPr>
          <w:b/>
          <w:lang w:val="uk-UA"/>
        </w:rPr>
        <w:t>ІНФОРМАЦІЯ ПРО УЧАСНИКІВ КОНЦЕНТРАЦІЇ</w:t>
      </w:r>
    </w:p>
    <w:p w:rsidR="00A3102E" w:rsidRPr="00140681" w:rsidRDefault="00A3102E" w:rsidP="00E07C2B">
      <w:pPr>
        <w:tabs>
          <w:tab w:val="left" w:pos="993"/>
          <w:tab w:val="left" w:pos="1418"/>
        </w:tabs>
        <w:ind w:left="720" w:firstLine="131"/>
        <w:contextualSpacing/>
        <w:jc w:val="both"/>
        <w:rPr>
          <w:i/>
          <w:lang w:val="uk-UA"/>
        </w:rPr>
      </w:pPr>
    </w:p>
    <w:p w:rsidR="007D24AD" w:rsidRDefault="007D24AD" w:rsidP="00E07C2B">
      <w:pPr>
        <w:pStyle w:val="af4"/>
        <w:numPr>
          <w:ilvl w:val="0"/>
          <w:numId w:val="7"/>
        </w:numPr>
        <w:tabs>
          <w:tab w:val="left" w:pos="709"/>
          <w:tab w:val="left" w:pos="851"/>
        </w:tabs>
        <w:overflowPunct/>
        <w:ind w:left="709" w:hanging="709"/>
        <w:contextualSpacing/>
        <w:jc w:val="both"/>
        <w:rPr>
          <w:color w:val="000000"/>
          <w:szCs w:val="24"/>
          <w:lang w:val="uk-UA"/>
        </w:rPr>
      </w:pPr>
      <w:r w:rsidRPr="00140681">
        <w:rPr>
          <w:color w:val="000000"/>
          <w:szCs w:val="24"/>
          <w:lang w:val="uk-UA"/>
        </w:rPr>
        <w:t>ТОВ «НАФТА-ТРАНСШИПМЕНТ» тимчасово не зд</w:t>
      </w:r>
      <w:r w:rsidR="00E07C2B">
        <w:rPr>
          <w:color w:val="000000"/>
          <w:szCs w:val="24"/>
          <w:lang w:val="uk-UA"/>
        </w:rPr>
        <w:t>ійснює господарської діяльності.</w:t>
      </w:r>
    </w:p>
    <w:p w:rsidR="00E07C2B" w:rsidRPr="00140681" w:rsidRDefault="00E07C2B" w:rsidP="00E07C2B">
      <w:pPr>
        <w:pStyle w:val="af4"/>
        <w:tabs>
          <w:tab w:val="left" w:pos="709"/>
          <w:tab w:val="left" w:pos="851"/>
        </w:tabs>
        <w:overflowPunct/>
        <w:ind w:left="709"/>
        <w:contextualSpacing/>
        <w:jc w:val="both"/>
        <w:rPr>
          <w:color w:val="000000"/>
          <w:szCs w:val="24"/>
          <w:lang w:val="uk-UA"/>
        </w:rPr>
      </w:pPr>
    </w:p>
    <w:p w:rsidR="007D24AD" w:rsidRDefault="007D24AD" w:rsidP="00E07C2B">
      <w:pPr>
        <w:pStyle w:val="af4"/>
        <w:numPr>
          <w:ilvl w:val="0"/>
          <w:numId w:val="7"/>
        </w:numPr>
        <w:tabs>
          <w:tab w:val="left" w:pos="709"/>
          <w:tab w:val="left" w:pos="851"/>
        </w:tabs>
        <w:overflowPunct/>
        <w:ind w:left="709" w:hanging="709"/>
        <w:contextualSpacing/>
        <w:jc w:val="both"/>
        <w:rPr>
          <w:color w:val="000000"/>
          <w:szCs w:val="24"/>
          <w:lang w:val="uk-UA"/>
        </w:rPr>
      </w:pPr>
      <w:r w:rsidRPr="00140681">
        <w:rPr>
          <w:color w:val="000000"/>
          <w:szCs w:val="24"/>
          <w:lang w:val="uk-UA"/>
        </w:rPr>
        <w:t>ТОВ «Н</w:t>
      </w:r>
      <w:r w:rsidR="000B11F6">
        <w:rPr>
          <w:color w:val="000000"/>
          <w:szCs w:val="24"/>
          <w:lang w:val="uk-UA"/>
        </w:rPr>
        <w:t>АФТА-ТРАНСШИПМЕНТ» 18.11.2019</w:t>
      </w:r>
      <w:r w:rsidRPr="00140681">
        <w:rPr>
          <w:color w:val="000000"/>
          <w:szCs w:val="24"/>
          <w:lang w:val="uk-UA"/>
        </w:rPr>
        <w:t xml:space="preserve"> </w:t>
      </w:r>
      <w:r w:rsidR="000B11F6">
        <w:rPr>
          <w:color w:val="000000"/>
          <w:szCs w:val="24"/>
          <w:lang w:val="uk-UA"/>
        </w:rPr>
        <w:t xml:space="preserve">на електронних торгах, що </w:t>
      </w:r>
      <w:r w:rsidRPr="00140681">
        <w:rPr>
          <w:color w:val="000000"/>
          <w:szCs w:val="24"/>
          <w:lang w:val="uk-UA"/>
        </w:rPr>
        <w:t>проводил</w:t>
      </w:r>
      <w:r w:rsidR="000B11F6">
        <w:rPr>
          <w:color w:val="000000"/>
          <w:szCs w:val="24"/>
          <w:lang w:val="uk-UA"/>
        </w:rPr>
        <w:t>о</w:t>
      </w:r>
      <w:r w:rsidRPr="00140681">
        <w:rPr>
          <w:color w:val="000000"/>
          <w:szCs w:val="24"/>
          <w:lang w:val="uk-UA"/>
        </w:rPr>
        <w:t xml:space="preserve"> ДП «СЕТАМ» </w:t>
      </w:r>
      <w:hyperlink r:id="rId10" w:history="1">
        <w:r w:rsidRPr="00140681">
          <w:rPr>
            <w:color w:val="000000"/>
            <w:szCs w:val="24"/>
            <w:lang w:val="uk-UA"/>
          </w:rPr>
          <w:t>(https://setam.net.ua/auction/383203)</w:t>
        </w:r>
      </w:hyperlink>
      <w:r w:rsidRPr="00140681">
        <w:rPr>
          <w:color w:val="000000"/>
          <w:szCs w:val="24"/>
          <w:lang w:val="uk-UA"/>
        </w:rPr>
        <w:t xml:space="preserve"> та на момент розгляду цієї справи про концентрацію є власником нерухомого майна (майнового комплексу Херсонської </w:t>
      </w:r>
      <w:proofErr w:type="spellStart"/>
      <w:r w:rsidRPr="00140681">
        <w:rPr>
          <w:color w:val="000000"/>
          <w:szCs w:val="24"/>
          <w:lang w:val="uk-UA"/>
        </w:rPr>
        <w:t>нафтоперевалки</w:t>
      </w:r>
      <w:proofErr w:type="spellEnd"/>
      <w:r w:rsidRPr="00140681">
        <w:rPr>
          <w:color w:val="000000"/>
          <w:szCs w:val="24"/>
          <w:lang w:val="uk-UA"/>
        </w:rPr>
        <w:t>),</w:t>
      </w:r>
      <w:r w:rsidR="000B11F6">
        <w:rPr>
          <w:color w:val="000000"/>
          <w:szCs w:val="24"/>
          <w:lang w:val="uk-UA"/>
        </w:rPr>
        <w:t xml:space="preserve"> </w:t>
      </w:r>
      <w:r w:rsidR="000B11F6" w:rsidRPr="00140681">
        <w:rPr>
          <w:color w:val="000000"/>
          <w:szCs w:val="24"/>
          <w:lang w:val="uk-UA"/>
        </w:rPr>
        <w:t>придбало</w:t>
      </w:r>
      <w:r w:rsidRPr="00140681">
        <w:rPr>
          <w:color w:val="000000"/>
          <w:szCs w:val="24"/>
          <w:lang w:val="uk-UA"/>
        </w:rPr>
        <w:t xml:space="preserve"> </w:t>
      </w:r>
      <w:r w:rsidR="000B11F6">
        <w:rPr>
          <w:color w:val="000000"/>
          <w:szCs w:val="24"/>
          <w:lang w:val="uk-UA"/>
        </w:rPr>
        <w:t>такі</w:t>
      </w:r>
      <w:r w:rsidRPr="00140681">
        <w:rPr>
          <w:color w:val="000000"/>
          <w:szCs w:val="24"/>
          <w:lang w:val="uk-UA"/>
        </w:rPr>
        <w:t xml:space="preserve"> об'єкт</w:t>
      </w:r>
      <w:r w:rsidR="000B11F6">
        <w:rPr>
          <w:color w:val="000000"/>
          <w:szCs w:val="24"/>
          <w:lang w:val="uk-UA"/>
        </w:rPr>
        <w:t>и</w:t>
      </w:r>
      <w:r w:rsidRPr="00140681">
        <w:rPr>
          <w:color w:val="000000"/>
          <w:szCs w:val="24"/>
          <w:lang w:val="uk-UA"/>
        </w:rPr>
        <w:t>:</w:t>
      </w:r>
    </w:p>
    <w:p w:rsidR="004868D7" w:rsidRDefault="000B11F6" w:rsidP="004868D7">
      <w:pPr>
        <w:pStyle w:val="aff8"/>
        <w:rPr>
          <w:color w:val="000000"/>
          <w:lang w:val="uk-UA"/>
        </w:rPr>
      </w:pPr>
      <w:r>
        <w:rPr>
          <w:color w:val="000000"/>
          <w:lang w:val="uk-UA"/>
        </w:rPr>
        <w:t xml:space="preserve"> </w:t>
      </w:r>
    </w:p>
    <w:p w:rsidR="007D24AD" w:rsidRDefault="007D24AD" w:rsidP="00E07C2B">
      <w:pPr>
        <w:tabs>
          <w:tab w:val="left" w:pos="284"/>
          <w:tab w:val="left" w:pos="709"/>
        </w:tabs>
        <w:ind w:left="709" w:firstLine="425"/>
        <w:contextualSpacing/>
        <w:jc w:val="both"/>
        <w:rPr>
          <w:rStyle w:val="affb"/>
          <w:rFonts w:eastAsia="Calibri"/>
          <w:i w:val="0"/>
          <w:sz w:val="24"/>
          <w:szCs w:val="24"/>
          <w:lang w:val="uk-UA"/>
        </w:rPr>
      </w:pPr>
      <w:r w:rsidRPr="00140681">
        <w:rPr>
          <w:rStyle w:val="affb"/>
          <w:rFonts w:eastAsia="Calibri"/>
          <w:i w:val="0"/>
          <w:sz w:val="24"/>
          <w:szCs w:val="24"/>
          <w:lang w:val="uk-UA"/>
        </w:rPr>
        <w:t>комплекс, нафтобаза (далі – Нафтобаза), що розташований за адресою: Херсонська обл., м. Херсон, вул. Чайковського, 236. Нафтобаза знаходиться на зе</w:t>
      </w:r>
      <w:r w:rsidR="000B11F6">
        <w:rPr>
          <w:rStyle w:val="affb"/>
          <w:rFonts w:eastAsia="Calibri"/>
          <w:i w:val="0"/>
          <w:sz w:val="24"/>
          <w:szCs w:val="24"/>
          <w:lang w:val="uk-UA"/>
        </w:rPr>
        <w:t>мельній ділянці площею 7,616 га</w:t>
      </w:r>
      <w:r w:rsidRPr="00140681">
        <w:rPr>
          <w:rStyle w:val="affb"/>
          <w:rFonts w:eastAsia="Calibri"/>
          <w:i w:val="0"/>
          <w:sz w:val="24"/>
          <w:szCs w:val="24"/>
          <w:lang w:val="uk-UA"/>
        </w:rPr>
        <w:t xml:space="preserve"> </w:t>
      </w:r>
      <w:r w:rsidR="000B11F6">
        <w:rPr>
          <w:rStyle w:val="affb"/>
          <w:rFonts w:eastAsia="Calibri"/>
          <w:i w:val="0"/>
          <w:sz w:val="24"/>
          <w:szCs w:val="24"/>
          <w:lang w:val="uk-UA"/>
        </w:rPr>
        <w:t>і</w:t>
      </w:r>
      <w:r w:rsidRPr="00140681">
        <w:rPr>
          <w:rStyle w:val="affb"/>
          <w:rFonts w:eastAsia="Calibri"/>
          <w:i w:val="0"/>
          <w:sz w:val="24"/>
          <w:szCs w:val="24"/>
          <w:lang w:val="uk-UA"/>
        </w:rPr>
        <w:t>з цільовим призначенням: для розміщення та експлуатації об</w:t>
      </w:r>
      <w:r w:rsidR="000B11F6">
        <w:rPr>
          <w:color w:val="000000"/>
          <w:lang w:val="uk-UA"/>
        </w:rPr>
        <w:t>’</w:t>
      </w:r>
      <w:r w:rsidRPr="00140681">
        <w:rPr>
          <w:rStyle w:val="affb"/>
          <w:rFonts w:eastAsia="Calibri"/>
          <w:i w:val="0"/>
          <w:sz w:val="24"/>
          <w:szCs w:val="24"/>
          <w:lang w:val="uk-UA"/>
        </w:rPr>
        <w:t xml:space="preserve">єктів дорожнього сервісу під нафтобазою; до вказаного комплексу підведені під’їзні колії, наявна залізнична естакада для наливу нафтопродуктів у вагоно-цистерни, а також автоестакада для наливу нафтопродуктів </w:t>
      </w:r>
      <w:r w:rsidR="000B11F6">
        <w:rPr>
          <w:rStyle w:val="affb"/>
          <w:rFonts w:eastAsia="Calibri"/>
          <w:i w:val="0"/>
          <w:sz w:val="24"/>
          <w:szCs w:val="24"/>
          <w:lang w:val="uk-UA"/>
        </w:rPr>
        <w:t>у</w:t>
      </w:r>
      <w:r w:rsidRPr="00140681">
        <w:rPr>
          <w:rStyle w:val="affb"/>
          <w:rFonts w:eastAsia="Calibri"/>
          <w:i w:val="0"/>
          <w:sz w:val="24"/>
          <w:szCs w:val="24"/>
          <w:lang w:val="uk-UA"/>
        </w:rPr>
        <w:t xml:space="preserve"> </w:t>
      </w:r>
      <w:proofErr w:type="spellStart"/>
      <w:r w:rsidRPr="00140681">
        <w:rPr>
          <w:rStyle w:val="affb"/>
          <w:rFonts w:eastAsia="Calibri"/>
          <w:i w:val="0"/>
          <w:sz w:val="24"/>
          <w:szCs w:val="24"/>
          <w:lang w:val="uk-UA"/>
        </w:rPr>
        <w:t>паливовози</w:t>
      </w:r>
      <w:proofErr w:type="spellEnd"/>
      <w:r w:rsidRPr="00140681">
        <w:rPr>
          <w:rStyle w:val="affb"/>
          <w:rFonts w:eastAsia="Calibri"/>
          <w:i w:val="0"/>
          <w:sz w:val="24"/>
          <w:szCs w:val="24"/>
          <w:lang w:val="uk-UA"/>
        </w:rPr>
        <w:t xml:space="preserve"> (автомобільний транспорт);</w:t>
      </w:r>
    </w:p>
    <w:p w:rsidR="004868D7" w:rsidRPr="00140681" w:rsidRDefault="004868D7" w:rsidP="00E07C2B">
      <w:pPr>
        <w:tabs>
          <w:tab w:val="left" w:pos="284"/>
          <w:tab w:val="left" w:pos="709"/>
        </w:tabs>
        <w:ind w:left="709" w:firstLine="425"/>
        <w:contextualSpacing/>
        <w:jc w:val="both"/>
        <w:rPr>
          <w:rStyle w:val="affb"/>
          <w:rFonts w:eastAsia="Calibri"/>
          <w:i w:val="0"/>
          <w:sz w:val="24"/>
          <w:szCs w:val="24"/>
          <w:lang w:val="uk-UA"/>
        </w:rPr>
      </w:pPr>
    </w:p>
    <w:p w:rsidR="007D24AD" w:rsidRDefault="007D24AD" w:rsidP="00E07C2B">
      <w:pPr>
        <w:tabs>
          <w:tab w:val="left" w:pos="284"/>
          <w:tab w:val="left" w:pos="709"/>
        </w:tabs>
        <w:ind w:left="709" w:firstLine="425"/>
        <w:contextualSpacing/>
        <w:jc w:val="both"/>
        <w:rPr>
          <w:rStyle w:val="affb"/>
          <w:rFonts w:eastAsia="Calibri"/>
          <w:i w:val="0"/>
          <w:sz w:val="24"/>
          <w:szCs w:val="24"/>
          <w:lang w:val="uk-UA"/>
        </w:rPr>
      </w:pPr>
      <w:r w:rsidRPr="00140681">
        <w:rPr>
          <w:rStyle w:val="affb"/>
          <w:rFonts w:eastAsia="Calibri"/>
          <w:i w:val="0"/>
          <w:sz w:val="24"/>
          <w:szCs w:val="24"/>
          <w:lang w:val="uk-UA"/>
        </w:rPr>
        <w:t xml:space="preserve">комплекс, </w:t>
      </w:r>
      <w:proofErr w:type="spellStart"/>
      <w:r w:rsidRPr="00140681">
        <w:rPr>
          <w:rStyle w:val="affb"/>
          <w:rFonts w:eastAsia="Calibri"/>
          <w:i w:val="0"/>
          <w:sz w:val="24"/>
          <w:szCs w:val="24"/>
          <w:lang w:val="uk-UA"/>
        </w:rPr>
        <w:t>нафтоперевалка</w:t>
      </w:r>
      <w:proofErr w:type="spellEnd"/>
      <w:r w:rsidRPr="00140681">
        <w:rPr>
          <w:rStyle w:val="affb"/>
          <w:rFonts w:eastAsia="Calibri"/>
          <w:i w:val="0"/>
          <w:sz w:val="24"/>
          <w:szCs w:val="24"/>
          <w:lang w:val="uk-UA"/>
        </w:rPr>
        <w:t xml:space="preserve"> (далі – </w:t>
      </w:r>
      <w:proofErr w:type="spellStart"/>
      <w:r w:rsidRPr="00140681">
        <w:rPr>
          <w:rStyle w:val="affb"/>
          <w:rFonts w:eastAsia="Calibri"/>
          <w:i w:val="0"/>
          <w:sz w:val="24"/>
          <w:szCs w:val="24"/>
          <w:lang w:val="uk-UA"/>
        </w:rPr>
        <w:t>Нафтоперевалка</w:t>
      </w:r>
      <w:proofErr w:type="spellEnd"/>
      <w:r w:rsidRPr="00140681">
        <w:rPr>
          <w:rStyle w:val="affb"/>
          <w:rFonts w:eastAsia="Calibri"/>
          <w:i w:val="0"/>
          <w:sz w:val="24"/>
          <w:szCs w:val="24"/>
          <w:lang w:val="uk-UA"/>
        </w:rPr>
        <w:t>)</w:t>
      </w:r>
      <w:r w:rsidR="00C16171">
        <w:rPr>
          <w:rStyle w:val="affb"/>
          <w:rFonts w:eastAsia="Calibri"/>
          <w:i w:val="0"/>
          <w:sz w:val="24"/>
          <w:szCs w:val="24"/>
          <w:lang w:val="uk-UA"/>
        </w:rPr>
        <w:t>,</w:t>
      </w:r>
      <w:r w:rsidRPr="00140681">
        <w:rPr>
          <w:rStyle w:val="affb"/>
          <w:rFonts w:eastAsia="Calibri"/>
          <w:i w:val="0"/>
          <w:sz w:val="24"/>
          <w:szCs w:val="24"/>
          <w:lang w:val="uk-UA"/>
        </w:rPr>
        <w:t xml:space="preserve"> що розташований за адресою: Херсонська обл., м. Херсон, вул. Нафтогавань, б/н. Вказаний комплекс знаходиться на зем</w:t>
      </w:r>
      <w:r w:rsidR="000B11F6">
        <w:rPr>
          <w:rStyle w:val="affb"/>
          <w:rFonts w:eastAsia="Calibri"/>
          <w:i w:val="0"/>
          <w:sz w:val="24"/>
          <w:szCs w:val="24"/>
          <w:lang w:val="uk-UA"/>
        </w:rPr>
        <w:t>ельній ділянці площею 17,595 га</w:t>
      </w:r>
      <w:r w:rsidRPr="00140681">
        <w:rPr>
          <w:rStyle w:val="affb"/>
          <w:rFonts w:eastAsia="Calibri"/>
          <w:i w:val="0"/>
          <w:sz w:val="24"/>
          <w:szCs w:val="24"/>
          <w:lang w:val="uk-UA"/>
        </w:rPr>
        <w:t xml:space="preserve"> </w:t>
      </w:r>
      <w:r w:rsidR="000B11F6">
        <w:rPr>
          <w:rStyle w:val="affb"/>
          <w:rFonts w:eastAsia="Calibri"/>
          <w:i w:val="0"/>
          <w:sz w:val="24"/>
          <w:szCs w:val="24"/>
          <w:lang w:val="uk-UA"/>
        </w:rPr>
        <w:t>і</w:t>
      </w:r>
      <w:r w:rsidRPr="00140681">
        <w:rPr>
          <w:rStyle w:val="affb"/>
          <w:rFonts w:eastAsia="Calibri"/>
          <w:i w:val="0"/>
          <w:sz w:val="24"/>
          <w:szCs w:val="24"/>
          <w:lang w:val="uk-UA"/>
        </w:rPr>
        <w:t xml:space="preserve">з цільовим призначенням: для розміщення та експлуатації об’єктів дорожнього сервісу під нафтогаванню; під’їзні колії до зазначеного комплексу відсутні, оскільки він розташований на острові (між річками </w:t>
      </w:r>
      <w:proofErr w:type="spellStart"/>
      <w:r w:rsidRPr="00140681">
        <w:rPr>
          <w:rStyle w:val="affb"/>
          <w:rFonts w:eastAsia="Calibri"/>
          <w:i w:val="0"/>
          <w:sz w:val="24"/>
          <w:szCs w:val="24"/>
          <w:lang w:val="uk-UA"/>
        </w:rPr>
        <w:t>Кошева</w:t>
      </w:r>
      <w:proofErr w:type="spellEnd"/>
      <w:r w:rsidRPr="00140681">
        <w:rPr>
          <w:rStyle w:val="affb"/>
          <w:rFonts w:eastAsia="Calibri"/>
          <w:i w:val="0"/>
          <w:sz w:val="24"/>
          <w:szCs w:val="24"/>
          <w:lang w:val="uk-UA"/>
        </w:rPr>
        <w:t xml:space="preserve"> та Дніпро), з яким немає залізничного сполучення; є потужності для </w:t>
      </w:r>
      <w:proofErr w:type="spellStart"/>
      <w:r w:rsidRPr="00140681">
        <w:rPr>
          <w:rStyle w:val="affb"/>
          <w:rFonts w:eastAsia="Calibri"/>
          <w:i w:val="0"/>
          <w:sz w:val="24"/>
          <w:szCs w:val="24"/>
          <w:lang w:val="uk-UA"/>
        </w:rPr>
        <w:t>автоналиву</w:t>
      </w:r>
      <w:proofErr w:type="spellEnd"/>
      <w:r w:rsidRPr="00140681">
        <w:rPr>
          <w:rStyle w:val="affb"/>
          <w:rFonts w:eastAsia="Calibri"/>
          <w:i w:val="0"/>
          <w:sz w:val="24"/>
          <w:szCs w:val="24"/>
          <w:lang w:val="uk-UA"/>
        </w:rPr>
        <w:t xml:space="preserve"> нафтопродуктів </w:t>
      </w:r>
      <w:r w:rsidR="000B11F6">
        <w:rPr>
          <w:rStyle w:val="affb"/>
          <w:rFonts w:eastAsia="Calibri"/>
          <w:i w:val="0"/>
          <w:sz w:val="24"/>
          <w:szCs w:val="24"/>
          <w:lang w:val="uk-UA"/>
        </w:rPr>
        <w:t>і</w:t>
      </w:r>
      <w:r w:rsidRPr="00140681">
        <w:rPr>
          <w:rStyle w:val="affb"/>
          <w:rFonts w:eastAsia="Calibri"/>
          <w:i w:val="0"/>
          <w:sz w:val="24"/>
          <w:szCs w:val="24"/>
          <w:lang w:val="uk-UA"/>
        </w:rPr>
        <w:t>з резервуарів чи безпосередньо з танкерів в автотранспорт.</w:t>
      </w:r>
    </w:p>
    <w:p w:rsidR="00E07C2B" w:rsidRPr="00140681" w:rsidRDefault="00E07C2B" w:rsidP="00E07C2B">
      <w:pPr>
        <w:tabs>
          <w:tab w:val="left" w:pos="284"/>
          <w:tab w:val="left" w:pos="709"/>
        </w:tabs>
        <w:ind w:left="709" w:firstLine="425"/>
        <w:contextualSpacing/>
        <w:jc w:val="both"/>
        <w:rPr>
          <w:rStyle w:val="affb"/>
          <w:rFonts w:eastAsia="Calibri"/>
          <w:i w:val="0"/>
          <w:sz w:val="24"/>
          <w:szCs w:val="24"/>
          <w:lang w:val="uk-UA"/>
        </w:rPr>
      </w:pPr>
    </w:p>
    <w:p w:rsidR="007D24AD" w:rsidRDefault="007D24AD" w:rsidP="00E07C2B">
      <w:pPr>
        <w:pStyle w:val="af4"/>
        <w:numPr>
          <w:ilvl w:val="0"/>
          <w:numId w:val="7"/>
        </w:numPr>
        <w:tabs>
          <w:tab w:val="left" w:pos="709"/>
          <w:tab w:val="left" w:pos="851"/>
        </w:tabs>
        <w:overflowPunct/>
        <w:ind w:left="709" w:hanging="709"/>
        <w:contextualSpacing/>
        <w:jc w:val="both"/>
        <w:rPr>
          <w:color w:val="000000"/>
          <w:szCs w:val="24"/>
          <w:lang w:val="uk-UA"/>
        </w:rPr>
      </w:pPr>
      <w:r w:rsidRPr="00140681">
        <w:rPr>
          <w:color w:val="000000"/>
          <w:szCs w:val="24"/>
          <w:lang w:val="uk-UA"/>
        </w:rPr>
        <w:t xml:space="preserve">Логістичні потужності </w:t>
      </w:r>
      <w:proofErr w:type="spellStart"/>
      <w:r w:rsidRPr="00140681">
        <w:rPr>
          <w:color w:val="000000"/>
          <w:szCs w:val="24"/>
          <w:lang w:val="uk-UA"/>
        </w:rPr>
        <w:t>Нафтоперевалки</w:t>
      </w:r>
      <w:proofErr w:type="spellEnd"/>
      <w:r w:rsidRPr="00140681">
        <w:rPr>
          <w:color w:val="000000"/>
          <w:szCs w:val="24"/>
          <w:lang w:val="uk-UA"/>
        </w:rPr>
        <w:t xml:space="preserve"> та Нафтобази дозволяють здійснювати перевалку нафтопродуктів </w:t>
      </w:r>
      <w:r w:rsidR="000B11F6">
        <w:rPr>
          <w:color w:val="000000"/>
          <w:szCs w:val="24"/>
          <w:lang w:val="uk-UA"/>
        </w:rPr>
        <w:t>і</w:t>
      </w:r>
      <w:r w:rsidRPr="00140681">
        <w:rPr>
          <w:color w:val="000000"/>
          <w:szCs w:val="24"/>
          <w:lang w:val="uk-UA"/>
        </w:rPr>
        <w:t>з морських суден, їх зберігання та подальше відвантаження в залізничний та авт</w:t>
      </w:r>
      <w:r w:rsidR="000B11F6">
        <w:rPr>
          <w:color w:val="000000"/>
          <w:szCs w:val="24"/>
          <w:lang w:val="uk-UA"/>
        </w:rPr>
        <w:t>омобільний транспорт. При цьому</w:t>
      </w:r>
      <w:r w:rsidRPr="00140681">
        <w:rPr>
          <w:color w:val="000000"/>
          <w:szCs w:val="24"/>
          <w:lang w:val="uk-UA"/>
        </w:rPr>
        <w:t xml:space="preserve"> Нафтоперевалка та Нафтобаза з’єднані між собою підземним</w:t>
      </w:r>
      <w:r w:rsidR="000B11F6">
        <w:rPr>
          <w:color w:val="000000"/>
          <w:szCs w:val="24"/>
          <w:lang w:val="uk-UA"/>
        </w:rPr>
        <w:t xml:space="preserve"> </w:t>
      </w:r>
      <w:r w:rsidRPr="00140681">
        <w:rPr>
          <w:color w:val="000000"/>
          <w:szCs w:val="24"/>
          <w:lang w:val="uk-UA"/>
        </w:rPr>
        <w:t>/ підводним нафтопродуктопроводом, який на сьогодні не функціонує через неналежний технічний стан (</w:t>
      </w:r>
      <w:r w:rsidR="000B11F6">
        <w:rPr>
          <w:color w:val="000000"/>
          <w:szCs w:val="24"/>
          <w:lang w:val="uk-UA"/>
        </w:rPr>
        <w:t>у</w:t>
      </w:r>
      <w:r w:rsidRPr="00140681">
        <w:rPr>
          <w:color w:val="000000"/>
          <w:szCs w:val="24"/>
          <w:lang w:val="uk-UA"/>
        </w:rPr>
        <w:t xml:space="preserve"> т.</w:t>
      </w:r>
      <w:r w:rsidR="000B11F6">
        <w:rPr>
          <w:color w:val="000000"/>
          <w:szCs w:val="24"/>
          <w:lang w:val="uk-UA"/>
        </w:rPr>
        <w:t xml:space="preserve"> </w:t>
      </w:r>
      <w:r w:rsidRPr="00140681">
        <w:rPr>
          <w:color w:val="000000"/>
          <w:szCs w:val="24"/>
          <w:lang w:val="uk-UA"/>
        </w:rPr>
        <w:t xml:space="preserve">ч. і через несанкціоновані </w:t>
      </w:r>
      <w:proofErr w:type="spellStart"/>
      <w:r w:rsidRPr="00140681">
        <w:rPr>
          <w:color w:val="000000"/>
          <w:szCs w:val="24"/>
          <w:lang w:val="uk-UA"/>
        </w:rPr>
        <w:t>врізки</w:t>
      </w:r>
      <w:proofErr w:type="spellEnd"/>
      <w:r w:rsidRPr="00140681">
        <w:rPr>
          <w:color w:val="000000"/>
          <w:szCs w:val="24"/>
          <w:lang w:val="uk-UA"/>
        </w:rPr>
        <w:t xml:space="preserve">). Нафтобаза </w:t>
      </w:r>
      <w:r w:rsidR="000B11F6">
        <w:rPr>
          <w:color w:val="000000"/>
          <w:szCs w:val="24"/>
          <w:lang w:val="uk-UA"/>
        </w:rPr>
        <w:t>й</w:t>
      </w:r>
      <w:r w:rsidRPr="00140681">
        <w:rPr>
          <w:color w:val="000000"/>
          <w:szCs w:val="24"/>
          <w:lang w:val="uk-UA"/>
        </w:rPr>
        <w:t xml:space="preserve"> Нафтоперевалка є ізольованими (окремими) потужностями, оскільки Нафтобаза не може приймати на зберігання нафтопродукти з моря, а </w:t>
      </w:r>
      <w:proofErr w:type="spellStart"/>
      <w:r w:rsidRPr="00140681">
        <w:rPr>
          <w:color w:val="000000"/>
          <w:szCs w:val="24"/>
          <w:lang w:val="uk-UA"/>
        </w:rPr>
        <w:t>Нафтоперевалка</w:t>
      </w:r>
      <w:proofErr w:type="spellEnd"/>
      <w:r w:rsidRPr="00140681">
        <w:rPr>
          <w:color w:val="000000"/>
          <w:szCs w:val="24"/>
          <w:lang w:val="uk-UA"/>
        </w:rPr>
        <w:t xml:space="preserve"> </w:t>
      </w:r>
      <w:r w:rsidR="000B11F6">
        <w:rPr>
          <w:color w:val="000000"/>
          <w:szCs w:val="24"/>
          <w:lang w:val="uk-UA"/>
        </w:rPr>
        <w:t xml:space="preserve">– </w:t>
      </w:r>
      <w:r w:rsidRPr="00140681">
        <w:rPr>
          <w:color w:val="000000"/>
          <w:szCs w:val="24"/>
          <w:lang w:val="uk-UA"/>
        </w:rPr>
        <w:t>нафтопродукти</w:t>
      </w:r>
      <w:r w:rsidR="000B11F6">
        <w:rPr>
          <w:color w:val="000000"/>
          <w:szCs w:val="24"/>
          <w:lang w:val="uk-UA"/>
        </w:rPr>
        <w:t>,</w:t>
      </w:r>
      <w:r w:rsidRPr="00140681">
        <w:rPr>
          <w:color w:val="000000"/>
          <w:szCs w:val="24"/>
          <w:lang w:val="uk-UA"/>
        </w:rPr>
        <w:t xml:space="preserve"> завезені залізницею. </w:t>
      </w:r>
    </w:p>
    <w:p w:rsidR="00E07C2B" w:rsidRPr="00140681" w:rsidRDefault="00E07C2B" w:rsidP="00E07C2B">
      <w:pPr>
        <w:pStyle w:val="af4"/>
        <w:tabs>
          <w:tab w:val="left" w:pos="709"/>
          <w:tab w:val="left" w:pos="851"/>
        </w:tabs>
        <w:overflowPunct/>
        <w:ind w:left="709"/>
        <w:contextualSpacing/>
        <w:jc w:val="both"/>
        <w:rPr>
          <w:color w:val="000000"/>
          <w:szCs w:val="24"/>
          <w:lang w:val="uk-UA"/>
        </w:rPr>
      </w:pPr>
    </w:p>
    <w:p w:rsidR="007D24AD" w:rsidRDefault="007D24AD" w:rsidP="00E07C2B">
      <w:pPr>
        <w:pStyle w:val="af4"/>
        <w:numPr>
          <w:ilvl w:val="0"/>
          <w:numId w:val="7"/>
        </w:numPr>
        <w:tabs>
          <w:tab w:val="left" w:pos="709"/>
          <w:tab w:val="left" w:pos="851"/>
        </w:tabs>
        <w:overflowPunct/>
        <w:ind w:left="709" w:hanging="709"/>
        <w:contextualSpacing/>
        <w:jc w:val="both"/>
        <w:rPr>
          <w:color w:val="000000"/>
          <w:szCs w:val="24"/>
          <w:lang w:val="uk-UA"/>
        </w:rPr>
      </w:pPr>
      <w:r w:rsidRPr="00140681">
        <w:rPr>
          <w:color w:val="000000"/>
          <w:szCs w:val="24"/>
          <w:lang w:val="uk-UA"/>
        </w:rPr>
        <w:t xml:space="preserve">Трубопровід між </w:t>
      </w:r>
      <w:proofErr w:type="spellStart"/>
      <w:r w:rsidRPr="00140681">
        <w:rPr>
          <w:color w:val="000000"/>
          <w:szCs w:val="24"/>
          <w:lang w:val="uk-UA"/>
        </w:rPr>
        <w:t>Нафтоперевалкою</w:t>
      </w:r>
      <w:proofErr w:type="spellEnd"/>
      <w:r w:rsidRPr="00140681">
        <w:rPr>
          <w:color w:val="000000"/>
          <w:szCs w:val="24"/>
          <w:lang w:val="uk-UA"/>
        </w:rPr>
        <w:t xml:space="preserve"> та Нафтобазою перебуває в неробочому стані (виведений з експлуатації). Враховуючи зазначене</w:t>
      </w:r>
      <w:r w:rsidR="000B11F6">
        <w:rPr>
          <w:color w:val="000000"/>
          <w:szCs w:val="24"/>
          <w:lang w:val="uk-UA"/>
        </w:rPr>
        <w:t>,</w:t>
      </w:r>
      <w:r w:rsidRPr="00140681">
        <w:rPr>
          <w:color w:val="000000"/>
          <w:szCs w:val="24"/>
          <w:lang w:val="uk-UA"/>
        </w:rPr>
        <w:t xml:space="preserve"> відвантаження пального можлив</w:t>
      </w:r>
      <w:r w:rsidR="000B11F6">
        <w:rPr>
          <w:color w:val="000000"/>
          <w:szCs w:val="24"/>
          <w:lang w:val="uk-UA"/>
        </w:rPr>
        <w:t>е</w:t>
      </w:r>
      <w:r w:rsidRPr="00140681">
        <w:rPr>
          <w:color w:val="000000"/>
          <w:szCs w:val="24"/>
          <w:lang w:val="uk-UA"/>
        </w:rPr>
        <w:t xml:space="preserve"> лише з </w:t>
      </w:r>
      <w:proofErr w:type="spellStart"/>
      <w:r w:rsidRPr="00140681">
        <w:rPr>
          <w:color w:val="000000"/>
          <w:szCs w:val="24"/>
          <w:lang w:val="uk-UA"/>
        </w:rPr>
        <w:t>нафтоперевалки</w:t>
      </w:r>
      <w:proofErr w:type="spellEnd"/>
      <w:r w:rsidRPr="00140681">
        <w:rPr>
          <w:color w:val="000000"/>
          <w:szCs w:val="24"/>
          <w:lang w:val="uk-UA"/>
        </w:rPr>
        <w:t xml:space="preserve"> автоцистернами.</w:t>
      </w:r>
    </w:p>
    <w:p w:rsidR="00E07C2B" w:rsidRPr="00140681" w:rsidRDefault="00E07C2B" w:rsidP="00E07C2B">
      <w:pPr>
        <w:pStyle w:val="af4"/>
        <w:tabs>
          <w:tab w:val="left" w:pos="709"/>
          <w:tab w:val="left" w:pos="851"/>
        </w:tabs>
        <w:overflowPunct/>
        <w:ind w:left="0"/>
        <w:contextualSpacing/>
        <w:jc w:val="both"/>
        <w:rPr>
          <w:color w:val="000000"/>
          <w:szCs w:val="24"/>
          <w:lang w:val="uk-UA"/>
        </w:rPr>
      </w:pPr>
    </w:p>
    <w:p w:rsidR="007D24AD" w:rsidRDefault="007D24AD" w:rsidP="00E07C2B">
      <w:pPr>
        <w:pStyle w:val="af4"/>
        <w:numPr>
          <w:ilvl w:val="0"/>
          <w:numId w:val="7"/>
        </w:numPr>
        <w:tabs>
          <w:tab w:val="left" w:pos="709"/>
          <w:tab w:val="left" w:pos="851"/>
        </w:tabs>
        <w:overflowPunct/>
        <w:ind w:left="709" w:hanging="709"/>
        <w:contextualSpacing/>
        <w:jc w:val="both"/>
        <w:rPr>
          <w:color w:val="000000"/>
          <w:szCs w:val="24"/>
          <w:lang w:val="uk-UA"/>
        </w:rPr>
      </w:pPr>
      <w:r w:rsidRPr="00140681">
        <w:rPr>
          <w:color w:val="000000"/>
          <w:szCs w:val="24"/>
          <w:lang w:val="uk-UA"/>
        </w:rPr>
        <w:lastRenderedPageBreak/>
        <w:t xml:space="preserve">Загальний об’єм фактично наявних потужностей для зберігання нафтопродуктів на </w:t>
      </w:r>
      <w:proofErr w:type="spellStart"/>
      <w:r w:rsidRPr="00140681">
        <w:rPr>
          <w:color w:val="000000"/>
          <w:szCs w:val="24"/>
          <w:lang w:val="uk-UA"/>
        </w:rPr>
        <w:t>Нафтоперевал</w:t>
      </w:r>
      <w:r w:rsidR="00C16171">
        <w:rPr>
          <w:color w:val="000000"/>
          <w:szCs w:val="24"/>
          <w:lang w:val="uk-UA"/>
        </w:rPr>
        <w:t>ці</w:t>
      </w:r>
      <w:proofErr w:type="spellEnd"/>
      <w:r w:rsidRPr="00140681">
        <w:rPr>
          <w:color w:val="000000"/>
          <w:szCs w:val="24"/>
          <w:lang w:val="uk-UA"/>
        </w:rPr>
        <w:t xml:space="preserve"> становить близько 63 тис. м</w:t>
      </w:r>
      <w:r w:rsidRPr="00140681">
        <w:rPr>
          <w:color w:val="000000"/>
          <w:szCs w:val="24"/>
          <w:vertAlign w:val="superscript"/>
          <w:lang w:val="uk-UA"/>
        </w:rPr>
        <w:t>3</w:t>
      </w:r>
      <w:r w:rsidRPr="00140681">
        <w:rPr>
          <w:color w:val="000000"/>
          <w:szCs w:val="24"/>
          <w:lang w:val="uk-UA"/>
        </w:rPr>
        <w:t xml:space="preserve"> (~ 49,14 тис. тонн), на Нафтобазі – близько 14,4 тис. м</w:t>
      </w:r>
      <w:r w:rsidRPr="00140681">
        <w:rPr>
          <w:color w:val="000000"/>
          <w:szCs w:val="24"/>
          <w:vertAlign w:val="superscript"/>
          <w:lang w:val="uk-UA"/>
        </w:rPr>
        <w:t>3</w:t>
      </w:r>
      <w:r w:rsidRPr="00140681">
        <w:rPr>
          <w:color w:val="000000"/>
          <w:szCs w:val="24"/>
          <w:lang w:val="uk-UA"/>
        </w:rPr>
        <w:t xml:space="preserve"> (~ 10,1 тис. тонн) (разом 77,4 тис. м</w:t>
      </w:r>
      <w:r w:rsidRPr="000B11F6">
        <w:rPr>
          <w:color w:val="000000"/>
          <w:szCs w:val="24"/>
          <w:vertAlign w:val="superscript"/>
          <w:lang w:val="uk-UA"/>
        </w:rPr>
        <w:t>3</w:t>
      </w:r>
      <w:r w:rsidRPr="00140681">
        <w:rPr>
          <w:color w:val="000000"/>
          <w:szCs w:val="24"/>
          <w:lang w:val="uk-UA"/>
        </w:rPr>
        <w:t xml:space="preserve"> або 59,24 тис. тонн).</w:t>
      </w:r>
    </w:p>
    <w:p w:rsidR="00243993" w:rsidRPr="00140681" w:rsidRDefault="00243993" w:rsidP="00243993">
      <w:pPr>
        <w:pStyle w:val="af4"/>
        <w:tabs>
          <w:tab w:val="left" w:pos="709"/>
          <w:tab w:val="left" w:pos="851"/>
        </w:tabs>
        <w:overflowPunct/>
        <w:ind w:left="0"/>
        <w:contextualSpacing/>
        <w:jc w:val="both"/>
        <w:rPr>
          <w:color w:val="000000"/>
          <w:szCs w:val="24"/>
          <w:lang w:val="uk-UA"/>
        </w:rPr>
      </w:pPr>
    </w:p>
    <w:p w:rsidR="00935B99" w:rsidRPr="00A13789" w:rsidRDefault="00935B99" w:rsidP="00935B99">
      <w:pPr>
        <w:pStyle w:val="af4"/>
        <w:numPr>
          <w:ilvl w:val="0"/>
          <w:numId w:val="7"/>
        </w:numPr>
        <w:tabs>
          <w:tab w:val="left" w:pos="709"/>
          <w:tab w:val="left" w:pos="851"/>
        </w:tabs>
        <w:overflowPunct/>
        <w:ind w:left="709" w:hanging="709"/>
        <w:contextualSpacing/>
        <w:jc w:val="both"/>
        <w:rPr>
          <w:color w:val="000000"/>
          <w:szCs w:val="24"/>
          <w:lang w:val="uk-UA"/>
        </w:rPr>
      </w:pPr>
      <w:r w:rsidRPr="00A13789">
        <w:rPr>
          <w:color w:val="000000"/>
          <w:szCs w:val="24"/>
          <w:lang w:val="uk-UA"/>
        </w:rPr>
        <w:t xml:space="preserve">Потужності </w:t>
      </w:r>
      <w:proofErr w:type="spellStart"/>
      <w:r w:rsidRPr="00A13789">
        <w:rPr>
          <w:color w:val="000000"/>
          <w:szCs w:val="24"/>
          <w:lang w:val="uk-UA"/>
        </w:rPr>
        <w:t>Нафтоперевал</w:t>
      </w:r>
      <w:r w:rsidR="00507E01">
        <w:rPr>
          <w:color w:val="000000"/>
          <w:szCs w:val="24"/>
          <w:lang w:val="uk-UA"/>
        </w:rPr>
        <w:t>ки</w:t>
      </w:r>
      <w:proofErr w:type="spellEnd"/>
      <w:r w:rsidRPr="00A13789">
        <w:rPr>
          <w:color w:val="000000"/>
          <w:szCs w:val="24"/>
          <w:lang w:val="uk-UA"/>
        </w:rPr>
        <w:t xml:space="preserve"> та Нафтобази не дозволяють перевалювати та/або зберігати скраплений вуглеводний газ.</w:t>
      </w:r>
    </w:p>
    <w:p w:rsidR="00935B99" w:rsidRPr="00A13789" w:rsidRDefault="00935B99" w:rsidP="00935B99">
      <w:pPr>
        <w:pStyle w:val="af4"/>
        <w:tabs>
          <w:tab w:val="left" w:pos="709"/>
          <w:tab w:val="left" w:pos="851"/>
        </w:tabs>
        <w:overflowPunct/>
        <w:ind w:left="0"/>
        <w:contextualSpacing/>
        <w:jc w:val="both"/>
        <w:rPr>
          <w:color w:val="000000"/>
          <w:szCs w:val="24"/>
          <w:lang w:val="uk-UA"/>
        </w:rPr>
      </w:pPr>
    </w:p>
    <w:p w:rsidR="00935B99" w:rsidRPr="00A13789" w:rsidRDefault="00935B99" w:rsidP="00935B99">
      <w:pPr>
        <w:pStyle w:val="af4"/>
        <w:numPr>
          <w:ilvl w:val="0"/>
          <w:numId w:val="7"/>
        </w:numPr>
        <w:tabs>
          <w:tab w:val="left" w:pos="709"/>
          <w:tab w:val="left" w:pos="851"/>
        </w:tabs>
        <w:overflowPunct/>
        <w:ind w:left="709" w:hanging="709"/>
        <w:contextualSpacing/>
        <w:jc w:val="both"/>
        <w:rPr>
          <w:color w:val="000000"/>
          <w:szCs w:val="24"/>
          <w:lang w:val="uk-UA"/>
        </w:rPr>
      </w:pPr>
      <w:r w:rsidRPr="00A13789">
        <w:rPr>
          <w:color w:val="000000"/>
          <w:szCs w:val="24"/>
          <w:lang w:val="uk-UA"/>
        </w:rPr>
        <w:t xml:space="preserve">Експлуатації Нафтогавані </w:t>
      </w:r>
      <w:r w:rsidR="00507E01">
        <w:rPr>
          <w:color w:val="000000"/>
          <w:szCs w:val="24"/>
          <w:lang w:val="uk-UA"/>
        </w:rPr>
        <w:t>й</w:t>
      </w:r>
      <w:r w:rsidRPr="00A13789">
        <w:rPr>
          <w:color w:val="000000"/>
          <w:szCs w:val="24"/>
          <w:lang w:val="uk-UA"/>
        </w:rPr>
        <w:t xml:space="preserve"> Нафтобази з моменту їх придбання та </w:t>
      </w:r>
      <w:r w:rsidR="00507E01">
        <w:rPr>
          <w:color w:val="000000"/>
          <w:szCs w:val="24"/>
          <w:lang w:val="uk-UA"/>
        </w:rPr>
        <w:t>на момент</w:t>
      </w:r>
      <w:r w:rsidRPr="00A13789">
        <w:rPr>
          <w:color w:val="000000"/>
          <w:szCs w:val="24"/>
          <w:lang w:val="uk-UA"/>
        </w:rPr>
        <w:t xml:space="preserve"> пода</w:t>
      </w:r>
      <w:r w:rsidR="00507E01">
        <w:rPr>
          <w:color w:val="000000"/>
          <w:szCs w:val="24"/>
          <w:lang w:val="uk-UA"/>
        </w:rPr>
        <w:t>ння</w:t>
      </w:r>
      <w:r w:rsidRPr="00A13789">
        <w:rPr>
          <w:color w:val="000000"/>
          <w:szCs w:val="24"/>
          <w:lang w:val="uk-UA"/>
        </w:rPr>
        <w:t xml:space="preserve"> заяви до Комітету ТОВ «НАФТА-ТРАНСШИПМЕНТ» не здійснювало. Разом </w:t>
      </w:r>
      <w:r w:rsidR="00507E01">
        <w:rPr>
          <w:color w:val="000000"/>
          <w:szCs w:val="24"/>
          <w:lang w:val="uk-UA"/>
        </w:rPr>
        <w:t>і</w:t>
      </w:r>
      <w:r w:rsidRPr="00A13789">
        <w:rPr>
          <w:color w:val="000000"/>
          <w:szCs w:val="24"/>
          <w:lang w:val="uk-UA"/>
        </w:rPr>
        <w:t xml:space="preserve">з тим, за інформацією заявників, метою концентрації є набуття АТ «КОНЦЕРН ГАЛНАФТОГАЗ» контролю над потужностями Нафтогавані </w:t>
      </w:r>
      <w:r w:rsidR="00507E01">
        <w:rPr>
          <w:color w:val="000000"/>
          <w:szCs w:val="24"/>
          <w:lang w:val="uk-UA"/>
        </w:rPr>
        <w:t>й</w:t>
      </w:r>
      <w:r w:rsidRPr="00A13789">
        <w:rPr>
          <w:color w:val="000000"/>
          <w:szCs w:val="24"/>
          <w:lang w:val="uk-UA"/>
        </w:rPr>
        <w:t xml:space="preserve"> Нафтобази з метою модернізації та подальшого використання для забезпечення нафтопродуктами мереж АЗС «ОККО» </w:t>
      </w:r>
      <w:r w:rsidR="00507E01">
        <w:rPr>
          <w:color w:val="000000"/>
          <w:szCs w:val="24"/>
          <w:lang w:val="uk-UA"/>
        </w:rPr>
        <w:t>у</w:t>
      </w:r>
      <w:r w:rsidRPr="00A13789">
        <w:rPr>
          <w:color w:val="000000"/>
          <w:szCs w:val="24"/>
          <w:lang w:val="uk-UA"/>
        </w:rPr>
        <w:t xml:space="preserve"> південних, центральних та східних регіонах України, а також надання послуг </w:t>
      </w:r>
      <w:r w:rsidR="00507E01">
        <w:rPr>
          <w:color w:val="000000"/>
          <w:szCs w:val="24"/>
          <w:lang w:val="uk-UA"/>
        </w:rPr>
        <w:t>і</w:t>
      </w:r>
      <w:r w:rsidRPr="00A13789">
        <w:rPr>
          <w:color w:val="000000"/>
          <w:szCs w:val="24"/>
          <w:lang w:val="uk-UA"/>
        </w:rPr>
        <w:t>з перевалки та/або зберігання нафтопродуктів іншим суб’єктам господарювання.</w:t>
      </w:r>
    </w:p>
    <w:p w:rsidR="00E07C2B" w:rsidRPr="00140681" w:rsidRDefault="00E07C2B" w:rsidP="00E07C2B">
      <w:pPr>
        <w:tabs>
          <w:tab w:val="left" w:pos="284"/>
          <w:tab w:val="left" w:pos="709"/>
        </w:tabs>
        <w:ind w:left="709"/>
        <w:contextualSpacing/>
        <w:jc w:val="both"/>
        <w:rPr>
          <w:rFonts w:eastAsia="Calibri"/>
          <w:i/>
          <w:iCs/>
          <w:color w:val="000000"/>
          <w:shd w:val="clear" w:color="auto" w:fill="FFFFFF"/>
          <w:lang w:val="uk-UA"/>
        </w:rPr>
      </w:pPr>
    </w:p>
    <w:p w:rsidR="007D24AD" w:rsidRPr="00140681" w:rsidRDefault="007D24AD" w:rsidP="00E07C2B">
      <w:pPr>
        <w:pStyle w:val="af4"/>
        <w:numPr>
          <w:ilvl w:val="0"/>
          <w:numId w:val="7"/>
        </w:numPr>
        <w:tabs>
          <w:tab w:val="left" w:pos="709"/>
          <w:tab w:val="left" w:pos="851"/>
        </w:tabs>
        <w:overflowPunct/>
        <w:ind w:left="709" w:hanging="709"/>
        <w:contextualSpacing/>
        <w:jc w:val="both"/>
        <w:rPr>
          <w:color w:val="000000"/>
          <w:szCs w:val="24"/>
          <w:lang w:val="uk-UA"/>
        </w:rPr>
      </w:pPr>
      <w:r w:rsidRPr="00140681">
        <w:rPr>
          <w:color w:val="000000"/>
          <w:szCs w:val="24"/>
          <w:lang w:val="uk-UA"/>
        </w:rPr>
        <w:t>Акваторія р. Дніпр</w:t>
      </w:r>
      <w:r w:rsidR="00507E01">
        <w:rPr>
          <w:color w:val="000000"/>
          <w:szCs w:val="24"/>
          <w:lang w:val="uk-UA"/>
        </w:rPr>
        <w:t>о</w:t>
      </w:r>
      <w:r w:rsidRPr="00140681">
        <w:rPr>
          <w:color w:val="000000"/>
          <w:szCs w:val="24"/>
          <w:lang w:val="uk-UA"/>
        </w:rPr>
        <w:t xml:space="preserve"> поблизу Херсонської нафтоперевалки дозволяє приймати на двох морських причалах перевалки малотон</w:t>
      </w:r>
      <w:r w:rsidR="00507E01">
        <w:rPr>
          <w:color w:val="000000"/>
          <w:szCs w:val="24"/>
          <w:lang w:val="uk-UA"/>
        </w:rPr>
        <w:t>н</w:t>
      </w:r>
      <w:r w:rsidRPr="00140681">
        <w:rPr>
          <w:color w:val="000000"/>
          <w:szCs w:val="24"/>
          <w:lang w:val="uk-UA"/>
        </w:rPr>
        <w:t>ажні танкери з вантажопідйомністю до                     10 тис. тонн.</w:t>
      </w:r>
    </w:p>
    <w:p w:rsidR="007D24AD" w:rsidRPr="00140681" w:rsidRDefault="007D24AD" w:rsidP="00E07C2B">
      <w:pPr>
        <w:pStyle w:val="af4"/>
        <w:tabs>
          <w:tab w:val="left" w:pos="709"/>
          <w:tab w:val="left" w:pos="851"/>
        </w:tabs>
        <w:overflowPunct/>
        <w:ind w:left="709"/>
        <w:contextualSpacing/>
        <w:jc w:val="both"/>
        <w:rPr>
          <w:iCs/>
          <w:color w:val="000000"/>
          <w:szCs w:val="24"/>
          <w:lang w:val="uk-UA"/>
        </w:rPr>
      </w:pPr>
    </w:p>
    <w:p w:rsidR="007D24AD" w:rsidRDefault="007D24AD" w:rsidP="00E07C2B">
      <w:pPr>
        <w:pStyle w:val="af4"/>
        <w:numPr>
          <w:ilvl w:val="0"/>
          <w:numId w:val="7"/>
        </w:numPr>
        <w:tabs>
          <w:tab w:val="left" w:pos="709"/>
          <w:tab w:val="left" w:pos="851"/>
        </w:tabs>
        <w:overflowPunct/>
        <w:ind w:left="709" w:hanging="709"/>
        <w:contextualSpacing/>
        <w:jc w:val="both"/>
        <w:rPr>
          <w:color w:val="000000"/>
          <w:szCs w:val="24"/>
          <w:lang w:val="uk-UA"/>
        </w:rPr>
      </w:pPr>
      <w:r w:rsidRPr="00140681">
        <w:rPr>
          <w:color w:val="000000"/>
          <w:szCs w:val="24"/>
          <w:lang w:val="uk-UA"/>
        </w:rPr>
        <w:t>ТОВ «КУА «АКТИВ» здійснює діяльність з управління активами, що діє від свого імені та за рахунок активів пайового венчурного інвестиційного фонду недиверсифікованого виду закритого типу «ВЕСТ ФІНАНС».</w:t>
      </w:r>
    </w:p>
    <w:p w:rsidR="00E07C2B" w:rsidRPr="00140681" w:rsidRDefault="00E07C2B" w:rsidP="00E07C2B">
      <w:pPr>
        <w:pStyle w:val="af4"/>
        <w:tabs>
          <w:tab w:val="left" w:pos="709"/>
          <w:tab w:val="left" w:pos="851"/>
        </w:tabs>
        <w:overflowPunct/>
        <w:ind w:left="0"/>
        <w:contextualSpacing/>
        <w:jc w:val="both"/>
        <w:rPr>
          <w:color w:val="000000"/>
          <w:szCs w:val="24"/>
          <w:lang w:val="uk-UA"/>
        </w:rPr>
      </w:pPr>
    </w:p>
    <w:p w:rsidR="00E07C2B" w:rsidRDefault="007D24AD" w:rsidP="00E07C2B">
      <w:pPr>
        <w:pStyle w:val="af4"/>
        <w:numPr>
          <w:ilvl w:val="0"/>
          <w:numId w:val="7"/>
        </w:numPr>
        <w:tabs>
          <w:tab w:val="left" w:pos="709"/>
          <w:tab w:val="left" w:pos="851"/>
        </w:tabs>
        <w:overflowPunct/>
        <w:ind w:left="709" w:hanging="709"/>
        <w:contextualSpacing/>
        <w:jc w:val="both"/>
        <w:rPr>
          <w:color w:val="000000"/>
          <w:szCs w:val="24"/>
          <w:lang w:val="uk-UA"/>
        </w:rPr>
      </w:pPr>
      <w:r w:rsidRPr="00140681">
        <w:rPr>
          <w:color w:val="000000"/>
          <w:szCs w:val="24"/>
          <w:lang w:val="uk-UA"/>
        </w:rPr>
        <w:t xml:space="preserve">ТОВ «КУА «АКТИВ» на дату заяви управляє активами 16 інститутів спільного інвестування (ІСІ), </w:t>
      </w:r>
      <w:r w:rsidR="00507E01">
        <w:rPr>
          <w:color w:val="000000"/>
          <w:szCs w:val="24"/>
          <w:lang w:val="uk-UA"/>
        </w:rPr>
        <w:t>і</w:t>
      </w:r>
      <w:r w:rsidRPr="00140681">
        <w:rPr>
          <w:color w:val="000000"/>
          <w:szCs w:val="24"/>
          <w:lang w:val="uk-UA"/>
        </w:rPr>
        <w:t>з них 2 корпоративних інвестиційних фонди (КІФ) та 14 пайових інвестиційних фондів (ПІФ).</w:t>
      </w:r>
    </w:p>
    <w:p w:rsidR="00E07C2B" w:rsidRPr="00E07C2B" w:rsidRDefault="00E07C2B" w:rsidP="00E07C2B">
      <w:pPr>
        <w:pStyle w:val="af4"/>
        <w:tabs>
          <w:tab w:val="left" w:pos="709"/>
          <w:tab w:val="left" w:pos="851"/>
        </w:tabs>
        <w:overflowPunct/>
        <w:ind w:left="0"/>
        <w:contextualSpacing/>
        <w:jc w:val="both"/>
        <w:rPr>
          <w:color w:val="000000"/>
          <w:szCs w:val="24"/>
          <w:lang w:val="uk-UA"/>
        </w:rPr>
      </w:pPr>
    </w:p>
    <w:p w:rsidR="007D24AD" w:rsidRDefault="007D24AD" w:rsidP="00E07C2B">
      <w:pPr>
        <w:pStyle w:val="af4"/>
        <w:numPr>
          <w:ilvl w:val="0"/>
          <w:numId w:val="7"/>
        </w:numPr>
        <w:tabs>
          <w:tab w:val="left" w:pos="709"/>
          <w:tab w:val="left" w:pos="851"/>
        </w:tabs>
        <w:overflowPunct/>
        <w:ind w:left="709" w:hanging="709"/>
        <w:contextualSpacing/>
        <w:jc w:val="both"/>
        <w:rPr>
          <w:color w:val="000000"/>
          <w:szCs w:val="24"/>
          <w:lang w:val="uk-UA"/>
        </w:rPr>
      </w:pPr>
      <w:r w:rsidRPr="00140681">
        <w:rPr>
          <w:color w:val="000000"/>
          <w:szCs w:val="24"/>
          <w:lang w:val="uk-UA"/>
        </w:rPr>
        <w:t>ТОВ «КУА «АКТИВ» контролюється фізичними особами</w:t>
      </w:r>
      <w:r w:rsidR="003E5E46" w:rsidRPr="00140681">
        <w:rPr>
          <w:color w:val="000000"/>
          <w:szCs w:val="24"/>
          <w:vertAlign w:val="superscript"/>
          <w:lang w:val="uk-UA"/>
        </w:rPr>
        <w:footnoteReference w:id="1"/>
      </w:r>
      <w:r w:rsidRPr="00140681">
        <w:rPr>
          <w:color w:val="000000"/>
          <w:szCs w:val="24"/>
          <w:lang w:val="uk-UA"/>
        </w:rPr>
        <w:t xml:space="preserve"> – громадянами України </w:t>
      </w:r>
      <w:proofErr w:type="spellStart"/>
      <w:r w:rsidRPr="00140681">
        <w:rPr>
          <w:color w:val="000000"/>
          <w:szCs w:val="24"/>
          <w:lang w:val="uk-UA"/>
        </w:rPr>
        <w:t>Коцьом</w:t>
      </w:r>
      <w:proofErr w:type="spellEnd"/>
      <w:r w:rsidRPr="00140681">
        <w:rPr>
          <w:color w:val="000000"/>
          <w:szCs w:val="24"/>
          <w:lang w:val="uk-UA"/>
        </w:rPr>
        <w:t xml:space="preserve"> Іваном Степановичем, </w:t>
      </w:r>
      <w:proofErr w:type="spellStart"/>
      <w:r w:rsidRPr="00140681">
        <w:rPr>
          <w:color w:val="000000"/>
          <w:szCs w:val="24"/>
          <w:lang w:val="uk-UA"/>
        </w:rPr>
        <w:t>Куспісьом</w:t>
      </w:r>
      <w:proofErr w:type="spellEnd"/>
      <w:r w:rsidRPr="00140681">
        <w:rPr>
          <w:color w:val="000000"/>
          <w:szCs w:val="24"/>
          <w:lang w:val="uk-UA"/>
        </w:rPr>
        <w:t xml:space="preserve"> Богданом Михайловичем і </w:t>
      </w:r>
      <w:proofErr w:type="spellStart"/>
      <w:r w:rsidRPr="00140681">
        <w:rPr>
          <w:color w:val="000000"/>
          <w:szCs w:val="24"/>
          <w:lang w:val="uk-UA"/>
        </w:rPr>
        <w:t>Таранським</w:t>
      </w:r>
      <w:proofErr w:type="spellEnd"/>
      <w:r w:rsidRPr="00140681">
        <w:rPr>
          <w:color w:val="000000"/>
          <w:szCs w:val="24"/>
          <w:lang w:val="uk-UA"/>
        </w:rPr>
        <w:t xml:space="preserve"> Ігорем Петровичем.</w:t>
      </w:r>
    </w:p>
    <w:p w:rsidR="00E07C2B" w:rsidRPr="00140681" w:rsidRDefault="00E07C2B" w:rsidP="00E07C2B">
      <w:pPr>
        <w:pStyle w:val="af4"/>
        <w:tabs>
          <w:tab w:val="left" w:pos="709"/>
          <w:tab w:val="left" w:pos="851"/>
        </w:tabs>
        <w:overflowPunct/>
        <w:ind w:left="0"/>
        <w:contextualSpacing/>
        <w:jc w:val="both"/>
        <w:rPr>
          <w:color w:val="000000"/>
          <w:szCs w:val="24"/>
          <w:lang w:val="uk-UA"/>
        </w:rPr>
      </w:pPr>
    </w:p>
    <w:p w:rsidR="007D24AD" w:rsidRPr="00140681" w:rsidRDefault="007D24AD" w:rsidP="00E07C2B">
      <w:pPr>
        <w:pStyle w:val="af4"/>
        <w:numPr>
          <w:ilvl w:val="0"/>
          <w:numId w:val="7"/>
        </w:numPr>
        <w:tabs>
          <w:tab w:val="left" w:pos="709"/>
          <w:tab w:val="left" w:pos="851"/>
        </w:tabs>
        <w:overflowPunct/>
        <w:ind w:left="709" w:hanging="709"/>
        <w:contextualSpacing/>
        <w:jc w:val="both"/>
        <w:rPr>
          <w:color w:val="000000"/>
          <w:szCs w:val="24"/>
          <w:lang w:val="uk-UA"/>
        </w:rPr>
      </w:pPr>
      <w:r w:rsidRPr="00140681">
        <w:rPr>
          <w:color w:val="000000"/>
          <w:szCs w:val="24"/>
          <w:lang w:val="uk-UA"/>
        </w:rPr>
        <w:t xml:space="preserve">Після здійснення концентрації участь ТОВ «КУА «АКТИВ» </w:t>
      </w:r>
      <w:r w:rsidR="00507E01">
        <w:rPr>
          <w:color w:val="000000"/>
          <w:szCs w:val="24"/>
          <w:lang w:val="uk-UA"/>
        </w:rPr>
        <w:t>у</w:t>
      </w:r>
      <w:r w:rsidRPr="00140681">
        <w:rPr>
          <w:color w:val="000000"/>
          <w:szCs w:val="24"/>
          <w:lang w:val="uk-UA"/>
        </w:rPr>
        <w:t xml:space="preserve"> статутному капіталі  ТОВ «НАФТА-ТРАНСШИПМЕНТ» припиниться.</w:t>
      </w:r>
    </w:p>
    <w:p w:rsidR="007D24AD" w:rsidRPr="00140681" w:rsidRDefault="007D24AD" w:rsidP="00E07C2B">
      <w:pPr>
        <w:pStyle w:val="af4"/>
        <w:tabs>
          <w:tab w:val="left" w:pos="709"/>
          <w:tab w:val="left" w:pos="851"/>
        </w:tabs>
        <w:overflowPunct/>
        <w:ind w:left="709"/>
        <w:contextualSpacing/>
        <w:jc w:val="both"/>
        <w:rPr>
          <w:color w:val="000000"/>
          <w:szCs w:val="24"/>
          <w:lang w:val="uk-UA"/>
        </w:rPr>
      </w:pPr>
    </w:p>
    <w:p w:rsidR="007D24AD" w:rsidRDefault="007D24AD" w:rsidP="00E07C2B">
      <w:pPr>
        <w:pStyle w:val="af4"/>
        <w:numPr>
          <w:ilvl w:val="0"/>
          <w:numId w:val="7"/>
        </w:numPr>
        <w:tabs>
          <w:tab w:val="left" w:pos="709"/>
          <w:tab w:val="left" w:pos="851"/>
        </w:tabs>
        <w:overflowPunct/>
        <w:ind w:left="709" w:hanging="709"/>
        <w:contextualSpacing/>
        <w:jc w:val="both"/>
        <w:rPr>
          <w:color w:val="000000"/>
          <w:szCs w:val="24"/>
          <w:lang w:val="uk-UA"/>
        </w:rPr>
      </w:pPr>
      <w:r w:rsidRPr="00140681">
        <w:rPr>
          <w:color w:val="000000"/>
          <w:szCs w:val="24"/>
          <w:lang w:val="uk-UA"/>
        </w:rPr>
        <w:t xml:space="preserve">АТ «КОНЦЕРН ГАЛНАФТОГАЗ» здійснює діяльність </w:t>
      </w:r>
      <w:r w:rsidR="00507E01">
        <w:rPr>
          <w:color w:val="000000"/>
          <w:szCs w:val="24"/>
          <w:lang w:val="uk-UA"/>
        </w:rPr>
        <w:t>і</w:t>
      </w:r>
      <w:r w:rsidRPr="00140681">
        <w:rPr>
          <w:color w:val="000000"/>
          <w:szCs w:val="24"/>
          <w:lang w:val="uk-UA"/>
        </w:rPr>
        <w:t>з надання в оренду власного нерухомого майна (АЗС).</w:t>
      </w:r>
    </w:p>
    <w:p w:rsidR="00E07C2B" w:rsidRPr="00140681" w:rsidRDefault="00E07C2B" w:rsidP="00E07C2B">
      <w:pPr>
        <w:pStyle w:val="af4"/>
        <w:tabs>
          <w:tab w:val="left" w:pos="709"/>
          <w:tab w:val="left" w:pos="851"/>
        </w:tabs>
        <w:overflowPunct/>
        <w:ind w:left="0"/>
        <w:contextualSpacing/>
        <w:jc w:val="both"/>
        <w:rPr>
          <w:color w:val="000000"/>
          <w:szCs w:val="24"/>
          <w:lang w:val="uk-UA"/>
        </w:rPr>
      </w:pPr>
    </w:p>
    <w:p w:rsidR="007D24AD" w:rsidRDefault="007D24AD" w:rsidP="00E07C2B">
      <w:pPr>
        <w:pStyle w:val="af4"/>
        <w:numPr>
          <w:ilvl w:val="0"/>
          <w:numId w:val="7"/>
        </w:numPr>
        <w:tabs>
          <w:tab w:val="left" w:pos="709"/>
          <w:tab w:val="left" w:pos="851"/>
        </w:tabs>
        <w:overflowPunct/>
        <w:ind w:left="709" w:hanging="709"/>
        <w:contextualSpacing/>
        <w:jc w:val="both"/>
        <w:rPr>
          <w:color w:val="000000"/>
          <w:szCs w:val="24"/>
          <w:lang w:val="uk-UA"/>
        </w:rPr>
      </w:pPr>
      <w:r w:rsidRPr="00140681">
        <w:rPr>
          <w:color w:val="000000"/>
          <w:szCs w:val="24"/>
          <w:lang w:val="uk-UA"/>
        </w:rPr>
        <w:t xml:space="preserve">АТ «КОНЦЕРН ГАЛНАФТОГАЗ» разом </w:t>
      </w:r>
      <w:r w:rsidR="00507E01">
        <w:rPr>
          <w:color w:val="000000"/>
          <w:szCs w:val="24"/>
          <w:lang w:val="uk-UA"/>
        </w:rPr>
        <w:t>і</w:t>
      </w:r>
      <w:r w:rsidRPr="00140681">
        <w:rPr>
          <w:color w:val="000000"/>
          <w:szCs w:val="24"/>
          <w:lang w:val="uk-UA"/>
        </w:rPr>
        <w:t>з суб’єктами господарювання – резидентами та нерезидентами України, пов’язаними з ним відносинами контролю, утворюють Групу «ОККО».</w:t>
      </w:r>
    </w:p>
    <w:p w:rsidR="00E07C2B" w:rsidRPr="00140681" w:rsidRDefault="00E07C2B" w:rsidP="00E07C2B">
      <w:pPr>
        <w:pStyle w:val="af4"/>
        <w:tabs>
          <w:tab w:val="left" w:pos="709"/>
          <w:tab w:val="left" w:pos="851"/>
        </w:tabs>
        <w:overflowPunct/>
        <w:ind w:left="0"/>
        <w:contextualSpacing/>
        <w:jc w:val="both"/>
        <w:rPr>
          <w:color w:val="000000"/>
          <w:szCs w:val="24"/>
          <w:lang w:val="uk-UA"/>
        </w:rPr>
      </w:pPr>
    </w:p>
    <w:p w:rsidR="007D24AD" w:rsidRDefault="007D24AD" w:rsidP="00E07C2B">
      <w:pPr>
        <w:pStyle w:val="af4"/>
        <w:numPr>
          <w:ilvl w:val="0"/>
          <w:numId w:val="7"/>
        </w:numPr>
        <w:tabs>
          <w:tab w:val="left" w:pos="709"/>
          <w:tab w:val="left" w:pos="851"/>
        </w:tabs>
        <w:overflowPunct/>
        <w:ind w:left="709" w:hanging="709"/>
        <w:contextualSpacing/>
        <w:jc w:val="both"/>
        <w:rPr>
          <w:iCs/>
          <w:szCs w:val="24"/>
          <w:lang w:val="uk-UA"/>
        </w:rPr>
      </w:pPr>
      <w:r w:rsidRPr="00140681">
        <w:rPr>
          <w:iCs/>
          <w:szCs w:val="24"/>
          <w:lang w:val="uk-UA"/>
        </w:rPr>
        <w:t>На території України Група «ОККО» здійснює діяльність із: роздрібної реалізації світлих нафтопродуктів (моторн</w:t>
      </w:r>
      <w:r w:rsidR="00507E01">
        <w:rPr>
          <w:iCs/>
          <w:szCs w:val="24"/>
          <w:lang w:val="uk-UA"/>
        </w:rPr>
        <w:t>их</w:t>
      </w:r>
      <w:r w:rsidRPr="00140681">
        <w:rPr>
          <w:iCs/>
          <w:szCs w:val="24"/>
          <w:lang w:val="uk-UA"/>
        </w:rPr>
        <w:t xml:space="preserve"> бензин</w:t>
      </w:r>
      <w:r w:rsidR="00507E01">
        <w:rPr>
          <w:iCs/>
          <w:szCs w:val="24"/>
          <w:lang w:val="uk-UA"/>
        </w:rPr>
        <w:t>ів</w:t>
      </w:r>
      <w:r w:rsidRPr="00140681">
        <w:rPr>
          <w:iCs/>
          <w:szCs w:val="24"/>
          <w:lang w:val="uk-UA"/>
        </w:rPr>
        <w:t>, дизельн</w:t>
      </w:r>
      <w:r w:rsidR="00507E01">
        <w:rPr>
          <w:iCs/>
          <w:szCs w:val="24"/>
          <w:lang w:val="uk-UA"/>
        </w:rPr>
        <w:t>ого</w:t>
      </w:r>
      <w:r w:rsidRPr="00140681">
        <w:rPr>
          <w:iCs/>
          <w:szCs w:val="24"/>
          <w:lang w:val="uk-UA"/>
        </w:rPr>
        <w:t xml:space="preserve"> палив</w:t>
      </w:r>
      <w:r w:rsidR="00507E01">
        <w:rPr>
          <w:iCs/>
          <w:szCs w:val="24"/>
          <w:lang w:val="uk-UA"/>
        </w:rPr>
        <w:t>а</w:t>
      </w:r>
      <w:r w:rsidRPr="00140681">
        <w:rPr>
          <w:iCs/>
          <w:szCs w:val="24"/>
          <w:lang w:val="uk-UA"/>
        </w:rPr>
        <w:t>) та скрапленого газу через АЗС (АГЗП); оптової реалізації нафтопродуктів, зберігання нафтопродуктів;  надання в оренду власного нерухомого майна (АЗС, офісних та комерційних об’єктів), вантажних перевезень, оптової торгівлі зерном, насінням, кав</w:t>
      </w:r>
      <w:r w:rsidR="00507E01">
        <w:rPr>
          <w:iCs/>
          <w:szCs w:val="24"/>
          <w:lang w:val="uk-UA"/>
        </w:rPr>
        <w:t>ою</w:t>
      </w:r>
      <w:r w:rsidRPr="00140681">
        <w:rPr>
          <w:iCs/>
          <w:szCs w:val="24"/>
          <w:lang w:val="uk-UA"/>
        </w:rPr>
        <w:t xml:space="preserve">, виробництва хліба </w:t>
      </w:r>
      <w:r w:rsidR="00507E01">
        <w:rPr>
          <w:iCs/>
          <w:szCs w:val="24"/>
          <w:lang w:val="uk-UA"/>
        </w:rPr>
        <w:t>й</w:t>
      </w:r>
      <w:r w:rsidRPr="00140681">
        <w:rPr>
          <w:iCs/>
          <w:szCs w:val="24"/>
          <w:lang w:val="uk-UA"/>
        </w:rPr>
        <w:t xml:space="preserve"> хлібобулочних виробів, виробництва та реалізації хімічних речовин (побутової хімії, </w:t>
      </w:r>
      <w:r w:rsidRPr="00140681">
        <w:rPr>
          <w:iCs/>
          <w:szCs w:val="24"/>
          <w:lang w:val="uk-UA"/>
        </w:rPr>
        <w:lastRenderedPageBreak/>
        <w:t>автохімії), будівництва житлових та нежитлових будівель, надання послуг постачання теплової енергії, консультаційних послуг.</w:t>
      </w:r>
    </w:p>
    <w:p w:rsidR="00507E01" w:rsidRDefault="00507E01" w:rsidP="00507E01">
      <w:pPr>
        <w:pStyle w:val="af4"/>
        <w:tabs>
          <w:tab w:val="left" w:pos="709"/>
          <w:tab w:val="left" w:pos="851"/>
        </w:tabs>
        <w:overflowPunct/>
        <w:ind w:left="0"/>
        <w:contextualSpacing/>
        <w:jc w:val="both"/>
        <w:rPr>
          <w:iCs/>
          <w:szCs w:val="24"/>
          <w:lang w:val="uk-UA"/>
        </w:rPr>
      </w:pPr>
    </w:p>
    <w:p w:rsidR="007D24AD" w:rsidRDefault="007D24AD" w:rsidP="00E07C2B">
      <w:pPr>
        <w:pStyle w:val="af4"/>
        <w:numPr>
          <w:ilvl w:val="0"/>
          <w:numId w:val="7"/>
        </w:numPr>
        <w:tabs>
          <w:tab w:val="left" w:pos="709"/>
          <w:tab w:val="left" w:pos="851"/>
        </w:tabs>
        <w:overflowPunct/>
        <w:ind w:left="709" w:hanging="709"/>
        <w:contextualSpacing/>
        <w:jc w:val="both"/>
        <w:rPr>
          <w:iCs/>
          <w:szCs w:val="24"/>
          <w:lang w:val="uk-UA"/>
        </w:rPr>
      </w:pPr>
      <w:r w:rsidRPr="00140681">
        <w:rPr>
          <w:iCs/>
          <w:szCs w:val="24"/>
          <w:lang w:val="uk-UA"/>
        </w:rPr>
        <w:t xml:space="preserve">Група «ОККО» володіє: </w:t>
      </w:r>
    </w:p>
    <w:p w:rsidR="00243993" w:rsidRPr="00140681" w:rsidRDefault="00243993" w:rsidP="00243993">
      <w:pPr>
        <w:pStyle w:val="af4"/>
        <w:tabs>
          <w:tab w:val="left" w:pos="709"/>
          <w:tab w:val="left" w:pos="851"/>
        </w:tabs>
        <w:overflowPunct/>
        <w:ind w:left="0"/>
        <w:contextualSpacing/>
        <w:jc w:val="both"/>
        <w:rPr>
          <w:iCs/>
          <w:szCs w:val="24"/>
          <w:lang w:val="uk-UA"/>
        </w:rPr>
      </w:pPr>
    </w:p>
    <w:p w:rsidR="007D24AD" w:rsidRDefault="007D24AD" w:rsidP="00E07C2B">
      <w:pPr>
        <w:tabs>
          <w:tab w:val="left" w:pos="284"/>
          <w:tab w:val="left" w:pos="709"/>
        </w:tabs>
        <w:ind w:left="709" w:firstLine="425"/>
        <w:contextualSpacing/>
        <w:jc w:val="both"/>
        <w:rPr>
          <w:rStyle w:val="affb"/>
          <w:rFonts w:eastAsia="Calibri"/>
          <w:i w:val="0"/>
          <w:sz w:val="24"/>
          <w:szCs w:val="24"/>
          <w:lang w:val="uk-UA"/>
        </w:rPr>
      </w:pPr>
      <w:r w:rsidRPr="00140681">
        <w:rPr>
          <w:rStyle w:val="affb"/>
          <w:rFonts w:eastAsia="Calibri"/>
          <w:i w:val="0"/>
          <w:sz w:val="24"/>
          <w:szCs w:val="24"/>
          <w:lang w:val="uk-UA"/>
        </w:rPr>
        <w:t>мережею АЗК «ОККО», яка на сьогодні налічує понад 400 АЗК (</w:t>
      </w:r>
      <w:r w:rsidR="00507E01">
        <w:rPr>
          <w:rStyle w:val="affb"/>
          <w:rFonts w:eastAsia="Calibri"/>
          <w:i w:val="0"/>
          <w:sz w:val="24"/>
          <w:szCs w:val="24"/>
          <w:lang w:val="uk-UA"/>
        </w:rPr>
        <w:t>у</w:t>
      </w:r>
      <w:r w:rsidRPr="00140681">
        <w:rPr>
          <w:rStyle w:val="affb"/>
          <w:rFonts w:eastAsia="Calibri"/>
          <w:i w:val="0"/>
          <w:sz w:val="24"/>
          <w:szCs w:val="24"/>
          <w:lang w:val="uk-UA"/>
        </w:rPr>
        <w:t xml:space="preserve"> тому числі понад 260 модулів для заправки скрапленим вуглеводневим газом (СВГ)), які перебувають в оренді та експлуатуються дочірніми підприємствами –  ТОВ «ОККО-</w:t>
      </w:r>
      <w:proofErr w:type="spellStart"/>
      <w:r w:rsidRPr="00140681">
        <w:rPr>
          <w:rStyle w:val="affb"/>
          <w:rFonts w:eastAsia="Calibri"/>
          <w:i w:val="0"/>
          <w:sz w:val="24"/>
          <w:szCs w:val="24"/>
          <w:lang w:val="uk-UA"/>
        </w:rPr>
        <w:t>Рітейл</w:t>
      </w:r>
      <w:proofErr w:type="spellEnd"/>
      <w:r w:rsidRPr="00140681">
        <w:rPr>
          <w:rStyle w:val="affb"/>
          <w:rFonts w:eastAsia="Calibri"/>
          <w:i w:val="0"/>
          <w:sz w:val="24"/>
          <w:szCs w:val="24"/>
          <w:lang w:val="uk-UA"/>
        </w:rPr>
        <w:t xml:space="preserve">» і ТОВ «ОККО-Схід»; </w:t>
      </w:r>
    </w:p>
    <w:p w:rsidR="00243993" w:rsidRPr="00140681" w:rsidRDefault="00243993" w:rsidP="00E07C2B">
      <w:pPr>
        <w:tabs>
          <w:tab w:val="left" w:pos="284"/>
          <w:tab w:val="left" w:pos="709"/>
        </w:tabs>
        <w:ind w:left="709" w:firstLine="425"/>
        <w:contextualSpacing/>
        <w:jc w:val="both"/>
        <w:rPr>
          <w:rStyle w:val="affb"/>
          <w:rFonts w:eastAsia="Calibri"/>
          <w:i w:val="0"/>
          <w:sz w:val="24"/>
          <w:szCs w:val="24"/>
          <w:lang w:val="uk-UA"/>
        </w:rPr>
      </w:pPr>
    </w:p>
    <w:p w:rsidR="007D24AD" w:rsidRDefault="007D24AD" w:rsidP="00E07C2B">
      <w:pPr>
        <w:tabs>
          <w:tab w:val="left" w:pos="284"/>
          <w:tab w:val="left" w:pos="709"/>
        </w:tabs>
        <w:ind w:left="709" w:firstLine="425"/>
        <w:contextualSpacing/>
        <w:jc w:val="both"/>
        <w:rPr>
          <w:rStyle w:val="affb"/>
          <w:rFonts w:eastAsia="Calibri"/>
          <w:i w:val="0"/>
          <w:sz w:val="24"/>
          <w:szCs w:val="24"/>
          <w:lang w:val="uk-UA"/>
        </w:rPr>
      </w:pPr>
      <w:r w:rsidRPr="00140681">
        <w:rPr>
          <w:rStyle w:val="affb"/>
          <w:rFonts w:eastAsia="Calibri"/>
          <w:i w:val="0"/>
          <w:sz w:val="24"/>
          <w:szCs w:val="24"/>
          <w:lang w:val="uk-UA"/>
        </w:rPr>
        <w:t xml:space="preserve">10 діючими нафтобазами (загальний обсяг резервуарного парку 126,6 тис. </w:t>
      </w:r>
      <w:r w:rsidRPr="00507E01">
        <w:rPr>
          <w:rStyle w:val="affb"/>
          <w:rFonts w:eastAsia="Calibri"/>
          <w:i w:val="0"/>
          <w:sz w:val="24"/>
          <w:szCs w:val="24"/>
          <w:lang w:val="uk-UA"/>
        </w:rPr>
        <w:t>м</w:t>
      </w:r>
      <w:r w:rsidRPr="00507E01">
        <w:rPr>
          <w:rStyle w:val="affb"/>
          <w:rFonts w:eastAsia="Calibri"/>
          <w:i w:val="0"/>
          <w:sz w:val="24"/>
          <w:szCs w:val="24"/>
          <w:vertAlign w:val="superscript"/>
          <w:lang w:val="uk-UA"/>
        </w:rPr>
        <w:t>3</w:t>
      </w:r>
      <w:r w:rsidRPr="00507E01">
        <w:rPr>
          <w:rStyle w:val="affb"/>
          <w:rFonts w:eastAsia="Calibri"/>
          <w:i w:val="0"/>
          <w:sz w:val="24"/>
          <w:szCs w:val="24"/>
          <w:lang w:val="uk-UA"/>
        </w:rPr>
        <w:t>)</w:t>
      </w:r>
      <w:r w:rsidRPr="00140681">
        <w:rPr>
          <w:rStyle w:val="affb"/>
          <w:rFonts w:eastAsia="Calibri"/>
          <w:i w:val="0"/>
          <w:sz w:val="24"/>
          <w:szCs w:val="24"/>
          <w:lang w:val="uk-UA"/>
        </w:rPr>
        <w:t xml:space="preserve"> </w:t>
      </w:r>
      <w:r w:rsidR="00507E01">
        <w:rPr>
          <w:rStyle w:val="affb"/>
          <w:rFonts w:eastAsia="Calibri"/>
          <w:i w:val="0"/>
          <w:sz w:val="24"/>
          <w:szCs w:val="24"/>
          <w:lang w:val="uk-UA"/>
        </w:rPr>
        <w:t xml:space="preserve">                 </w:t>
      </w:r>
      <w:r w:rsidRPr="00140681">
        <w:rPr>
          <w:rStyle w:val="affb"/>
          <w:rFonts w:eastAsia="Calibri"/>
          <w:i w:val="0"/>
          <w:sz w:val="24"/>
          <w:szCs w:val="24"/>
          <w:lang w:val="uk-UA"/>
        </w:rPr>
        <w:t>та 1 газонаповнювальною станцією (ГНС) для зберігання СВГ, які експлуату</w:t>
      </w:r>
      <w:r w:rsidR="00507E01">
        <w:rPr>
          <w:rStyle w:val="affb"/>
          <w:rFonts w:eastAsia="Calibri"/>
          <w:i w:val="0"/>
          <w:sz w:val="24"/>
          <w:szCs w:val="24"/>
          <w:lang w:val="uk-UA"/>
        </w:rPr>
        <w:t>є</w:t>
      </w:r>
      <w:r w:rsidRPr="00140681">
        <w:rPr>
          <w:rStyle w:val="affb"/>
          <w:rFonts w:eastAsia="Calibri"/>
          <w:i w:val="0"/>
          <w:sz w:val="24"/>
          <w:szCs w:val="24"/>
          <w:lang w:val="uk-UA"/>
        </w:rPr>
        <w:t xml:space="preserve"> </w:t>
      </w:r>
      <w:r w:rsidR="00507E01">
        <w:rPr>
          <w:rStyle w:val="affb"/>
          <w:rFonts w:eastAsia="Calibri"/>
          <w:i w:val="0"/>
          <w:sz w:val="24"/>
          <w:szCs w:val="24"/>
          <w:lang w:val="uk-UA"/>
        </w:rPr>
        <w:t xml:space="preserve">                   </w:t>
      </w:r>
      <w:r w:rsidRPr="00140681">
        <w:rPr>
          <w:rStyle w:val="affb"/>
          <w:rFonts w:eastAsia="Calibri"/>
          <w:i w:val="0"/>
          <w:sz w:val="24"/>
          <w:szCs w:val="24"/>
          <w:lang w:val="uk-UA"/>
        </w:rPr>
        <w:t>ПП «</w:t>
      </w:r>
      <w:proofErr w:type="spellStart"/>
      <w:r w:rsidRPr="00140681">
        <w:rPr>
          <w:rStyle w:val="affb"/>
          <w:rFonts w:eastAsia="Calibri"/>
          <w:i w:val="0"/>
          <w:sz w:val="24"/>
          <w:szCs w:val="24"/>
          <w:lang w:val="uk-UA"/>
        </w:rPr>
        <w:t>Нафтотермінал</w:t>
      </w:r>
      <w:proofErr w:type="spellEnd"/>
      <w:r w:rsidRPr="00140681">
        <w:rPr>
          <w:rStyle w:val="affb"/>
          <w:rFonts w:eastAsia="Calibri"/>
          <w:i w:val="0"/>
          <w:sz w:val="24"/>
          <w:szCs w:val="24"/>
          <w:lang w:val="uk-UA"/>
        </w:rPr>
        <w:t xml:space="preserve">»; </w:t>
      </w:r>
    </w:p>
    <w:p w:rsidR="00243993" w:rsidRPr="00140681" w:rsidRDefault="00243993" w:rsidP="00E07C2B">
      <w:pPr>
        <w:tabs>
          <w:tab w:val="left" w:pos="284"/>
          <w:tab w:val="left" w:pos="709"/>
        </w:tabs>
        <w:ind w:left="709" w:firstLine="425"/>
        <w:contextualSpacing/>
        <w:jc w:val="both"/>
        <w:rPr>
          <w:rStyle w:val="affb"/>
          <w:rFonts w:eastAsia="Calibri"/>
          <w:i w:val="0"/>
          <w:sz w:val="24"/>
          <w:szCs w:val="24"/>
          <w:lang w:val="uk-UA"/>
        </w:rPr>
      </w:pPr>
    </w:p>
    <w:p w:rsidR="007D24AD" w:rsidRDefault="007D24AD" w:rsidP="00E07C2B">
      <w:pPr>
        <w:tabs>
          <w:tab w:val="left" w:pos="284"/>
          <w:tab w:val="left" w:pos="709"/>
        </w:tabs>
        <w:ind w:left="709" w:firstLine="425"/>
        <w:contextualSpacing/>
        <w:jc w:val="both"/>
        <w:rPr>
          <w:rStyle w:val="affb"/>
          <w:rFonts w:eastAsia="Calibri"/>
          <w:i w:val="0"/>
          <w:sz w:val="24"/>
          <w:szCs w:val="24"/>
          <w:lang w:val="uk-UA"/>
        </w:rPr>
      </w:pPr>
      <w:r w:rsidRPr="00140681">
        <w:rPr>
          <w:rStyle w:val="affb"/>
          <w:rFonts w:eastAsia="Calibri"/>
          <w:i w:val="0"/>
          <w:sz w:val="24"/>
          <w:szCs w:val="24"/>
          <w:lang w:val="uk-UA"/>
        </w:rPr>
        <w:t>понад 120</w:t>
      </w:r>
      <w:r w:rsidR="00507E01">
        <w:rPr>
          <w:rStyle w:val="affb"/>
          <w:rFonts w:eastAsia="Calibri"/>
          <w:i w:val="0"/>
          <w:sz w:val="24"/>
          <w:szCs w:val="24"/>
          <w:lang w:val="uk-UA"/>
        </w:rPr>
        <w:t xml:space="preserve"> </w:t>
      </w:r>
      <w:r w:rsidRPr="00140681">
        <w:rPr>
          <w:rStyle w:val="affb"/>
          <w:rFonts w:eastAsia="Calibri"/>
          <w:i w:val="0"/>
          <w:sz w:val="24"/>
          <w:szCs w:val="24"/>
          <w:lang w:val="uk-UA"/>
        </w:rPr>
        <w:t xml:space="preserve">автомобільними </w:t>
      </w:r>
      <w:proofErr w:type="spellStart"/>
      <w:r w:rsidRPr="00140681">
        <w:rPr>
          <w:rStyle w:val="affb"/>
          <w:rFonts w:eastAsia="Calibri"/>
          <w:i w:val="0"/>
          <w:sz w:val="24"/>
          <w:szCs w:val="24"/>
          <w:lang w:val="uk-UA"/>
        </w:rPr>
        <w:t>паливовозами</w:t>
      </w:r>
      <w:proofErr w:type="spellEnd"/>
      <w:r w:rsidRPr="00140681">
        <w:rPr>
          <w:rStyle w:val="affb"/>
          <w:rFonts w:eastAsia="Calibri"/>
          <w:i w:val="0"/>
          <w:sz w:val="24"/>
          <w:szCs w:val="24"/>
          <w:lang w:val="uk-UA"/>
        </w:rPr>
        <w:t xml:space="preserve">, </w:t>
      </w:r>
      <w:r w:rsidR="00507E01">
        <w:rPr>
          <w:rStyle w:val="affb"/>
          <w:rFonts w:eastAsia="Calibri"/>
          <w:i w:val="0"/>
          <w:sz w:val="24"/>
          <w:szCs w:val="24"/>
          <w:lang w:val="uk-UA"/>
        </w:rPr>
        <w:t>у тому числі</w:t>
      </w:r>
      <w:r w:rsidRPr="00140681">
        <w:rPr>
          <w:rStyle w:val="affb"/>
          <w:rFonts w:eastAsia="Calibri"/>
          <w:i w:val="0"/>
          <w:sz w:val="24"/>
          <w:szCs w:val="24"/>
          <w:lang w:val="uk-UA"/>
        </w:rPr>
        <w:t xml:space="preserve"> 27 газовозами для перевезення СВГ, що експлуату</w:t>
      </w:r>
      <w:r w:rsidR="00507E01">
        <w:rPr>
          <w:rStyle w:val="affb"/>
          <w:rFonts w:eastAsia="Calibri"/>
          <w:i w:val="0"/>
          <w:sz w:val="24"/>
          <w:szCs w:val="24"/>
          <w:lang w:val="uk-UA"/>
        </w:rPr>
        <w:t>є</w:t>
      </w:r>
      <w:r w:rsidRPr="00140681">
        <w:rPr>
          <w:rStyle w:val="affb"/>
          <w:rFonts w:eastAsia="Calibri"/>
          <w:i w:val="0"/>
          <w:sz w:val="24"/>
          <w:szCs w:val="24"/>
          <w:lang w:val="uk-UA"/>
        </w:rPr>
        <w:t xml:space="preserve"> ПП «</w:t>
      </w:r>
      <w:proofErr w:type="spellStart"/>
      <w:r w:rsidRPr="00140681">
        <w:rPr>
          <w:rStyle w:val="affb"/>
          <w:rFonts w:eastAsia="Calibri"/>
          <w:i w:val="0"/>
          <w:sz w:val="24"/>
          <w:szCs w:val="24"/>
          <w:lang w:val="uk-UA"/>
        </w:rPr>
        <w:t>Автотранском</w:t>
      </w:r>
      <w:proofErr w:type="spellEnd"/>
      <w:r w:rsidRPr="00140681">
        <w:rPr>
          <w:rStyle w:val="affb"/>
          <w:rFonts w:eastAsia="Calibri"/>
          <w:i w:val="0"/>
          <w:sz w:val="24"/>
          <w:szCs w:val="24"/>
          <w:lang w:val="uk-UA"/>
        </w:rPr>
        <w:t xml:space="preserve">»; </w:t>
      </w:r>
    </w:p>
    <w:p w:rsidR="00243993" w:rsidRPr="00140681" w:rsidRDefault="00243993" w:rsidP="00E07C2B">
      <w:pPr>
        <w:tabs>
          <w:tab w:val="left" w:pos="284"/>
          <w:tab w:val="left" w:pos="709"/>
        </w:tabs>
        <w:ind w:left="709" w:firstLine="425"/>
        <w:contextualSpacing/>
        <w:jc w:val="both"/>
        <w:rPr>
          <w:rStyle w:val="affb"/>
          <w:rFonts w:eastAsia="Calibri"/>
          <w:i w:val="0"/>
          <w:sz w:val="24"/>
          <w:szCs w:val="24"/>
          <w:lang w:val="uk-UA"/>
        </w:rPr>
      </w:pPr>
    </w:p>
    <w:p w:rsidR="007D24AD" w:rsidRDefault="007D24AD" w:rsidP="00E07C2B">
      <w:pPr>
        <w:tabs>
          <w:tab w:val="left" w:pos="284"/>
          <w:tab w:val="left" w:pos="709"/>
        </w:tabs>
        <w:ind w:left="709" w:firstLine="425"/>
        <w:contextualSpacing/>
        <w:jc w:val="both"/>
        <w:rPr>
          <w:rStyle w:val="affb"/>
          <w:rFonts w:eastAsia="Calibri"/>
          <w:i w:val="0"/>
          <w:sz w:val="24"/>
          <w:szCs w:val="24"/>
          <w:lang w:val="uk-UA"/>
        </w:rPr>
      </w:pPr>
      <w:r w:rsidRPr="00140681">
        <w:rPr>
          <w:rStyle w:val="affb"/>
          <w:rFonts w:eastAsia="Calibri"/>
          <w:i w:val="0"/>
          <w:sz w:val="24"/>
          <w:szCs w:val="24"/>
          <w:lang w:val="uk-UA"/>
        </w:rPr>
        <w:t>19 акредитованими лабораторіями (серед яких 4 – мобільні) для перевірки якості нафтопродуктів.</w:t>
      </w:r>
    </w:p>
    <w:p w:rsidR="00243993" w:rsidRPr="00140681" w:rsidRDefault="00243993" w:rsidP="00E07C2B">
      <w:pPr>
        <w:tabs>
          <w:tab w:val="left" w:pos="284"/>
          <w:tab w:val="left" w:pos="709"/>
        </w:tabs>
        <w:ind w:left="709" w:firstLine="425"/>
        <w:contextualSpacing/>
        <w:jc w:val="both"/>
        <w:rPr>
          <w:rStyle w:val="affb"/>
          <w:rFonts w:eastAsia="Calibri"/>
          <w:i w:val="0"/>
          <w:sz w:val="24"/>
          <w:szCs w:val="24"/>
          <w:lang w:val="uk-UA"/>
        </w:rPr>
      </w:pPr>
    </w:p>
    <w:p w:rsidR="007D24AD" w:rsidRPr="00140681" w:rsidRDefault="007D24AD" w:rsidP="00E07C2B">
      <w:pPr>
        <w:pStyle w:val="af4"/>
        <w:numPr>
          <w:ilvl w:val="0"/>
          <w:numId w:val="7"/>
        </w:numPr>
        <w:tabs>
          <w:tab w:val="left" w:pos="709"/>
          <w:tab w:val="left" w:pos="851"/>
        </w:tabs>
        <w:overflowPunct/>
        <w:ind w:left="709" w:hanging="709"/>
        <w:contextualSpacing/>
        <w:jc w:val="both"/>
        <w:rPr>
          <w:iCs/>
          <w:szCs w:val="24"/>
          <w:lang w:val="uk-UA"/>
        </w:rPr>
      </w:pPr>
      <w:r w:rsidRPr="00140681">
        <w:rPr>
          <w:iCs/>
          <w:szCs w:val="24"/>
          <w:lang w:val="uk-UA"/>
        </w:rPr>
        <w:t>Група «ОККО» контролюється фізичною особою – громадянином України Антоновим Віталієм Борисовичем.</w:t>
      </w:r>
    </w:p>
    <w:p w:rsidR="007D24AD" w:rsidRPr="00140681" w:rsidRDefault="007D24AD" w:rsidP="00E07C2B">
      <w:pPr>
        <w:pStyle w:val="aff8"/>
        <w:tabs>
          <w:tab w:val="left" w:pos="709"/>
          <w:tab w:val="left" w:pos="851"/>
        </w:tabs>
        <w:ind w:left="709"/>
        <w:contextualSpacing/>
        <w:jc w:val="both"/>
        <w:rPr>
          <w:lang w:val="uk-UA"/>
        </w:rPr>
      </w:pPr>
    </w:p>
    <w:p w:rsidR="00A3102E" w:rsidRPr="00140681" w:rsidRDefault="00A3102E" w:rsidP="00E07C2B">
      <w:pPr>
        <w:numPr>
          <w:ilvl w:val="0"/>
          <w:numId w:val="2"/>
        </w:numPr>
        <w:tabs>
          <w:tab w:val="left" w:pos="709"/>
          <w:tab w:val="left" w:pos="1418"/>
        </w:tabs>
        <w:ind w:left="709" w:hanging="709"/>
        <w:contextualSpacing/>
        <w:jc w:val="both"/>
        <w:rPr>
          <w:b/>
          <w:lang w:val="uk-UA"/>
        </w:rPr>
      </w:pPr>
      <w:r w:rsidRPr="00140681">
        <w:rPr>
          <w:b/>
          <w:lang w:val="uk-UA"/>
        </w:rPr>
        <w:t>ОЦІНКА ВПЛИВУ КОНЦЕНТРАЦІЙ НА ЗАДІЯНІ РИНКИ</w:t>
      </w:r>
    </w:p>
    <w:p w:rsidR="00FE266D" w:rsidRPr="00140681" w:rsidRDefault="00FE266D" w:rsidP="00E07C2B">
      <w:pPr>
        <w:tabs>
          <w:tab w:val="left" w:pos="709"/>
          <w:tab w:val="left" w:pos="1418"/>
        </w:tabs>
        <w:ind w:left="709"/>
        <w:contextualSpacing/>
        <w:jc w:val="both"/>
        <w:rPr>
          <w:b/>
          <w:lang w:val="uk-UA"/>
        </w:rPr>
      </w:pPr>
    </w:p>
    <w:p w:rsidR="007D24AD" w:rsidRPr="00E07C2B" w:rsidRDefault="007D24AD" w:rsidP="00E07C2B">
      <w:pPr>
        <w:pStyle w:val="af4"/>
        <w:numPr>
          <w:ilvl w:val="0"/>
          <w:numId w:val="7"/>
        </w:numPr>
        <w:tabs>
          <w:tab w:val="left" w:pos="709"/>
          <w:tab w:val="left" w:pos="851"/>
        </w:tabs>
        <w:overflowPunct/>
        <w:ind w:left="709" w:hanging="709"/>
        <w:contextualSpacing/>
        <w:jc w:val="both"/>
        <w:rPr>
          <w:iCs/>
          <w:szCs w:val="24"/>
          <w:lang w:val="uk-UA"/>
        </w:rPr>
      </w:pPr>
      <w:r w:rsidRPr="00E07C2B">
        <w:rPr>
          <w:iCs/>
          <w:szCs w:val="24"/>
          <w:lang w:val="uk-UA"/>
        </w:rPr>
        <w:t>В ході розгляду справи встановлено, що задіяними товарними ринками в рамках концентрації є ринки: первинної реалізації високооктанових моторних бензинів та дизельного пального; морської перевалки нафтопродуктів; зберігання нафтопродуктів; суміжного ринку роздрібної реалізації високооктанових моторних бензинів та дизельного пального.</w:t>
      </w:r>
    </w:p>
    <w:p w:rsidR="00243993" w:rsidRPr="00E07C2B" w:rsidRDefault="00243993" w:rsidP="003E5E46">
      <w:pPr>
        <w:pStyle w:val="af4"/>
        <w:tabs>
          <w:tab w:val="left" w:pos="709"/>
          <w:tab w:val="left" w:pos="851"/>
        </w:tabs>
        <w:overflowPunct/>
        <w:ind w:left="0"/>
        <w:contextualSpacing/>
        <w:jc w:val="both"/>
        <w:rPr>
          <w:i/>
          <w:iCs/>
          <w:szCs w:val="24"/>
          <w:lang w:val="uk-UA"/>
        </w:rPr>
      </w:pPr>
    </w:p>
    <w:p w:rsidR="007D24AD" w:rsidRPr="00E07C2B" w:rsidRDefault="007D24AD" w:rsidP="00E07C2B">
      <w:pPr>
        <w:pStyle w:val="af4"/>
        <w:tabs>
          <w:tab w:val="left" w:pos="709"/>
          <w:tab w:val="left" w:pos="851"/>
        </w:tabs>
        <w:overflowPunct/>
        <w:contextualSpacing/>
        <w:jc w:val="both"/>
        <w:rPr>
          <w:i/>
          <w:iCs/>
          <w:szCs w:val="24"/>
          <w:lang w:val="uk-UA"/>
        </w:rPr>
      </w:pPr>
      <w:r w:rsidRPr="00E07C2B">
        <w:rPr>
          <w:i/>
          <w:iCs/>
          <w:szCs w:val="24"/>
          <w:lang w:val="uk-UA"/>
        </w:rPr>
        <w:t>Щодо</w:t>
      </w:r>
      <w:r w:rsidR="003E5E46">
        <w:rPr>
          <w:i/>
          <w:iCs/>
          <w:szCs w:val="24"/>
          <w:lang w:val="uk-UA"/>
        </w:rPr>
        <w:t xml:space="preserve"> ринку</w:t>
      </w:r>
      <w:r w:rsidRPr="00E07C2B">
        <w:rPr>
          <w:i/>
          <w:iCs/>
          <w:szCs w:val="24"/>
          <w:lang w:val="uk-UA"/>
        </w:rPr>
        <w:t xml:space="preserve"> первинної реалізації високооктанових моторних </w:t>
      </w:r>
      <w:r w:rsidR="00507E01">
        <w:rPr>
          <w:i/>
          <w:iCs/>
          <w:szCs w:val="24"/>
          <w:lang w:val="uk-UA"/>
        </w:rPr>
        <w:t>бензинів та дизельного пального</w:t>
      </w:r>
    </w:p>
    <w:p w:rsidR="007D24AD" w:rsidRPr="00E07C2B" w:rsidRDefault="007D24AD" w:rsidP="00E07C2B">
      <w:pPr>
        <w:pStyle w:val="af4"/>
        <w:tabs>
          <w:tab w:val="left" w:pos="709"/>
          <w:tab w:val="left" w:pos="851"/>
        </w:tabs>
        <w:overflowPunct/>
        <w:contextualSpacing/>
        <w:jc w:val="both"/>
        <w:rPr>
          <w:i/>
          <w:iCs/>
          <w:szCs w:val="24"/>
          <w:lang w:val="uk-UA"/>
        </w:rPr>
      </w:pPr>
    </w:p>
    <w:p w:rsidR="00E07C2B" w:rsidRDefault="00507E01" w:rsidP="00507E01">
      <w:pPr>
        <w:pStyle w:val="af4"/>
        <w:numPr>
          <w:ilvl w:val="0"/>
          <w:numId w:val="7"/>
        </w:numPr>
        <w:tabs>
          <w:tab w:val="left" w:pos="709"/>
          <w:tab w:val="left" w:pos="851"/>
        </w:tabs>
        <w:overflowPunct/>
        <w:ind w:left="709" w:hanging="709"/>
        <w:contextualSpacing/>
        <w:jc w:val="both"/>
        <w:rPr>
          <w:iCs/>
          <w:szCs w:val="24"/>
          <w:lang w:val="uk-UA"/>
        </w:rPr>
      </w:pPr>
      <w:r>
        <w:rPr>
          <w:iCs/>
          <w:szCs w:val="24"/>
          <w:lang w:val="uk-UA"/>
        </w:rPr>
        <w:t>Під час розгляду справи</w:t>
      </w:r>
      <w:r w:rsidR="007D24AD" w:rsidRPr="00E07C2B">
        <w:rPr>
          <w:iCs/>
          <w:szCs w:val="24"/>
          <w:lang w:val="uk-UA"/>
        </w:rPr>
        <w:t xml:space="preserve"> Комітетом було проведено</w:t>
      </w:r>
      <w:r>
        <w:rPr>
          <w:iCs/>
          <w:szCs w:val="24"/>
          <w:lang w:val="uk-UA"/>
        </w:rPr>
        <w:t xml:space="preserve"> аналіз статистичної інформації</w:t>
      </w:r>
      <w:r w:rsidR="007D24AD" w:rsidRPr="00E07C2B">
        <w:rPr>
          <w:iCs/>
          <w:szCs w:val="24"/>
          <w:lang w:val="uk-UA"/>
        </w:rPr>
        <w:t xml:space="preserve"> щодо зовнішньої торгівлі </w:t>
      </w:r>
      <w:r>
        <w:rPr>
          <w:iCs/>
          <w:szCs w:val="24"/>
          <w:lang w:val="uk-UA"/>
        </w:rPr>
        <w:t>й</w:t>
      </w:r>
      <w:r w:rsidR="007D24AD" w:rsidRPr="00E07C2B">
        <w:rPr>
          <w:iCs/>
          <w:szCs w:val="24"/>
          <w:lang w:val="uk-UA"/>
        </w:rPr>
        <w:t xml:space="preserve"> ви</w:t>
      </w:r>
      <w:r>
        <w:rPr>
          <w:iCs/>
          <w:szCs w:val="24"/>
          <w:lang w:val="uk-UA"/>
        </w:rPr>
        <w:t>робництва окремих видів товарів у</w:t>
      </w:r>
      <w:r w:rsidR="007D24AD" w:rsidRPr="00E07C2B">
        <w:rPr>
          <w:iCs/>
          <w:szCs w:val="24"/>
          <w:lang w:val="uk-UA"/>
        </w:rPr>
        <w:t xml:space="preserve"> частині обсягів бензинів та дизельного пального</w:t>
      </w:r>
      <w:r w:rsidR="003E5E46">
        <w:rPr>
          <w:iCs/>
          <w:szCs w:val="24"/>
          <w:lang w:val="uk-UA"/>
        </w:rPr>
        <w:t>,</w:t>
      </w:r>
      <w:r w:rsidR="007D24AD" w:rsidRPr="00E07C2B">
        <w:rPr>
          <w:iCs/>
          <w:szCs w:val="24"/>
          <w:lang w:val="uk-UA"/>
        </w:rPr>
        <w:t xml:space="preserve"> які імпортуються та виробляються в Україні. Відповідна інформація була отримана з інтернет-ресурсів Державної служби статистики України (</w:t>
      </w:r>
      <w:hyperlink r:id="rId11" w:history="1">
        <w:r w:rsidR="007D24AD" w:rsidRPr="00E07C2B">
          <w:rPr>
            <w:iCs/>
            <w:szCs w:val="24"/>
            <w:lang w:val="uk-UA"/>
          </w:rPr>
          <w:t>http://ukrstat.gov.ua</w:t>
        </w:r>
      </w:hyperlink>
      <w:r w:rsidR="007D24AD" w:rsidRPr="00E07C2B">
        <w:rPr>
          <w:iCs/>
          <w:szCs w:val="24"/>
          <w:lang w:val="uk-UA"/>
        </w:rPr>
        <w:t>)</w:t>
      </w:r>
      <w:r w:rsidR="007D24AD" w:rsidRPr="00E07C2B">
        <w:rPr>
          <w:szCs w:val="24"/>
          <w:vertAlign w:val="superscript"/>
        </w:rPr>
        <w:footnoteReference w:id="2"/>
      </w:r>
      <w:r w:rsidR="007D24AD" w:rsidRPr="00E07C2B">
        <w:rPr>
          <w:iCs/>
          <w:szCs w:val="24"/>
          <w:lang w:val="uk-UA"/>
        </w:rPr>
        <w:t xml:space="preserve"> та на сайті Державної митної служби України (</w:t>
      </w:r>
      <w:hyperlink r:id="rId12" w:history="1">
        <w:r w:rsidR="007D24AD" w:rsidRPr="00E07C2B">
          <w:rPr>
            <w:iCs/>
            <w:szCs w:val="24"/>
            <w:lang w:val="uk-UA"/>
          </w:rPr>
          <w:t>https://customs.gov.ua/</w:t>
        </w:r>
      </w:hyperlink>
      <w:r w:rsidR="007D24AD" w:rsidRPr="00E07C2B">
        <w:rPr>
          <w:iCs/>
          <w:szCs w:val="24"/>
          <w:lang w:val="uk-UA"/>
        </w:rPr>
        <w:t>)</w:t>
      </w:r>
      <w:r w:rsidR="007D24AD" w:rsidRPr="00E07C2B">
        <w:rPr>
          <w:szCs w:val="24"/>
          <w:vertAlign w:val="superscript"/>
        </w:rPr>
        <w:footnoteReference w:id="3"/>
      </w:r>
      <w:r w:rsidR="007D24AD" w:rsidRPr="00E07C2B">
        <w:rPr>
          <w:iCs/>
          <w:szCs w:val="24"/>
          <w:lang w:val="uk-UA"/>
        </w:rPr>
        <w:t xml:space="preserve"> (див. </w:t>
      </w:r>
      <w:r>
        <w:rPr>
          <w:iCs/>
          <w:szCs w:val="24"/>
          <w:lang w:val="uk-UA"/>
        </w:rPr>
        <w:t>табл.</w:t>
      </w:r>
      <w:r w:rsidR="007D24AD" w:rsidRPr="00E07C2B">
        <w:rPr>
          <w:iCs/>
          <w:szCs w:val="24"/>
          <w:lang w:val="uk-UA"/>
        </w:rPr>
        <w:t xml:space="preserve"> 1).</w:t>
      </w:r>
    </w:p>
    <w:p w:rsidR="00507E01" w:rsidRPr="00507E01" w:rsidRDefault="00507E01" w:rsidP="00507E01">
      <w:pPr>
        <w:pStyle w:val="af4"/>
        <w:tabs>
          <w:tab w:val="left" w:pos="709"/>
          <w:tab w:val="left" w:pos="851"/>
        </w:tabs>
        <w:overflowPunct/>
        <w:ind w:left="709"/>
        <w:contextualSpacing/>
        <w:jc w:val="both"/>
        <w:rPr>
          <w:iCs/>
          <w:szCs w:val="24"/>
          <w:lang w:val="uk-UA"/>
        </w:rPr>
      </w:pPr>
    </w:p>
    <w:p w:rsidR="007D24AD" w:rsidRPr="00E07C2B" w:rsidRDefault="007D24AD" w:rsidP="00E07C2B">
      <w:pPr>
        <w:pStyle w:val="af4"/>
        <w:tabs>
          <w:tab w:val="left" w:pos="709"/>
          <w:tab w:val="left" w:pos="851"/>
        </w:tabs>
        <w:overflowPunct/>
        <w:ind w:left="709"/>
        <w:contextualSpacing/>
        <w:jc w:val="right"/>
        <w:rPr>
          <w:iCs/>
          <w:szCs w:val="24"/>
          <w:lang w:val="uk-UA"/>
        </w:rPr>
      </w:pPr>
      <w:r w:rsidRPr="00E07C2B">
        <w:rPr>
          <w:iCs/>
          <w:szCs w:val="24"/>
          <w:lang w:val="uk-UA"/>
        </w:rPr>
        <w:t>Таблиця 1</w:t>
      </w:r>
    </w:p>
    <w:tbl>
      <w:tblPr>
        <w:tblW w:w="5000" w:type="pct"/>
        <w:tblLayout w:type="fixed"/>
        <w:tblLook w:val="04A0" w:firstRow="1" w:lastRow="0" w:firstColumn="1" w:lastColumn="0" w:noHBand="0" w:noVBand="1"/>
      </w:tblPr>
      <w:tblGrid>
        <w:gridCol w:w="895"/>
        <w:gridCol w:w="1074"/>
        <w:gridCol w:w="35"/>
        <w:gridCol w:w="1074"/>
        <w:gridCol w:w="2225"/>
        <w:gridCol w:w="1112"/>
        <w:gridCol w:w="1110"/>
        <w:gridCol w:w="2330"/>
      </w:tblGrid>
      <w:tr w:rsidR="007D24AD" w:rsidRPr="00E07C2B" w:rsidTr="007C09E5">
        <w:trPr>
          <w:trHeight w:val="315"/>
        </w:trPr>
        <w:tc>
          <w:tcPr>
            <w:tcW w:w="454" w:type="pct"/>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rsidR="007D24AD" w:rsidRPr="004868D7" w:rsidRDefault="007D24AD" w:rsidP="00E07C2B">
            <w:pPr>
              <w:contextualSpacing/>
              <w:jc w:val="center"/>
              <w:rPr>
                <w:bCs/>
                <w:color w:val="000000"/>
                <w:sz w:val="20"/>
                <w:szCs w:val="20"/>
                <w:lang w:val="uk-UA" w:eastAsia="uk-UA"/>
              </w:rPr>
            </w:pPr>
            <w:r w:rsidRPr="004868D7">
              <w:rPr>
                <w:bCs/>
                <w:color w:val="000000"/>
                <w:sz w:val="20"/>
                <w:szCs w:val="20"/>
                <w:lang w:val="uk-UA" w:eastAsia="uk-UA"/>
              </w:rPr>
              <w:t>Рік</w:t>
            </w:r>
          </w:p>
        </w:tc>
        <w:tc>
          <w:tcPr>
            <w:tcW w:w="563" w:type="pct"/>
            <w:gridSpan w:val="2"/>
            <w:tcBorders>
              <w:top w:val="single" w:sz="8" w:space="0" w:color="auto"/>
              <w:left w:val="nil"/>
              <w:bottom w:val="single" w:sz="4" w:space="0" w:color="auto"/>
              <w:right w:val="nil"/>
            </w:tcBorders>
            <w:vAlign w:val="center"/>
          </w:tcPr>
          <w:p w:rsidR="007D24AD" w:rsidRPr="00E07C2B" w:rsidRDefault="007D24AD" w:rsidP="00E07C2B">
            <w:pPr>
              <w:contextualSpacing/>
              <w:jc w:val="center"/>
              <w:rPr>
                <w:bCs/>
                <w:color w:val="000000"/>
                <w:sz w:val="16"/>
                <w:szCs w:val="16"/>
                <w:lang w:val="uk-UA" w:eastAsia="uk-UA"/>
              </w:rPr>
            </w:pPr>
          </w:p>
        </w:tc>
        <w:tc>
          <w:tcPr>
            <w:tcW w:w="1674" w:type="pct"/>
            <w:gridSpan w:val="2"/>
            <w:tcBorders>
              <w:top w:val="single" w:sz="8" w:space="0" w:color="auto"/>
              <w:left w:val="nil"/>
              <w:bottom w:val="single" w:sz="4" w:space="0" w:color="auto"/>
              <w:right w:val="single" w:sz="8" w:space="0" w:color="000000"/>
            </w:tcBorders>
            <w:shd w:val="clear" w:color="auto" w:fill="auto"/>
            <w:vAlign w:val="center"/>
            <w:hideMark/>
          </w:tcPr>
          <w:p w:rsidR="007D24AD" w:rsidRPr="004868D7" w:rsidRDefault="007D24AD" w:rsidP="00E07C2B">
            <w:pPr>
              <w:contextualSpacing/>
              <w:jc w:val="center"/>
              <w:rPr>
                <w:bCs/>
                <w:color w:val="000000"/>
                <w:sz w:val="20"/>
                <w:szCs w:val="20"/>
                <w:lang w:val="uk-UA" w:eastAsia="uk-UA"/>
              </w:rPr>
            </w:pPr>
            <w:r w:rsidRPr="004868D7">
              <w:rPr>
                <w:bCs/>
                <w:color w:val="000000"/>
                <w:sz w:val="20"/>
                <w:szCs w:val="20"/>
                <w:lang w:val="uk-UA" w:eastAsia="uk-UA"/>
              </w:rPr>
              <w:t>Високооктанові моторні бензини</w:t>
            </w:r>
          </w:p>
        </w:tc>
        <w:tc>
          <w:tcPr>
            <w:tcW w:w="564" w:type="pct"/>
            <w:tcBorders>
              <w:top w:val="single" w:sz="8" w:space="0" w:color="auto"/>
              <w:left w:val="nil"/>
              <w:bottom w:val="single" w:sz="4" w:space="0" w:color="auto"/>
              <w:right w:val="nil"/>
            </w:tcBorders>
            <w:vAlign w:val="center"/>
          </w:tcPr>
          <w:p w:rsidR="007D24AD" w:rsidRPr="004868D7" w:rsidRDefault="007D24AD" w:rsidP="00E07C2B">
            <w:pPr>
              <w:contextualSpacing/>
              <w:jc w:val="center"/>
              <w:rPr>
                <w:bCs/>
                <w:color w:val="000000"/>
                <w:sz w:val="20"/>
                <w:szCs w:val="20"/>
                <w:lang w:val="uk-UA" w:eastAsia="uk-UA"/>
              </w:rPr>
            </w:pPr>
          </w:p>
        </w:tc>
        <w:tc>
          <w:tcPr>
            <w:tcW w:w="1745" w:type="pct"/>
            <w:gridSpan w:val="2"/>
            <w:tcBorders>
              <w:top w:val="single" w:sz="8" w:space="0" w:color="auto"/>
              <w:left w:val="nil"/>
              <w:bottom w:val="single" w:sz="4" w:space="0" w:color="auto"/>
              <w:right w:val="single" w:sz="8" w:space="0" w:color="000000"/>
            </w:tcBorders>
            <w:shd w:val="clear" w:color="auto" w:fill="auto"/>
            <w:vAlign w:val="center"/>
            <w:hideMark/>
          </w:tcPr>
          <w:p w:rsidR="007D24AD" w:rsidRPr="004868D7" w:rsidRDefault="007D24AD" w:rsidP="00E07C2B">
            <w:pPr>
              <w:contextualSpacing/>
              <w:jc w:val="center"/>
              <w:rPr>
                <w:bCs/>
                <w:color w:val="000000"/>
                <w:sz w:val="20"/>
                <w:szCs w:val="20"/>
                <w:lang w:val="uk-UA" w:eastAsia="uk-UA"/>
              </w:rPr>
            </w:pPr>
            <w:r w:rsidRPr="004868D7">
              <w:rPr>
                <w:bCs/>
                <w:color w:val="000000"/>
                <w:sz w:val="20"/>
                <w:szCs w:val="20"/>
                <w:lang w:val="uk-UA" w:eastAsia="uk-UA"/>
              </w:rPr>
              <w:t>Дизельне пальне</w:t>
            </w:r>
          </w:p>
        </w:tc>
      </w:tr>
      <w:tr w:rsidR="00E07C2B" w:rsidRPr="00E07C2B" w:rsidTr="007C09E5">
        <w:trPr>
          <w:trHeight w:val="735"/>
        </w:trPr>
        <w:tc>
          <w:tcPr>
            <w:tcW w:w="454" w:type="pct"/>
            <w:vMerge/>
            <w:tcBorders>
              <w:top w:val="single" w:sz="4" w:space="0" w:color="auto"/>
              <w:left w:val="single" w:sz="4" w:space="0" w:color="auto"/>
              <w:bottom w:val="single" w:sz="4" w:space="0" w:color="auto"/>
              <w:right w:val="single" w:sz="4" w:space="0" w:color="auto"/>
            </w:tcBorders>
            <w:vAlign w:val="center"/>
            <w:hideMark/>
          </w:tcPr>
          <w:p w:rsidR="00E07C2B" w:rsidRPr="00E07C2B" w:rsidRDefault="00E07C2B" w:rsidP="00E07C2B">
            <w:pPr>
              <w:contextualSpacing/>
              <w:jc w:val="center"/>
              <w:rPr>
                <w:bCs/>
                <w:color w:val="000000"/>
                <w:sz w:val="16"/>
                <w:szCs w:val="16"/>
                <w:lang w:val="uk-UA" w:eastAsia="uk-UA"/>
              </w:rPr>
            </w:pP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07C2B" w:rsidRPr="00E07C2B" w:rsidRDefault="00E07C2B" w:rsidP="00E07C2B">
            <w:pPr>
              <w:contextualSpacing/>
              <w:jc w:val="center"/>
              <w:rPr>
                <w:color w:val="000000"/>
                <w:sz w:val="16"/>
                <w:szCs w:val="16"/>
                <w:lang w:val="uk-UA" w:eastAsia="uk-UA"/>
              </w:rPr>
            </w:pPr>
            <w:r w:rsidRPr="00E07C2B">
              <w:rPr>
                <w:color w:val="000000"/>
                <w:sz w:val="16"/>
                <w:szCs w:val="16"/>
                <w:lang w:val="uk-UA" w:eastAsia="uk-UA"/>
              </w:rPr>
              <w:t>Обсяг імпорту,  тонн</w:t>
            </w:r>
          </w:p>
        </w:tc>
        <w:tc>
          <w:tcPr>
            <w:tcW w:w="563" w:type="pct"/>
            <w:gridSpan w:val="2"/>
            <w:tcBorders>
              <w:top w:val="single" w:sz="4" w:space="0" w:color="auto"/>
              <w:left w:val="single" w:sz="4" w:space="0" w:color="auto"/>
              <w:bottom w:val="single" w:sz="4" w:space="0" w:color="auto"/>
              <w:right w:val="single" w:sz="4" w:space="0" w:color="auto"/>
            </w:tcBorders>
            <w:vAlign w:val="center"/>
          </w:tcPr>
          <w:p w:rsidR="00E07C2B" w:rsidRPr="00E07C2B" w:rsidRDefault="00E07C2B" w:rsidP="00E07C2B">
            <w:pPr>
              <w:contextualSpacing/>
              <w:jc w:val="center"/>
              <w:rPr>
                <w:color w:val="000000"/>
                <w:sz w:val="16"/>
                <w:szCs w:val="16"/>
                <w:lang w:val="uk-UA" w:eastAsia="uk-UA"/>
              </w:rPr>
            </w:pPr>
          </w:p>
          <w:p w:rsidR="00E07C2B" w:rsidRPr="00E07C2B" w:rsidRDefault="00E07C2B" w:rsidP="00E07C2B">
            <w:pPr>
              <w:contextualSpacing/>
              <w:jc w:val="center"/>
              <w:rPr>
                <w:color w:val="000000"/>
                <w:sz w:val="16"/>
                <w:szCs w:val="16"/>
                <w:lang w:val="uk-UA" w:eastAsia="uk-UA"/>
              </w:rPr>
            </w:pPr>
            <w:r w:rsidRPr="00E07C2B">
              <w:rPr>
                <w:color w:val="000000"/>
                <w:sz w:val="16"/>
                <w:szCs w:val="16"/>
                <w:lang w:val="uk-UA" w:eastAsia="uk-UA"/>
              </w:rPr>
              <w:t>Обсяг виробництва в Україні, тонн</w:t>
            </w:r>
          </w:p>
        </w:tc>
        <w:tc>
          <w:tcPr>
            <w:tcW w:w="1129" w:type="pct"/>
            <w:tcBorders>
              <w:top w:val="single" w:sz="4" w:space="0" w:color="auto"/>
              <w:left w:val="single" w:sz="4" w:space="0" w:color="auto"/>
              <w:bottom w:val="single" w:sz="4" w:space="0" w:color="auto"/>
              <w:right w:val="single" w:sz="4" w:space="0" w:color="auto"/>
            </w:tcBorders>
            <w:shd w:val="clear" w:color="auto" w:fill="auto"/>
            <w:vAlign w:val="center"/>
          </w:tcPr>
          <w:p w:rsidR="00E07C2B" w:rsidRPr="00E07C2B" w:rsidRDefault="00E07C2B" w:rsidP="00E07C2B">
            <w:pPr>
              <w:contextualSpacing/>
              <w:jc w:val="center"/>
              <w:rPr>
                <w:color w:val="000000"/>
                <w:sz w:val="16"/>
                <w:szCs w:val="16"/>
                <w:lang w:val="uk-UA" w:eastAsia="uk-UA"/>
              </w:rPr>
            </w:pPr>
            <w:r w:rsidRPr="00E07C2B">
              <w:rPr>
                <w:color w:val="000000"/>
                <w:sz w:val="16"/>
                <w:szCs w:val="16"/>
                <w:lang w:val="uk-UA" w:eastAsia="uk-UA"/>
              </w:rPr>
              <w:t>Загальний обсяг ринку первинної реалізації високооктанових моторних бензинів в Україні,</w:t>
            </w:r>
          </w:p>
          <w:p w:rsidR="00E07C2B" w:rsidRPr="00E07C2B" w:rsidRDefault="00E07C2B" w:rsidP="00E07C2B">
            <w:pPr>
              <w:contextualSpacing/>
              <w:jc w:val="center"/>
              <w:rPr>
                <w:color w:val="000000"/>
                <w:sz w:val="16"/>
                <w:szCs w:val="16"/>
                <w:lang w:val="uk-UA" w:eastAsia="uk-UA"/>
              </w:rPr>
            </w:pPr>
            <w:r w:rsidRPr="00E07C2B">
              <w:rPr>
                <w:color w:val="000000"/>
                <w:sz w:val="16"/>
                <w:szCs w:val="16"/>
                <w:lang w:val="uk-UA" w:eastAsia="uk-UA"/>
              </w:rPr>
              <w:t>тонн</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07C2B" w:rsidRPr="00E07C2B" w:rsidRDefault="00E07C2B" w:rsidP="00E07C2B">
            <w:pPr>
              <w:contextualSpacing/>
              <w:jc w:val="center"/>
              <w:rPr>
                <w:color w:val="000000"/>
                <w:sz w:val="16"/>
                <w:szCs w:val="16"/>
                <w:lang w:val="uk-UA" w:eastAsia="uk-UA"/>
              </w:rPr>
            </w:pPr>
            <w:r w:rsidRPr="00E07C2B">
              <w:rPr>
                <w:color w:val="000000"/>
                <w:sz w:val="16"/>
                <w:szCs w:val="16"/>
                <w:lang w:val="uk-UA" w:eastAsia="uk-UA"/>
              </w:rPr>
              <w:t>Обсяг імпорту, тонн</w:t>
            </w:r>
          </w:p>
        </w:tc>
        <w:tc>
          <w:tcPr>
            <w:tcW w:w="563" w:type="pct"/>
            <w:tcBorders>
              <w:top w:val="single" w:sz="4" w:space="0" w:color="auto"/>
              <w:left w:val="single" w:sz="4" w:space="0" w:color="auto"/>
              <w:bottom w:val="single" w:sz="4" w:space="0" w:color="auto"/>
              <w:right w:val="single" w:sz="4" w:space="0" w:color="auto"/>
            </w:tcBorders>
            <w:vAlign w:val="center"/>
          </w:tcPr>
          <w:p w:rsidR="00E07C2B" w:rsidRPr="00E07C2B" w:rsidRDefault="00E07C2B" w:rsidP="00E07C2B">
            <w:pPr>
              <w:contextualSpacing/>
              <w:jc w:val="center"/>
              <w:rPr>
                <w:color w:val="000000"/>
                <w:sz w:val="16"/>
                <w:szCs w:val="16"/>
                <w:lang w:val="uk-UA" w:eastAsia="uk-UA"/>
              </w:rPr>
            </w:pPr>
          </w:p>
          <w:p w:rsidR="00E07C2B" w:rsidRPr="00E07C2B" w:rsidRDefault="00E07C2B" w:rsidP="00E07C2B">
            <w:pPr>
              <w:contextualSpacing/>
              <w:jc w:val="center"/>
              <w:rPr>
                <w:color w:val="000000"/>
                <w:sz w:val="16"/>
                <w:szCs w:val="16"/>
                <w:lang w:val="uk-UA" w:eastAsia="uk-UA"/>
              </w:rPr>
            </w:pPr>
            <w:r w:rsidRPr="00E07C2B">
              <w:rPr>
                <w:color w:val="000000"/>
                <w:sz w:val="16"/>
                <w:szCs w:val="16"/>
                <w:lang w:val="uk-UA" w:eastAsia="uk-UA"/>
              </w:rPr>
              <w:t>Обсяг виробництва в Україні, тонн</w:t>
            </w:r>
          </w:p>
        </w:tc>
        <w:tc>
          <w:tcPr>
            <w:tcW w:w="1182" w:type="pct"/>
            <w:tcBorders>
              <w:top w:val="single" w:sz="4" w:space="0" w:color="auto"/>
              <w:left w:val="single" w:sz="4" w:space="0" w:color="auto"/>
              <w:bottom w:val="single" w:sz="4" w:space="0" w:color="auto"/>
              <w:right w:val="single" w:sz="4" w:space="0" w:color="auto"/>
            </w:tcBorders>
            <w:shd w:val="clear" w:color="auto" w:fill="auto"/>
            <w:vAlign w:val="center"/>
          </w:tcPr>
          <w:p w:rsidR="00E07C2B" w:rsidRPr="00E07C2B" w:rsidRDefault="00E07C2B" w:rsidP="00E07C2B">
            <w:pPr>
              <w:contextualSpacing/>
              <w:jc w:val="center"/>
              <w:rPr>
                <w:color w:val="000000"/>
                <w:sz w:val="16"/>
                <w:szCs w:val="16"/>
                <w:lang w:val="uk-UA" w:eastAsia="uk-UA"/>
              </w:rPr>
            </w:pPr>
            <w:r w:rsidRPr="00E07C2B">
              <w:rPr>
                <w:color w:val="000000"/>
                <w:sz w:val="16"/>
                <w:szCs w:val="16"/>
                <w:lang w:val="uk-UA" w:eastAsia="uk-UA"/>
              </w:rPr>
              <w:t>Загальний обсяг ринку первинної реалізації дизельного пального в Україні, тонн</w:t>
            </w:r>
          </w:p>
        </w:tc>
      </w:tr>
      <w:tr w:rsidR="007D24AD" w:rsidRPr="00E07C2B" w:rsidTr="007C09E5">
        <w:trPr>
          <w:trHeight w:val="315"/>
        </w:trPr>
        <w:tc>
          <w:tcPr>
            <w:tcW w:w="4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24AD" w:rsidRPr="004868D7" w:rsidRDefault="007D24AD" w:rsidP="00E07C2B">
            <w:pPr>
              <w:contextualSpacing/>
              <w:jc w:val="center"/>
              <w:rPr>
                <w:color w:val="000000"/>
                <w:sz w:val="20"/>
                <w:szCs w:val="20"/>
                <w:lang w:val="uk-UA" w:eastAsia="uk-UA"/>
              </w:rPr>
            </w:pPr>
            <w:r w:rsidRPr="004868D7">
              <w:rPr>
                <w:color w:val="000000"/>
                <w:sz w:val="20"/>
                <w:szCs w:val="20"/>
                <w:lang w:val="uk-UA" w:eastAsia="uk-UA"/>
              </w:rPr>
              <w:t>2018</w:t>
            </w:r>
          </w:p>
        </w:tc>
        <w:tc>
          <w:tcPr>
            <w:tcW w:w="5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24AD" w:rsidRPr="004868D7" w:rsidRDefault="007D24AD" w:rsidP="00E07C2B">
            <w:pPr>
              <w:contextualSpacing/>
              <w:jc w:val="right"/>
              <w:rPr>
                <w:color w:val="000000"/>
                <w:sz w:val="20"/>
                <w:szCs w:val="20"/>
                <w:lang w:val="uk-UA" w:eastAsia="uk-UA"/>
              </w:rPr>
            </w:pPr>
            <w:r w:rsidRPr="004868D7">
              <w:rPr>
                <w:color w:val="000000"/>
                <w:sz w:val="20"/>
                <w:szCs w:val="20"/>
                <w:lang w:val="uk-UA" w:eastAsia="uk-UA"/>
              </w:rPr>
              <w:t>1 119 426</w:t>
            </w:r>
          </w:p>
        </w:tc>
        <w:tc>
          <w:tcPr>
            <w:tcW w:w="563" w:type="pct"/>
            <w:gridSpan w:val="2"/>
            <w:tcBorders>
              <w:top w:val="single" w:sz="4" w:space="0" w:color="auto"/>
              <w:left w:val="single" w:sz="4" w:space="0" w:color="auto"/>
              <w:bottom w:val="single" w:sz="4" w:space="0" w:color="auto"/>
              <w:right w:val="single" w:sz="4" w:space="0" w:color="auto"/>
            </w:tcBorders>
            <w:vAlign w:val="center"/>
          </w:tcPr>
          <w:p w:rsidR="007D24AD" w:rsidRPr="004868D7" w:rsidRDefault="007D24AD" w:rsidP="00E07C2B">
            <w:pPr>
              <w:contextualSpacing/>
              <w:jc w:val="right"/>
              <w:rPr>
                <w:color w:val="000000"/>
                <w:sz w:val="20"/>
                <w:szCs w:val="20"/>
                <w:lang w:val="uk-UA" w:eastAsia="uk-UA"/>
              </w:rPr>
            </w:pPr>
            <w:r w:rsidRPr="004868D7">
              <w:rPr>
                <w:color w:val="000000"/>
                <w:sz w:val="20"/>
                <w:szCs w:val="20"/>
                <w:lang w:val="uk-UA" w:eastAsia="uk-UA"/>
              </w:rPr>
              <w:t>705 000</w:t>
            </w:r>
          </w:p>
        </w:tc>
        <w:tc>
          <w:tcPr>
            <w:tcW w:w="1129" w:type="pct"/>
            <w:tcBorders>
              <w:top w:val="single" w:sz="4" w:space="0" w:color="auto"/>
              <w:left w:val="single" w:sz="4" w:space="0" w:color="auto"/>
              <w:bottom w:val="single" w:sz="4" w:space="0" w:color="auto"/>
              <w:right w:val="single" w:sz="4" w:space="0" w:color="auto"/>
            </w:tcBorders>
            <w:shd w:val="clear" w:color="auto" w:fill="auto"/>
            <w:noWrap/>
            <w:vAlign w:val="center"/>
          </w:tcPr>
          <w:p w:rsidR="007D24AD" w:rsidRPr="004868D7" w:rsidRDefault="007D24AD" w:rsidP="00E07C2B">
            <w:pPr>
              <w:contextualSpacing/>
              <w:jc w:val="center"/>
              <w:rPr>
                <w:bCs/>
                <w:color w:val="000000"/>
                <w:sz w:val="20"/>
                <w:szCs w:val="20"/>
              </w:rPr>
            </w:pPr>
            <w:r w:rsidRPr="004868D7">
              <w:rPr>
                <w:bCs/>
                <w:color w:val="000000"/>
                <w:sz w:val="20"/>
                <w:szCs w:val="20"/>
                <w:lang w:val="uk-UA" w:eastAsia="uk-UA"/>
              </w:rPr>
              <w:t>1 824 426</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rsidR="007D24AD" w:rsidRPr="004868D7" w:rsidRDefault="007D24AD" w:rsidP="00E07C2B">
            <w:pPr>
              <w:contextualSpacing/>
              <w:jc w:val="right"/>
              <w:rPr>
                <w:color w:val="000000"/>
                <w:sz w:val="20"/>
                <w:szCs w:val="20"/>
                <w:lang w:val="uk-UA" w:eastAsia="uk-UA"/>
              </w:rPr>
            </w:pPr>
            <w:r w:rsidRPr="004868D7">
              <w:rPr>
                <w:color w:val="000000"/>
                <w:sz w:val="20"/>
                <w:szCs w:val="20"/>
                <w:lang w:val="uk-UA" w:eastAsia="uk-UA"/>
              </w:rPr>
              <w:t>6 714 164</w:t>
            </w:r>
          </w:p>
        </w:tc>
        <w:tc>
          <w:tcPr>
            <w:tcW w:w="563" w:type="pct"/>
            <w:tcBorders>
              <w:top w:val="single" w:sz="4" w:space="0" w:color="auto"/>
              <w:left w:val="single" w:sz="4" w:space="0" w:color="auto"/>
              <w:bottom w:val="single" w:sz="4" w:space="0" w:color="auto"/>
              <w:right w:val="single" w:sz="4" w:space="0" w:color="auto"/>
            </w:tcBorders>
            <w:vAlign w:val="center"/>
          </w:tcPr>
          <w:p w:rsidR="007D24AD" w:rsidRPr="004868D7" w:rsidRDefault="007D24AD" w:rsidP="00E07C2B">
            <w:pPr>
              <w:contextualSpacing/>
              <w:jc w:val="right"/>
              <w:rPr>
                <w:color w:val="000000"/>
                <w:sz w:val="20"/>
                <w:szCs w:val="20"/>
                <w:lang w:val="uk-UA" w:eastAsia="uk-UA"/>
              </w:rPr>
            </w:pPr>
            <w:r w:rsidRPr="004868D7">
              <w:rPr>
                <w:color w:val="000000"/>
                <w:sz w:val="20"/>
                <w:szCs w:val="20"/>
                <w:lang w:val="uk-UA" w:eastAsia="uk-UA"/>
              </w:rPr>
              <w:t>623 000</w:t>
            </w:r>
          </w:p>
        </w:tc>
        <w:tc>
          <w:tcPr>
            <w:tcW w:w="1182" w:type="pct"/>
            <w:tcBorders>
              <w:top w:val="single" w:sz="4" w:space="0" w:color="auto"/>
              <w:left w:val="single" w:sz="4" w:space="0" w:color="auto"/>
              <w:bottom w:val="single" w:sz="4" w:space="0" w:color="auto"/>
              <w:right w:val="single" w:sz="4" w:space="0" w:color="auto"/>
            </w:tcBorders>
            <w:shd w:val="clear" w:color="auto" w:fill="auto"/>
            <w:vAlign w:val="center"/>
          </w:tcPr>
          <w:p w:rsidR="007D24AD" w:rsidRPr="004868D7" w:rsidRDefault="007D24AD" w:rsidP="00E07C2B">
            <w:pPr>
              <w:contextualSpacing/>
              <w:jc w:val="center"/>
              <w:rPr>
                <w:bCs/>
                <w:color w:val="000000"/>
                <w:sz w:val="20"/>
                <w:szCs w:val="20"/>
              </w:rPr>
            </w:pPr>
            <w:r w:rsidRPr="004868D7">
              <w:rPr>
                <w:bCs/>
                <w:color w:val="000000"/>
                <w:sz w:val="20"/>
                <w:szCs w:val="20"/>
                <w:lang w:val="uk-UA" w:eastAsia="uk-UA"/>
              </w:rPr>
              <w:t>7 337 164</w:t>
            </w:r>
          </w:p>
        </w:tc>
      </w:tr>
      <w:tr w:rsidR="007D24AD" w:rsidRPr="00E07C2B" w:rsidTr="007C09E5">
        <w:trPr>
          <w:trHeight w:val="315"/>
        </w:trPr>
        <w:tc>
          <w:tcPr>
            <w:tcW w:w="4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24AD" w:rsidRPr="004868D7" w:rsidRDefault="007D24AD" w:rsidP="00E07C2B">
            <w:pPr>
              <w:contextualSpacing/>
              <w:jc w:val="center"/>
              <w:rPr>
                <w:color w:val="000000"/>
                <w:sz w:val="20"/>
                <w:szCs w:val="20"/>
                <w:lang w:val="uk-UA" w:eastAsia="uk-UA"/>
              </w:rPr>
            </w:pPr>
            <w:r w:rsidRPr="004868D7">
              <w:rPr>
                <w:color w:val="000000"/>
                <w:sz w:val="20"/>
                <w:szCs w:val="20"/>
                <w:lang w:val="uk-UA" w:eastAsia="uk-UA"/>
              </w:rPr>
              <w:t>2019</w:t>
            </w:r>
          </w:p>
        </w:tc>
        <w:tc>
          <w:tcPr>
            <w:tcW w:w="5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24AD" w:rsidRPr="004868D7" w:rsidRDefault="007D24AD" w:rsidP="00E07C2B">
            <w:pPr>
              <w:contextualSpacing/>
              <w:jc w:val="right"/>
              <w:rPr>
                <w:color w:val="000000"/>
                <w:sz w:val="20"/>
                <w:szCs w:val="20"/>
                <w:lang w:val="uk-UA" w:eastAsia="uk-UA"/>
              </w:rPr>
            </w:pPr>
            <w:r w:rsidRPr="004868D7">
              <w:rPr>
                <w:color w:val="000000"/>
                <w:sz w:val="20"/>
                <w:szCs w:val="20"/>
                <w:lang w:val="uk-UA" w:eastAsia="uk-UA"/>
              </w:rPr>
              <w:t>1 042 170</w:t>
            </w:r>
          </w:p>
        </w:tc>
        <w:tc>
          <w:tcPr>
            <w:tcW w:w="563" w:type="pct"/>
            <w:gridSpan w:val="2"/>
            <w:tcBorders>
              <w:top w:val="single" w:sz="4" w:space="0" w:color="auto"/>
              <w:left w:val="single" w:sz="4" w:space="0" w:color="auto"/>
              <w:bottom w:val="single" w:sz="4" w:space="0" w:color="auto"/>
              <w:right w:val="single" w:sz="4" w:space="0" w:color="auto"/>
            </w:tcBorders>
            <w:vAlign w:val="center"/>
          </w:tcPr>
          <w:p w:rsidR="007D24AD" w:rsidRPr="004868D7" w:rsidRDefault="007D24AD" w:rsidP="00E07C2B">
            <w:pPr>
              <w:contextualSpacing/>
              <w:jc w:val="right"/>
              <w:rPr>
                <w:color w:val="000000"/>
                <w:sz w:val="20"/>
                <w:szCs w:val="20"/>
                <w:lang w:val="uk-UA" w:eastAsia="uk-UA"/>
              </w:rPr>
            </w:pPr>
            <w:r w:rsidRPr="004868D7">
              <w:rPr>
                <w:color w:val="000000"/>
                <w:sz w:val="20"/>
                <w:szCs w:val="20"/>
                <w:lang w:val="uk-UA" w:eastAsia="uk-UA"/>
              </w:rPr>
              <w:t>730 000</w:t>
            </w:r>
          </w:p>
        </w:tc>
        <w:tc>
          <w:tcPr>
            <w:tcW w:w="1129" w:type="pct"/>
            <w:tcBorders>
              <w:top w:val="single" w:sz="4" w:space="0" w:color="auto"/>
              <w:left w:val="single" w:sz="4" w:space="0" w:color="auto"/>
              <w:bottom w:val="single" w:sz="4" w:space="0" w:color="auto"/>
              <w:right w:val="single" w:sz="4" w:space="0" w:color="auto"/>
            </w:tcBorders>
            <w:shd w:val="clear" w:color="auto" w:fill="auto"/>
            <w:noWrap/>
            <w:vAlign w:val="center"/>
          </w:tcPr>
          <w:p w:rsidR="007D24AD" w:rsidRPr="004868D7" w:rsidRDefault="007D24AD" w:rsidP="00E07C2B">
            <w:pPr>
              <w:contextualSpacing/>
              <w:jc w:val="center"/>
              <w:rPr>
                <w:bCs/>
                <w:color w:val="000000"/>
                <w:sz w:val="20"/>
                <w:szCs w:val="20"/>
              </w:rPr>
            </w:pPr>
            <w:r w:rsidRPr="004868D7">
              <w:rPr>
                <w:bCs/>
                <w:color w:val="000000"/>
                <w:sz w:val="20"/>
                <w:szCs w:val="20"/>
                <w:lang w:val="uk-UA" w:eastAsia="uk-UA"/>
              </w:rPr>
              <w:t>1 772 170</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rsidR="007D24AD" w:rsidRPr="004868D7" w:rsidRDefault="007D24AD" w:rsidP="00E07C2B">
            <w:pPr>
              <w:contextualSpacing/>
              <w:jc w:val="right"/>
              <w:rPr>
                <w:color w:val="000000"/>
                <w:sz w:val="20"/>
                <w:szCs w:val="20"/>
                <w:lang w:val="uk-UA" w:eastAsia="uk-UA"/>
              </w:rPr>
            </w:pPr>
            <w:r w:rsidRPr="004868D7">
              <w:rPr>
                <w:color w:val="000000"/>
                <w:sz w:val="20"/>
                <w:szCs w:val="20"/>
                <w:lang w:val="uk-UA" w:eastAsia="uk-UA"/>
              </w:rPr>
              <w:t>7 299 501</w:t>
            </w:r>
          </w:p>
        </w:tc>
        <w:tc>
          <w:tcPr>
            <w:tcW w:w="563" w:type="pct"/>
            <w:tcBorders>
              <w:top w:val="single" w:sz="4" w:space="0" w:color="auto"/>
              <w:left w:val="single" w:sz="4" w:space="0" w:color="auto"/>
              <w:bottom w:val="single" w:sz="4" w:space="0" w:color="auto"/>
              <w:right w:val="single" w:sz="4" w:space="0" w:color="auto"/>
            </w:tcBorders>
            <w:vAlign w:val="center"/>
          </w:tcPr>
          <w:p w:rsidR="007D24AD" w:rsidRPr="004868D7" w:rsidRDefault="007D24AD" w:rsidP="00E07C2B">
            <w:pPr>
              <w:contextualSpacing/>
              <w:jc w:val="right"/>
              <w:rPr>
                <w:color w:val="000000"/>
                <w:sz w:val="20"/>
                <w:szCs w:val="20"/>
                <w:lang w:val="uk-UA" w:eastAsia="uk-UA"/>
              </w:rPr>
            </w:pPr>
            <w:r w:rsidRPr="004868D7">
              <w:rPr>
                <w:color w:val="000000"/>
                <w:sz w:val="20"/>
                <w:szCs w:val="20"/>
                <w:lang w:val="uk-UA" w:eastAsia="uk-UA"/>
              </w:rPr>
              <w:t>700 000</w:t>
            </w:r>
          </w:p>
        </w:tc>
        <w:tc>
          <w:tcPr>
            <w:tcW w:w="1182" w:type="pct"/>
            <w:tcBorders>
              <w:top w:val="single" w:sz="4" w:space="0" w:color="auto"/>
              <w:left w:val="single" w:sz="4" w:space="0" w:color="auto"/>
              <w:bottom w:val="single" w:sz="4" w:space="0" w:color="auto"/>
              <w:right w:val="single" w:sz="4" w:space="0" w:color="auto"/>
            </w:tcBorders>
            <w:shd w:val="clear" w:color="auto" w:fill="auto"/>
            <w:vAlign w:val="center"/>
          </w:tcPr>
          <w:p w:rsidR="007D24AD" w:rsidRPr="004868D7" w:rsidRDefault="007D24AD" w:rsidP="00E07C2B">
            <w:pPr>
              <w:contextualSpacing/>
              <w:jc w:val="center"/>
              <w:rPr>
                <w:bCs/>
                <w:color w:val="000000"/>
                <w:sz w:val="20"/>
                <w:szCs w:val="20"/>
              </w:rPr>
            </w:pPr>
            <w:r w:rsidRPr="004868D7">
              <w:rPr>
                <w:bCs/>
                <w:color w:val="000000"/>
                <w:sz w:val="20"/>
                <w:szCs w:val="20"/>
                <w:lang w:val="uk-UA" w:eastAsia="uk-UA"/>
              </w:rPr>
              <w:t>7 999 501</w:t>
            </w:r>
          </w:p>
        </w:tc>
      </w:tr>
      <w:tr w:rsidR="007D24AD" w:rsidRPr="00E07C2B" w:rsidTr="007C09E5">
        <w:trPr>
          <w:trHeight w:val="315"/>
        </w:trPr>
        <w:tc>
          <w:tcPr>
            <w:tcW w:w="4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24AD" w:rsidRPr="004868D7" w:rsidRDefault="007D24AD" w:rsidP="00E07C2B">
            <w:pPr>
              <w:contextualSpacing/>
              <w:jc w:val="center"/>
              <w:rPr>
                <w:color w:val="000000"/>
                <w:sz w:val="20"/>
                <w:szCs w:val="20"/>
                <w:lang w:val="uk-UA" w:eastAsia="uk-UA"/>
              </w:rPr>
            </w:pPr>
            <w:r w:rsidRPr="004868D7">
              <w:rPr>
                <w:color w:val="000000"/>
                <w:sz w:val="20"/>
                <w:szCs w:val="20"/>
                <w:lang w:val="uk-UA" w:eastAsia="uk-UA"/>
              </w:rPr>
              <w:lastRenderedPageBreak/>
              <w:t xml:space="preserve">І </w:t>
            </w:r>
            <w:proofErr w:type="spellStart"/>
            <w:r w:rsidRPr="004868D7">
              <w:rPr>
                <w:color w:val="000000"/>
                <w:sz w:val="20"/>
                <w:szCs w:val="20"/>
                <w:lang w:val="uk-UA" w:eastAsia="uk-UA"/>
              </w:rPr>
              <w:t>півр</w:t>
            </w:r>
            <w:proofErr w:type="spellEnd"/>
            <w:r w:rsidRPr="004868D7">
              <w:rPr>
                <w:color w:val="000000"/>
                <w:sz w:val="20"/>
                <w:szCs w:val="20"/>
                <w:lang w:val="uk-UA" w:eastAsia="uk-UA"/>
              </w:rPr>
              <w:t>. 2020</w:t>
            </w:r>
          </w:p>
        </w:tc>
        <w:tc>
          <w:tcPr>
            <w:tcW w:w="5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24AD" w:rsidRPr="004868D7" w:rsidRDefault="007D24AD" w:rsidP="00E07C2B">
            <w:pPr>
              <w:contextualSpacing/>
              <w:jc w:val="right"/>
              <w:rPr>
                <w:color w:val="000000"/>
                <w:sz w:val="20"/>
                <w:szCs w:val="20"/>
                <w:lang w:val="uk-UA" w:eastAsia="uk-UA"/>
              </w:rPr>
            </w:pPr>
            <w:r w:rsidRPr="004868D7">
              <w:rPr>
                <w:color w:val="000000"/>
                <w:sz w:val="20"/>
                <w:szCs w:val="20"/>
                <w:lang w:val="uk-UA" w:eastAsia="uk-UA"/>
              </w:rPr>
              <w:t>428 395</w:t>
            </w:r>
          </w:p>
        </w:tc>
        <w:tc>
          <w:tcPr>
            <w:tcW w:w="563" w:type="pct"/>
            <w:gridSpan w:val="2"/>
            <w:tcBorders>
              <w:top w:val="single" w:sz="4" w:space="0" w:color="auto"/>
              <w:left w:val="single" w:sz="4" w:space="0" w:color="auto"/>
              <w:bottom w:val="single" w:sz="4" w:space="0" w:color="auto"/>
              <w:right w:val="single" w:sz="4" w:space="0" w:color="auto"/>
            </w:tcBorders>
            <w:vAlign w:val="center"/>
          </w:tcPr>
          <w:p w:rsidR="007D24AD" w:rsidRPr="004868D7" w:rsidRDefault="007D24AD" w:rsidP="00E07C2B">
            <w:pPr>
              <w:contextualSpacing/>
              <w:jc w:val="right"/>
              <w:rPr>
                <w:color w:val="000000"/>
                <w:sz w:val="20"/>
                <w:szCs w:val="20"/>
                <w:lang w:val="uk-UA" w:eastAsia="uk-UA"/>
              </w:rPr>
            </w:pPr>
            <w:r w:rsidRPr="004868D7">
              <w:rPr>
                <w:color w:val="000000"/>
                <w:sz w:val="20"/>
                <w:szCs w:val="20"/>
                <w:lang w:val="uk-UA" w:eastAsia="uk-UA"/>
              </w:rPr>
              <w:t>563 000</w:t>
            </w:r>
          </w:p>
        </w:tc>
        <w:tc>
          <w:tcPr>
            <w:tcW w:w="1129" w:type="pct"/>
            <w:tcBorders>
              <w:top w:val="single" w:sz="4" w:space="0" w:color="auto"/>
              <w:left w:val="single" w:sz="4" w:space="0" w:color="auto"/>
              <w:bottom w:val="single" w:sz="4" w:space="0" w:color="auto"/>
              <w:right w:val="single" w:sz="4" w:space="0" w:color="auto"/>
            </w:tcBorders>
            <w:shd w:val="clear" w:color="auto" w:fill="auto"/>
            <w:noWrap/>
            <w:vAlign w:val="center"/>
          </w:tcPr>
          <w:p w:rsidR="007D24AD" w:rsidRPr="004868D7" w:rsidRDefault="007D24AD" w:rsidP="00E07C2B">
            <w:pPr>
              <w:contextualSpacing/>
              <w:jc w:val="center"/>
              <w:rPr>
                <w:bCs/>
                <w:color w:val="000000"/>
                <w:sz w:val="20"/>
                <w:szCs w:val="20"/>
              </w:rPr>
            </w:pPr>
            <w:r w:rsidRPr="004868D7">
              <w:rPr>
                <w:bCs/>
                <w:color w:val="000000"/>
                <w:sz w:val="20"/>
                <w:szCs w:val="20"/>
                <w:lang w:val="uk-UA" w:eastAsia="uk-UA"/>
              </w:rPr>
              <w:t>991 395</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rsidR="007D24AD" w:rsidRPr="004868D7" w:rsidRDefault="007D24AD" w:rsidP="00E07C2B">
            <w:pPr>
              <w:contextualSpacing/>
              <w:jc w:val="right"/>
              <w:rPr>
                <w:color w:val="000000"/>
                <w:sz w:val="20"/>
                <w:szCs w:val="20"/>
                <w:lang w:val="uk-UA" w:eastAsia="uk-UA"/>
              </w:rPr>
            </w:pPr>
            <w:r w:rsidRPr="004868D7">
              <w:rPr>
                <w:color w:val="000000"/>
                <w:sz w:val="20"/>
                <w:szCs w:val="20"/>
                <w:lang w:val="uk-UA" w:eastAsia="uk-UA"/>
              </w:rPr>
              <w:t>2 689 569</w:t>
            </w:r>
          </w:p>
        </w:tc>
        <w:tc>
          <w:tcPr>
            <w:tcW w:w="563" w:type="pct"/>
            <w:tcBorders>
              <w:top w:val="single" w:sz="4" w:space="0" w:color="auto"/>
              <w:left w:val="single" w:sz="4" w:space="0" w:color="auto"/>
              <w:bottom w:val="single" w:sz="4" w:space="0" w:color="auto"/>
              <w:right w:val="single" w:sz="4" w:space="0" w:color="auto"/>
            </w:tcBorders>
            <w:vAlign w:val="center"/>
          </w:tcPr>
          <w:p w:rsidR="007D24AD" w:rsidRPr="004868D7" w:rsidRDefault="007D24AD" w:rsidP="00E07C2B">
            <w:pPr>
              <w:contextualSpacing/>
              <w:jc w:val="right"/>
              <w:rPr>
                <w:color w:val="000000"/>
                <w:sz w:val="20"/>
                <w:szCs w:val="20"/>
                <w:lang w:val="uk-UA" w:eastAsia="uk-UA"/>
              </w:rPr>
            </w:pPr>
            <w:r w:rsidRPr="004868D7">
              <w:rPr>
                <w:color w:val="000000"/>
                <w:sz w:val="20"/>
                <w:szCs w:val="20"/>
                <w:lang w:val="uk-UA" w:eastAsia="uk-UA"/>
              </w:rPr>
              <w:t>430 331</w:t>
            </w:r>
          </w:p>
        </w:tc>
        <w:tc>
          <w:tcPr>
            <w:tcW w:w="1182" w:type="pct"/>
            <w:tcBorders>
              <w:top w:val="single" w:sz="4" w:space="0" w:color="auto"/>
              <w:left w:val="single" w:sz="4" w:space="0" w:color="auto"/>
              <w:bottom w:val="single" w:sz="4" w:space="0" w:color="auto"/>
              <w:right w:val="single" w:sz="4" w:space="0" w:color="auto"/>
            </w:tcBorders>
            <w:shd w:val="clear" w:color="auto" w:fill="auto"/>
            <w:vAlign w:val="center"/>
          </w:tcPr>
          <w:p w:rsidR="007D24AD" w:rsidRPr="004868D7" w:rsidRDefault="007D24AD" w:rsidP="00E07C2B">
            <w:pPr>
              <w:contextualSpacing/>
              <w:jc w:val="center"/>
              <w:rPr>
                <w:bCs/>
                <w:color w:val="000000"/>
                <w:sz w:val="20"/>
                <w:szCs w:val="20"/>
              </w:rPr>
            </w:pPr>
            <w:r w:rsidRPr="004868D7">
              <w:rPr>
                <w:bCs/>
                <w:color w:val="000000"/>
                <w:sz w:val="20"/>
                <w:szCs w:val="20"/>
                <w:lang w:val="uk-UA" w:eastAsia="uk-UA"/>
              </w:rPr>
              <w:t>3 119 900</w:t>
            </w:r>
          </w:p>
        </w:tc>
      </w:tr>
    </w:tbl>
    <w:p w:rsidR="007D24AD" w:rsidRPr="00E07C2B" w:rsidRDefault="007D24AD" w:rsidP="00E07C2B">
      <w:pPr>
        <w:pStyle w:val="af4"/>
        <w:tabs>
          <w:tab w:val="left" w:pos="709"/>
          <w:tab w:val="left" w:pos="851"/>
        </w:tabs>
        <w:overflowPunct/>
        <w:contextualSpacing/>
        <w:jc w:val="both"/>
        <w:rPr>
          <w:i/>
          <w:iCs/>
          <w:szCs w:val="24"/>
          <w:lang w:val="uk-UA"/>
        </w:rPr>
      </w:pPr>
    </w:p>
    <w:p w:rsidR="007D24AD" w:rsidRPr="00E07C2B" w:rsidRDefault="007D24AD" w:rsidP="00E07C2B">
      <w:pPr>
        <w:pStyle w:val="af4"/>
        <w:numPr>
          <w:ilvl w:val="0"/>
          <w:numId w:val="7"/>
        </w:numPr>
        <w:tabs>
          <w:tab w:val="left" w:pos="709"/>
          <w:tab w:val="left" w:pos="851"/>
        </w:tabs>
        <w:overflowPunct/>
        <w:ind w:left="709" w:hanging="709"/>
        <w:contextualSpacing/>
        <w:jc w:val="both"/>
        <w:rPr>
          <w:iCs/>
          <w:szCs w:val="24"/>
          <w:lang w:val="uk-UA"/>
        </w:rPr>
      </w:pPr>
      <w:r w:rsidRPr="00E07C2B">
        <w:rPr>
          <w:iCs/>
          <w:szCs w:val="24"/>
          <w:lang w:val="uk-UA"/>
        </w:rPr>
        <w:t>Постачання в Україну високооктанових моторних бензинів та дизельного пального здійснюється за рахунок власного виробництва та імпорту, який забезпечується залізничним, морським та трубопровідним транспортом.</w:t>
      </w:r>
    </w:p>
    <w:p w:rsidR="007D24AD" w:rsidRPr="00E07C2B" w:rsidRDefault="007D24AD" w:rsidP="00E07C2B">
      <w:pPr>
        <w:pStyle w:val="af4"/>
        <w:tabs>
          <w:tab w:val="left" w:pos="709"/>
          <w:tab w:val="left" w:pos="851"/>
        </w:tabs>
        <w:overflowPunct/>
        <w:contextualSpacing/>
        <w:jc w:val="both"/>
        <w:rPr>
          <w:i/>
          <w:iCs/>
          <w:szCs w:val="24"/>
          <w:lang w:val="uk-UA"/>
        </w:rPr>
      </w:pPr>
    </w:p>
    <w:p w:rsidR="007D24AD" w:rsidRPr="00E07C2B" w:rsidRDefault="007D24AD" w:rsidP="00E07C2B">
      <w:pPr>
        <w:pStyle w:val="af4"/>
        <w:numPr>
          <w:ilvl w:val="0"/>
          <w:numId w:val="7"/>
        </w:numPr>
        <w:tabs>
          <w:tab w:val="left" w:pos="709"/>
          <w:tab w:val="left" w:pos="851"/>
        </w:tabs>
        <w:overflowPunct/>
        <w:ind w:left="709" w:hanging="709"/>
        <w:contextualSpacing/>
        <w:jc w:val="both"/>
        <w:rPr>
          <w:iCs/>
          <w:szCs w:val="24"/>
          <w:lang w:val="uk-UA"/>
        </w:rPr>
      </w:pPr>
      <w:r w:rsidRPr="00E07C2B">
        <w:rPr>
          <w:iCs/>
          <w:szCs w:val="24"/>
          <w:lang w:val="uk-UA"/>
        </w:rPr>
        <w:t>Відповідно до отриманої Комітетом інформації та інформації</w:t>
      </w:r>
      <w:r w:rsidR="00507E01">
        <w:rPr>
          <w:iCs/>
          <w:szCs w:val="24"/>
          <w:lang w:val="uk-UA"/>
        </w:rPr>
        <w:t>,</w:t>
      </w:r>
      <w:r w:rsidRPr="00E07C2B">
        <w:rPr>
          <w:iCs/>
          <w:szCs w:val="24"/>
          <w:lang w:val="uk-UA"/>
        </w:rPr>
        <w:t xml:space="preserve"> наданої заявниками, за результатом 2018, 2019 рокі</w:t>
      </w:r>
      <w:r w:rsidR="00507E01">
        <w:rPr>
          <w:iCs/>
          <w:szCs w:val="24"/>
          <w:lang w:val="uk-UA"/>
        </w:rPr>
        <w:t>в та першого півріччя 2020 року</w:t>
      </w:r>
      <w:r w:rsidRPr="00E07C2B">
        <w:rPr>
          <w:iCs/>
          <w:szCs w:val="24"/>
          <w:lang w:val="uk-UA"/>
        </w:rPr>
        <w:t xml:space="preserve"> </w:t>
      </w:r>
      <w:r w:rsidRPr="00E07C2B">
        <w:rPr>
          <w:iCs/>
          <w:szCs w:val="24"/>
          <w:lang w:val="uk-UA"/>
        </w:rPr>
        <w:br/>
        <w:t>частки Групи «ОККО»</w:t>
      </w:r>
      <w:r w:rsidR="003E5E46">
        <w:rPr>
          <w:iCs/>
          <w:szCs w:val="24"/>
          <w:lang w:val="uk-UA"/>
        </w:rPr>
        <w:t xml:space="preserve"> на ринку</w:t>
      </w:r>
      <w:r w:rsidRPr="00E07C2B">
        <w:rPr>
          <w:iCs/>
          <w:szCs w:val="24"/>
          <w:lang w:val="uk-UA"/>
        </w:rPr>
        <w:t xml:space="preserve"> первинної реалізації високооктанових моторних бензинів та</w:t>
      </w:r>
      <w:r w:rsidR="003E5E46">
        <w:rPr>
          <w:iCs/>
          <w:szCs w:val="24"/>
          <w:lang w:val="uk-UA"/>
        </w:rPr>
        <w:t xml:space="preserve"> на ринку</w:t>
      </w:r>
      <w:r w:rsidRPr="00E07C2B">
        <w:rPr>
          <w:iCs/>
          <w:szCs w:val="24"/>
          <w:lang w:val="uk-UA"/>
        </w:rPr>
        <w:t xml:space="preserve"> дизельного пального не перевищує 2 та 4 відсотків відповідно</w:t>
      </w:r>
      <w:r w:rsidR="00E07C2B" w:rsidRPr="00E07C2B">
        <w:rPr>
          <w:iCs/>
          <w:szCs w:val="24"/>
          <w:lang w:val="uk-UA"/>
        </w:rPr>
        <w:t>.</w:t>
      </w:r>
    </w:p>
    <w:p w:rsidR="00E07C2B" w:rsidRPr="00E07C2B" w:rsidRDefault="00E07C2B" w:rsidP="00E07C2B">
      <w:pPr>
        <w:pStyle w:val="af4"/>
        <w:tabs>
          <w:tab w:val="left" w:pos="709"/>
          <w:tab w:val="left" w:pos="851"/>
        </w:tabs>
        <w:overflowPunct/>
        <w:ind w:left="0"/>
        <w:contextualSpacing/>
        <w:jc w:val="both"/>
        <w:rPr>
          <w:iCs/>
          <w:szCs w:val="24"/>
          <w:lang w:val="uk-UA"/>
        </w:rPr>
      </w:pPr>
    </w:p>
    <w:p w:rsidR="007D24AD" w:rsidRPr="00073081" w:rsidRDefault="007D24AD" w:rsidP="00E07C2B">
      <w:pPr>
        <w:pStyle w:val="af4"/>
        <w:numPr>
          <w:ilvl w:val="0"/>
          <w:numId w:val="7"/>
        </w:numPr>
        <w:tabs>
          <w:tab w:val="left" w:pos="709"/>
          <w:tab w:val="left" w:pos="851"/>
        </w:tabs>
        <w:overflowPunct/>
        <w:ind w:left="709" w:hanging="709"/>
        <w:contextualSpacing/>
        <w:jc w:val="both"/>
        <w:rPr>
          <w:iCs/>
          <w:szCs w:val="24"/>
          <w:lang w:val="uk-UA"/>
        </w:rPr>
      </w:pPr>
      <w:r w:rsidRPr="00073081">
        <w:rPr>
          <w:iCs/>
          <w:szCs w:val="24"/>
          <w:lang w:val="uk-UA"/>
        </w:rPr>
        <w:t>Відповідно до отриманої Комітетом інформації від Адміністрації морських портів України</w:t>
      </w:r>
      <w:r w:rsidR="00507E01">
        <w:rPr>
          <w:iCs/>
          <w:szCs w:val="24"/>
          <w:lang w:val="uk-UA"/>
        </w:rPr>
        <w:t>,</w:t>
      </w:r>
      <w:r w:rsidRPr="00073081">
        <w:rPr>
          <w:iCs/>
          <w:szCs w:val="24"/>
          <w:lang w:val="uk-UA"/>
        </w:rPr>
        <w:t xml:space="preserve"> за результатом 2018, 2019 років та першого</w:t>
      </w:r>
      <w:r w:rsidR="00507E01">
        <w:rPr>
          <w:iCs/>
          <w:szCs w:val="24"/>
          <w:lang w:val="uk-UA"/>
        </w:rPr>
        <w:t xml:space="preserve"> півріччя 2020 року</w:t>
      </w:r>
      <w:r w:rsidRPr="00073081">
        <w:rPr>
          <w:iCs/>
          <w:szCs w:val="24"/>
          <w:lang w:val="uk-UA"/>
        </w:rPr>
        <w:t xml:space="preserve"> частка морських портів </w:t>
      </w:r>
      <w:r w:rsidR="00507E01">
        <w:rPr>
          <w:iCs/>
          <w:szCs w:val="24"/>
          <w:lang w:val="uk-UA"/>
        </w:rPr>
        <w:t>і</w:t>
      </w:r>
      <w:r w:rsidRPr="00073081">
        <w:rPr>
          <w:iCs/>
          <w:szCs w:val="24"/>
          <w:lang w:val="uk-UA"/>
        </w:rPr>
        <w:t xml:space="preserve">з постачання бензинів та дизельного пального на ринки первинної реалізації високооктанових моторних бензинів та дизельного пального </w:t>
      </w:r>
      <w:r w:rsidR="00507E01">
        <w:rPr>
          <w:iCs/>
          <w:szCs w:val="24"/>
          <w:lang w:val="uk-UA"/>
        </w:rPr>
        <w:t>становила</w:t>
      </w:r>
      <w:r w:rsidRPr="00073081">
        <w:rPr>
          <w:iCs/>
          <w:szCs w:val="24"/>
          <w:lang w:val="uk-UA"/>
        </w:rPr>
        <w:t xml:space="preserve"> не більше 30 відсотків від загального обігу пального в Україні</w:t>
      </w:r>
      <w:r w:rsidR="00073081">
        <w:rPr>
          <w:iCs/>
          <w:szCs w:val="24"/>
          <w:lang w:val="uk-UA"/>
        </w:rPr>
        <w:t xml:space="preserve"> </w:t>
      </w:r>
      <w:r w:rsidRPr="00073081">
        <w:rPr>
          <w:iCs/>
          <w:szCs w:val="24"/>
          <w:lang w:val="uk-UA"/>
        </w:rPr>
        <w:t xml:space="preserve">(див. </w:t>
      </w:r>
      <w:r w:rsidR="00507E01">
        <w:rPr>
          <w:iCs/>
          <w:szCs w:val="24"/>
          <w:lang w:val="uk-UA"/>
        </w:rPr>
        <w:t>табл.</w:t>
      </w:r>
      <w:r w:rsidRPr="00073081">
        <w:rPr>
          <w:iCs/>
          <w:szCs w:val="24"/>
          <w:lang w:val="uk-UA"/>
        </w:rPr>
        <w:t xml:space="preserve"> </w:t>
      </w:r>
      <w:r w:rsidR="003E5E46" w:rsidRPr="00073081">
        <w:rPr>
          <w:iCs/>
          <w:szCs w:val="24"/>
          <w:lang w:val="uk-UA"/>
        </w:rPr>
        <w:t>2</w:t>
      </w:r>
      <w:r w:rsidRPr="00073081">
        <w:rPr>
          <w:iCs/>
          <w:szCs w:val="24"/>
          <w:lang w:val="uk-UA"/>
        </w:rPr>
        <w:t>).</w:t>
      </w:r>
    </w:p>
    <w:p w:rsidR="007D24AD" w:rsidRPr="00E07C2B" w:rsidRDefault="007D24AD" w:rsidP="00E07C2B">
      <w:pPr>
        <w:pStyle w:val="af4"/>
        <w:tabs>
          <w:tab w:val="left" w:pos="709"/>
          <w:tab w:val="left" w:pos="851"/>
        </w:tabs>
        <w:overflowPunct/>
        <w:ind w:left="709"/>
        <w:contextualSpacing/>
        <w:jc w:val="both"/>
        <w:rPr>
          <w:iCs/>
          <w:szCs w:val="24"/>
          <w:lang w:val="uk-UA"/>
        </w:rPr>
      </w:pPr>
    </w:p>
    <w:p w:rsidR="007D24AD" w:rsidRPr="00E07C2B" w:rsidRDefault="007D24AD" w:rsidP="00E07C2B">
      <w:pPr>
        <w:pStyle w:val="af4"/>
        <w:tabs>
          <w:tab w:val="left" w:pos="709"/>
          <w:tab w:val="left" w:pos="851"/>
        </w:tabs>
        <w:overflowPunct/>
        <w:ind w:left="709"/>
        <w:contextualSpacing/>
        <w:jc w:val="right"/>
        <w:rPr>
          <w:iCs/>
          <w:szCs w:val="24"/>
          <w:lang w:val="uk-UA"/>
        </w:rPr>
      </w:pPr>
      <w:r w:rsidRPr="00E07C2B">
        <w:rPr>
          <w:iCs/>
          <w:szCs w:val="24"/>
          <w:lang w:val="uk-UA"/>
        </w:rPr>
        <w:t xml:space="preserve">Таблиця </w:t>
      </w:r>
      <w:r w:rsidR="003E5E46">
        <w:rPr>
          <w:iCs/>
          <w:szCs w:val="24"/>
          <w:lang w:val="uk-UA"/>
        </w:rPr>
        <w:t>2</w:t>
      </w: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2656"/>
        <w:gridCol w:w="2657"/>
        <w:gridCol w:w="2657"/>
      </w:tblGrid>
      <w:tr w:rsidR="00E07C2B" w:rsidRPr="00E07C2B" w:rsidTr="007C09E5">
        <w:trPr>
          <w:trHeight w:val="58"/>
        </w:trPr>
        <w:tc>
          <w:tcPr>
            <w:tcW w:w="960" w:type="dxa"/>
            <w:shd w:val="clear" w:color="auto" w:fill="auto"/>
            <w:noWrap/>
            <w:vAlign w:val="center"/>
            <w:hideMark/>
          </w:tcPr>
          <w:p w:rsidR="00E07C2B" w:rsidRPr="004868D7" w:rsidRDefault="00E07C2B" w:rsidP="00E07C2B">
            <w:pPr>
              <w:contextualSpacing/>
              <w:jc w:val="center"/>
              <w:rPr>
                <w:bCs/>
                <w:color w:val="000000"/>
                <w:sz w:val="20"/>
                <w:szCs w:val="20"/>
              </w:rPr>
            </w:pPr>
            <w:r w:rsidRPr="004868D7">
              <w:rPr>
                <w:bCs/>
                <w:color w:val="000000"/>
                <w:sz w:val="20"/>
                <w:szCs w:val="20"/>
                <w:lang w:val="uk-UA" w:eastAsia="uk-UA"/>
              </w:rPr>
              <w:t>Рік</w:t>
            </w:r>
          </w:p>
        </w:tc>
        <w:tc>
          <w:tcPr>
            <w:tcW w:w="2656" w:type="dxa"/>
            <w:shd w:val="clear" w:color="auto" w:fill="auto"/>
            <w:vAlign w:val="center"/>
            <w:hideMark/>
          </w:tcPr>
          <w:p w:rsidR="00E07C2B" w:rsidRPr="00E07C2B" w:rsidRDefault="00E07C2B" w:rsidP="00E07C2B">
            <w:pPr>
              <w:contextualSpacing/>
              <w:jc w:val="center"/>
              <w:rPr>
                <w:color w:val="000000"/>
                <w:sz w:val="16"/>
                <w:szCs w:val="16"/>
                <w:lang w:val="uk-UA" w:eastAsia="uk-UA"/>
              </w:rPr>
            </w:pPr>
            <w:r w:rsidRPr="00E07C2B">
              <w:rPr>
                <w:bCs/>
                <w:color w:val="000000"/>
                <w:sz w:val="16"/>
                <w:szCs w:val="16"/>
                <w:lang w:val="uk-UA" w:eastAsia="uk-UA"/>
              </w:rPr>
              <w:t> </w:t>
            </w:r>
            <w:r w:rsidRPr="00E07C2B">
              <w:rPr>
                <w:color w:val="000000"/>
                <w:sz w:val="16"/>
                <w:szCs w:val="16"/>
                <w:lang w:val="uk-UA" w:eastAsia="uk-UA"/>
              </w:rPr>
              <w:t>Загальний обсяг бензинів та дизельного пального на ринку первинної реалізації високооктанових моторних бензинів та дизельного пального в Україні</w:t>
            </w:r>
          </w:p>
          <w:p w:rsidR="00E07C2B" w:rsidRPr="00E07C2B" w:rsidRDefault="00E07C2B" w:rsidP="00E07C2B">
            <w:pPr>
              <w:contextualSpacing/>
              <w:jc w:val="center"/>
              <w:rPr>
                <w:color w:val="000000"/>
                <w:sz w:val="16"/>
                <w:szCs w:val="16"/>
                <w:lang w:val="uk-UA" w:eastAsia="uk-UA"/>
              </w:rPr>
            </w:pPr>
            <w:r w:rsidRPr="00E07C2B">
              <w:rPr>
                <w:color w:val="000000"/>
                <w:sz w:val="16"/>
                <w:szCs w:val="16"/>
                <w:lang w:val="uk-UA" w:eastAsia="uk-UA"/>
              </w:rPr>
              <w:t>(тонн)</w:t>
            </w:r>
          </w:p>
        </w:tc>
        <w:tc>
          <w:tcPr>
            <w:tcW w:w="2657" w:type="dxa"/>
            <w:shd w:val="clear" w:color="auto" w:fill="auto"/>
            <w:vAlign w:val="center"/>
            <w:hideMark/>
          </w:tcPr>
          <w:p w:rsidR="00E07C2B" w:rsidRPr="00E07C2B" w:rsidRDefault="00E07C2B" w:rsidP="00E07C2B">
            <w:pPr>
              <w:contextualSpacing/>
              <w:jc w:val="center"/>
              <w:rPr>
                <w:color w:val="000000"/>
                <w:sz w:val="16"/>
                <w:szCs w:val="16"/>
                <w:lang w:val="uk-UA" w:eastAsia="uk-UA"/>
              </w:rPr>
            </w:pPr>
            <w:r w:rsidRPr="00E07C2B">
              <w:rPr>
                <w:bCs/>
                <w:color w:val="000000"/>
                <w:sz w:val="16"/>
                <w:szCs w:val="16"/>
              </w:rPr>
              <w:t> </w:t>
            </w:r>
            <w:r w:rsidRPr="00E07C2B">
              <w:rPr>
                <w:color w:val="000000"/>
                <w:sz w:val="16"/>
                <w:szCs w:val="16"/>
                <w:lang w:val="uk-UA" w:eastAsia="uk-UA"/>
              </w:rPr>
              <w:t>Обсяг  бензинів  та дизельного пального, що надійшов в Україну через морські порти від обігу в Україні</w:t>
            </w:r>
          </w:p>
          <w:p w:rsidR="00E07C2B" w:rsidRPr="00E07C2B" w:rsidRDefault="00E07C2B" w:rsidP="00E07C2B">
            <w:pPr>
              <w:contextualSpacing/>
              <w:jc w:val="center"/>
              <w:rPr>
                <w:bCs/>
                <w:color w:val="000000"/>
                <w:sz w:val="16"/>
                <w:szCs w:val="16"/>
              </w:rPr>
            </w:pPr>
            <w:r w:rsidRPr="00E07C2B">
              <w:rPr>
                <w:color w:val="000000"/>
                <w:sz w:val="16"/>
                <w:szCs w:val="16"/>
                <w:lang w:val="uk-UA" w:eastAsia="uk-UA"/>
              </w:rPr>
              <w:t>(тонн)</w:t>
            </w:r>
          </w:p>
        </w:tc>
        <w:tc>
          <w:tcPr>
            <w:tcW w:w="2657" w:type="dxa"/>
            <w:shd w:val="clear" w:color="auto" w:fill="auto"/>
            <w:vAlign w:val="center"/>
            <w:hideMark/>
          </w:tcPr>
          <w:p w:rsidR="00E07C2B" w:rsidRPr="00E07C2B" w:rsidRDefault="00E07C2B" w:rsidP="00507E01">
            <w:pPr>
              <w:contextualSpacing/>
              <w:jc w:val="center"/>
              <w:rPr>
                <w:bCs/>
                <w:color w:val="000000"/>
                <w:sz w:val="16"/>
                <w:szCs w:val="16"/>
                <w:lang w:val="uk-UA"/>
              </w:rPr>
            </w:pPr>
            <w:r w:rsidRPr="00E07C2B">
              <w:rPr>
                <w:bCs/>
                <w:color w:val="000000"/>
                <w:sz w:val="16"/>
                <w:szCs w:val="16"/>
                <w:lang w:val="uk-UA" w:eastAsia="uk-UA"/>
              </w:rPr>
              <w:t> </w:t>
            </w:r>
            <w:r w:rsidRPr="00E07C2B">
              <w:rPr>
                <w:color w:val="000000"/>
                <w:sz w:val="16"/>
                <w:szCs w:val="16"/>
                <w:lang w:val="uk-UA" w:eastAsia="uk-UA"/>
              </w:rPr>
              <w:t>Частка пального, що постачається через морські порти від загальн</w:t>
            </w:r>
            <w:r w:rsidR="00507E01">
              <w:rPr>
                <w:color w:val="000000"/>
                <w:sz w:val="16"/>
                <w:szCs w:val="16"/>
                <w:lang w:val="uk-UA" w:eastAsia="uk-UA"/>
              </w:rPr>
              <w:t>ого</w:t>
            </w:r>
            <w:r w:rsidRPr="00E07C2B">
              <w:rPr>
                <w:color w:val="000000"/>
                <w:sz w:val="16"/>
                <w:szCs w:val="16"/>
                <w:lang w:val="uk-UA" w:eastAsia="uk-UA"/>
              </w:rPr>
              <w:t xml:space="preserve"> обсяг</w:t>
            </w:r>
            <w:r w:rsidR="00507E01">
              <w:rPr>
                <w:color w:val="000000"/>
                <w:sz w:val="16"/>
                <w:szCs w:val="16"/>
                <w:lang w:val="uk-UA" w:eastAsia="uk-UA"/>
              </w:rPr>
              <w:t>у</w:t>
            </w:r>
            <w:r w:rsidRPr="00E07C2B">
              <w:rPr>
                <w:color w:val="000000"/>
                <w:sz w:val="16"/>
                <w:szCs w:val="16"/>
                <w:lang w:val="uk-UA" w:eastAsia="uk-UA"/>
              </w:rPr>
              <w:t xml:space="preserve"> бензинів та дизельного пального на ринку первинної реалізації високооктанових моторних бензинів та дизельного пального в Україні</w:t>
            </w:r>
          </w:p>
        </w:tc>
      </w:tr>
      <w:tr w:rsidR="007D24AD" w:rsidRPr="00E07C2B" w:rsidTr="007C09E5">
        <w:trPr>
          <w:trHeight w:val="58"/>
        </w:trPr>
        <w:tc>
          <w:tcPr>
            <w:tcW w:w="960" w:type="dxa"/>
            <w:shd w:val="clear" w:color="auto" w:fill="auto"/>
            <w:noWrap/>
            <w:vAlign w:val="center"/>
            <w:hideMark/>
          </w:tcPr>
          <w:p w:rsidR="007D24AD" w:rsidRPr="004868D7" w:rsidRDefault="007D24AD" w:rsidP="00E07C2B">
            <w:pPr>
              <w:contextualSpacing/>
              <w:jc w:val="center"/>
              <w:rPr>
                <w:color w:val="000000"/>
                <w:sz w:val="20"/>
                <w:szCs w:val="20"/>
              </w:rPr>
            </w:pPr>
            <w:r w:rsidRPr="004868D7">
              <w:rPr>
                <w:color w:val="000000"/>
                <w:sz w:val="20"/>
                <w:szCs w:val="20"/>
                <w:lang w:val="uk-UA" w:eastAsia="uk-UA"/>
              </w:rPr>
              <w:t>2018</w:t>
            </w:r>
          </w:p>
        </w:tc>
        <w:tc>
          <w:tcPr>
            <w:tcW w:w="2656" w:type="dxa"/>
            <w:shd w:val="clear" w:color="auto" w:fill="auto"/>
            <w:noWrap/>
            <w:vAlign w:val="center"/>
            <w:hideMark/>
          </w:tcPr>
          <w:p w:rsidR="007D24AD" w:rsidRPr="004868D7" w:rsidRDefault="007D24AD" w:rsidP="00E07C2B">
            <w:pPr>
              <w:contextualSpacing/>
              <w:jc w:val="center"/>
              <w:rPr>
                <w:color w:val="000000"/>
                <w:sz w:val="20"/>
                <w:szCs w:val="20"/>
              </w:rPr>
            </w:pPr>
            <w:r w:rsidRPr="004868D7">
              <w:rPr>
                <w:color w:val="000000"/>
                <w:sz w:val="20"/>
                <w:szCs w:val="20"/>
              </w:rPr>
              <w:t>9 161 590</w:t>
            </w:r>
          </w:p>
        </w:tc>
        <w:tc>
          <w:tcPr>
            <w:tcW w:w="2657" w:type="dxa"/>
            <w:shd w:val="clear" w:color="auto" w:fill="auto"/>
            <w:noWrap/>
            <w:vAlign w:val="center"/>
            <w:hideMark/>
          </w:tcPr>
          <w:p w:rsidR="007D24AD" w:rsidRPr="004868D7" w:rsidRDefault="007D24AD" w:rsidP="00E07C2B">
            <w:pPr>
              <w:contextualSpacing/>
              <w:jc w:val="center"/>
              <w:rPr>
                <w:bCs/>
                <w:color w:val="000000"/>
                <w:sz w:val="20"/>
                <w:szCs w:val="20"/>
              </w:rPr>
            </w:pPr>
            <w:r w:rsidRPr="004868D7">
              <w:rPr>
                <w:bCs/>
                <w:color w:val="000000"/>
                <w:sz w:val="20"/>
                <w:szCs w:val="20"/>
              </w:rPr>
              <w:t>2 520 360</w:t>
            </w:r>
          </w:p>
        </w:tc>
        <w:tc>
          <w:tcPr>
            <w:tcW w:w="2657" w:type="dxa"/>
            <w:shd w:val="clear" w:color="auto" w:fill="auto"/>
            <w:vAlign w:val="center"/>
            <w:hideMark/>
          </w:tcPr>
          <w:p w:rsidR="007D24AD" w:rsidRPr="004868D7" w:rsidRDefault="007D24AD" w:rsidP="00E07C2B">
            <w:pPr>
              <w:contextualSpacing/>
              <w:jc w:val="center"/>
              <w:rPr>
                <w:color w:val="000000"/>
                <w:sz w:val="20"/>
                <w:szCs w:val="20"/>
                <w:lang w:val="uk-UA"/>
              </w:rPr>
            </w:pPr>
            <w:r w:rsidRPr="004868D7">
              <w:rPr>
                <w:color w:val="000000"/>
                <w:sz w:val="20"/>
                <w:szCs w:val="20"/>
              </w:rPr>
              <w:t>27</w:t>
            </w:r>
            <w:r w:rsidRPr="004868D7">
              <w:rPr>
                <w:color w:val="000000"/>
                <w:sz w:val="20"/>
                <w:szCs w:val="20"/>
                <w:lang w:val="uk-UA"/>
              </w:rPr>
              <w:t>,</w:t>
            </w:r>
            <w:r w:rsidRPr="004868D7">
              <w:rPr>
                <w:color w:val="000000"/>
                <w:sz w:val="20"/>
                <w:szCs w:val="20"/>
              </w:rPr>
              <w:t>51</w:t>
            </w:r>
            <w:r w:rsidRPr="004868D7">
              <w:rPr>
                <w:color w:val="000000"/>
                <w:sz w:val="20"/>
                <w:szCs w:val="20"/>
                <w:lang w:val="uk-UA"/>
              </w:rPr>
              <w:t>%</w:t>
            </w:r>
          </w:p>
        </w:tc>
      </w:tr>
      <w:tr w:rsidR="007D24AD" w:rsidRPr="00E07C2B" w:rsidTr="007C09E5">
        <w:trPr>
          <w:trHeight w:val="58"/>
        </w:trPr>
        <w:tc>
          <w:tcPr>
            <w:tcW w:w="960" w:type="dxa"/>
            <w:shd w:val="clear" w:color="auto" w:fill="auto"/>
            <w:noWrap/>
            <w:vAlign w:val="center"/>
            <w:hideMark/>
          </w:tcPr>
          <w:p w:rsidR="007D24AD" w:rsidRPr="004868D7" w:rsidRDefault="007D24AD" w:rsidP="00E07C2B">
            <w:pPr>
              <w:contextualSpacing/>
              <w:jc w:val="center"/>
              <w:rPr>
                <w:color w:val="000000"/>
                <w:sz w:val="20"/>
                <w:szCs w:val="20"/>
              </w:rPr>
            </w:pPr>
            <w:r w:rsidRPr="004868D7">
              <w:rPr>
                <w:color w:val="000000"/>
                <w:sz w:val="20"/>
                <w:szCs w:val="20"/>
                <w:lang w:val="uk-UA" w:eastAsia="uk-UA"/>
              </w:rPr>
              <w:t>2019</w:t>
            </w:r>
          </w:p>
        </w:tc>
        <w:tc>
          <w:tcPr>
            <w:tcW w:w="2656" w:type="dxa"/>
            <w:shd w:val="clear" w:color="auto" w:fill="auto"/>
            <w:noWrap/>
            <w:vAlign w:val="center"/>
            <w:hideMark/>
          </w:tcPr>
          <w:p w:rsidR="007D24AD" w:rsidRPr="004868D7" w:rsidRDefault="007D24AD" w:rsidP="00E07C2B">
            <w:pPr>
              <w:contextualSpacing/>
              <w:jc w:val="center"/>
              <w:rPr>
                <w:color w:val="000000"/>
                <w:sz w:val="20"/>
                <w:szCs w:val="20"/>
              </w:rPr>
            </w:pPr>
            <w:r w:rsidRPr="004868D7">
              <w:rPr>
                <w:color w:val="000000"/>
                <w:sz w:val="20"/>
                <w:szCs w:val="20"/>
              </w:rPr>
              <w:t>9 771 671</w:t>
            </w:r>
          </w:p>
        </w:tc>
        <w:tc>
          <w:tcPr>
            <w:tcW w:w="2657" w:type="dxa"/>
            <w:shd w:val="clear" w:color="auto" w:fill="auto"/>
            <w:noWrap/>
            <w:vAlign w:val="center"/>
            <w:hideMark/>
          </w:tcPr>
          <w:p w:rsidR="007D24AD" w:rsidRPr="004868D7" w:rsidRDefault="007D24AD" w:rsidP="00E07C2B">
            <w:pPr>
              <w:contextualSpacing/>
              <w:jc w:val="center"/>
              <w:rPr>
                <w:bCs/>
                <w:color w:val="000000"/>
                <w:sz w:val="20"/>
                <w:szCs w:val="20"/>
              </w:rPr>
            </w:pPr>
            <w:r w:rsidRPr="004868D7">
              <w:rPr>
                <w:bCs/>
                <w:color w:val="000000"/>
                <w:sz w:val="20"/>
                <w:szCs w:val="20"/>
              </w:rPr>
              <w:t>2 581 200</w:t>
            </w:r>
          </w:p>
        </w:tc>
        <w:tc>
          <w:tcPr>
            <w:tcW w:w="2657" w:type="dxa"/>
            <w:shd w:val="clear" w:color="auto" w:fill="auto"/>
            <w:vAlign w:val="center"/>
            <w:hideMark/>
          </w:tcPr>
          <w:p w:rsidR="007D24AD" w:rsidRPr="004868D7" w:rsidRDefault="007D24AD" w:rsidP="00E07C2B">
            <w:pPr>
              <w:contextualSpacing/>
              <w:jc w:val="center"/>
              <w:rPr>
                <w:color w:val="000000"/>
                <w:sz w:val="20"/>
                <w:szCs w:val="20"/>
                <w:lang w:val="uk-UA"/>
              </w:rPr>
            </w:pPr>
            <w:r w:rsidRPr="004868D7">
              <w:rPr>
                <w:color w:val="000000"/>
                <w:sz w:val="20"/>
                <w:szCs w:val="20"/>
              </w:rPr>
              <w:t>26</w:t>
            </w:r>
            <w:r w:rsidRPr="004868D7">
              <w:rPr>
                <w:color w:val="000000"/>
                <w:sz w:val="20"/>
                <w:szCs w:val="20"/>
                <w:lang w:val="uk-UA"/>
              </w:rPr>
              <w:t>,</w:t>
            </w:r>
            <w:r w:rsidRPr="004868D7">
              <w:rPr>
                <w:color w:val="000000"/>
                <w:sz w:val="20"/>
                <w:szCs w:val="20"/>
              </w:rPr>
              <w:t>4</w:t>
            </w:r>
            <w:r w:rsidRPr="004868D7">
              <w:rPr>
                <w:color w:val="000000"/>
                <w:sz w:val="20"/>
                <w:szCs w:val="20"/>
                <w:lang w:val="uk-UA"/>
              </w:rPr>
              <w:t>2%</w:t>
            </w:r>
          </w:p>
        </w:tc>
      </w:tr>
      <w:tr w:rsidR="007D24AD" w:rsidRPr="00E07C2B" w:rsidTr="007C09E5">
        <w:trPr>
          <w:trHeight w:val="58"/>
        </w:trPr>
        <w:tc>
          <w:tcPr>
            <w:tcW w:w="960" w:type="dxa"/>
            <w:shd w:val="clear" w:color="auto" w:fill="auto"/>
            <w:noWrap/>
            <w:vAlign w:val="center"/>
            <w:hideMark/>
          </w:tcPr>
          <w:p w:rsidR="007D24AD" w:rsidRPr="004868D7" w:rsidRDefault="007D24AD" w:rsidP="00E07C2B">
            <w:pPr>
              <w:contextualSpacing/>
              <w:jc w:val="center"/>
              <w:rPr>
                <w:color w:val="000000"/>
                <w:sz w:val="20"/>
                <w:szCs w:val="20"/>
              </w:rPr>
            </w:pPr>
            <w:r w:rsidRPr="004868D7">
              <w:rPr>
                <w:color w:val="000000"/>
                <w:sz w:val="20"/>
                <w:szCs w:val="20"/>
                <w:lang w:val="uk-UA" w:eastAsia="uk-UA"/>
              </w:rPr>
              <w:t xml:space="preserve">І </w:t>
            </w:r>
            <w:proofErr w:type="spellStart"/>
            <w:r w:rsidRPr="004868D7">
              <w:rPr>
                <w:color w:val="000000"/>
                <w:sz w:val="20"/>
                <w:szCs w:val="20"/>
                <w:lang w:val="uk-UA" w:eastAsia="uk-UA"/>
              </w:rPr>
              <w:t>півр</w:t>
            </w:r>
            <w:proofErr w:type="spellEnd"/>
            <w:r w:rsidRPr="004868D7">
              <w:rPr>
                <w:color w:val="000000"/>
                <w:sz w:val="20"/>
                <w:szCs w:val="20"/>
                <w:lang w:val="uk-UA" w:eastAsia="uk-UA"/>
              </w:rPr>
              <w:t>. 2020</w:t>
            </w:r>
          </w:p>
        </w:tc>
        <w:tc>
          <w:tcPr>
            <w:tcW w:w="2656" w:type="dxa"/>
            <w:shd w:val="clear" w:color="auto" w:fill="auto"/>
            <w:noWrap/>
            <w:vAlign w:val="center"/>
            <w:hideMark/>
          </w:tcPr>
          <w:p w:rsidR="007D24AD" w:rsidRPr="004868D7" w:rsidRDefault="007D24AD" w:rsidP="00E07C2B">
            <w:pPr>
              <w:contextualSpacing/>
              <w:jc w:val="center"/>
              <w:rPr>
                <w:color w:val="000000"/>
                <w:sz w:val="20"/>
                <w:szCs w:val="20"/>
              </w:rPr>
            </w:pPr>
            <w:r w:rsidRPr="004868D7">
              <w:rPr>
                <w:color w:val="000000"/>
                <w:sz w:val="20"/>
                <w:szCs w:val="20"/>
              </w:rPr>
              <w:t>4 111 295</w:t>
            </w:r>
          </w:p>
        </w:tc>
        <w:tc>
          <w:tcPr>
            <w:tcW w:w="2657" w:type="dxa"/>
            <w:shd w:val="clear" w:color="auto" w:fill="auto"/>
            <w:noWrap/>
            <w:vAlign w:val="center"/>
            <w:hideMark/>
          </w:tcPr>
          <w:p w:rsidR="007D24AD" w:rsidRPr="004868D7" w:rsidRDefault="007D24AD" w:rsidP="00E07C2B">
            <w:pPr>
              <w:contextualSpacing/>
              <w:jc w:val="center"/>
              <w:rPr>
                <w:bCs/>
                <w:color w:val="000000"/>
                <w:sz w:val="20"/>
                <w:szCs w:val="20"/>
              </w:rPr>
            </w:pPr>
            <w:r w:rsidRPr="004868D7">
              <w:rPr>
                <w:bCs/>
                <w:color w:val="000000"/>
                <w:sz w:val="20"/>
                <w:szCs w:val="20"/>
              </w:rPr>
              <w:t>520 740</w:t>
            </w:r>
          </w:p>
        </w:tc>
        <w:tc>
          <w:tcPr>
            <w:tcW w:w="2657" w:type="dxa"/>
            <w:shd w:val="clear" w:color="auto" w:fill="auto"/>
            <w:vAlign w:val="center"/>
            <w:hideMark/>
          </w:tcPr>
          <w:p w:rsidR="007D24AD" w:rsidRPr="004868D7" w:rsidRDefault="007D24AD" w:rsidP="00E07C2B">
            <w:pPr>
              <w:contextualSpacing/>
              <w:jc w:val="center"/>
              <w:rPr>
                <w:color w:val="000000"/>
                <w:sz w:val="20"/>
                <w:szCs w:val="20"/>
                <w:lang w:val="uk-UA"/>
              </w:rPr>
            </w:pPr>
            <w:r w:rsidRPr="004868D7">
              <w:rPr>
                <w:color w:val="000000"/>
                <w:sz w:val="20"/>
                <w:szCs w:val="20"/>
              </w:rPr>
              <w:t>12</w:t>
            </w:r>
            <w:r w:rsidRPr="004868D7">
              <w:rPr>
                <w:color w:val="000000"/>
                <w:sz w:val="20"/>
                <w:szCs w:val="20"/>
                <w:lang w:val="uk-UA"/>
              </w:rPr>
              <w:t>,</w:t>
            </w:r>
            <w:r w:rsidRPr="004868D7">
              <w:rPr>
                <w:color w:val="000000"/>
                <w:sz w:val="20"/>
                <w:szCs w:val="20"/>
              </w:rPr>
              <w:t>6</w:t>
            </w:r>
            <w:r w:rsidRPr="004868D7">
              <w:rPr>
                <w:color w:val="000000"/>
                <w:sz w:val="20"/>
                <w:szCs w:val="20"/>
                <w:lang w:val="uk-UA"/>
              </w:rPr>
              <w:t>7%</w:t>
            </w:r>
          </w:p>
        </w:tc>
      </w:tr>
    </w:tbl>
    <w:p w:rsidR="004868D7" w:rsidRDefault="004868D7" w:rsidP="003E5E46">
      <w:pPr>
        <w:pStyle w:val="af4"/>
        <w:tabs>
          <w:tab w:val="left" w:pos="709"/>
          <w:tab w:val="left" w:pos="851"/>
        </w:tabs>
        <w:overflowPunct/>
        <w:ind w:left="0"/>
        <w:contextualSpacing/>
        <w:jc w:val="both"/>
        <w:rPr>
          <w:i/>
          <w:iCs/>
          <w:szCs w:val="24"/>
          <w:lang w:val="uk-UA"/>
        </w:rPr>
      </w:pPr>
    </w:p>
    <w:p w:rsidR="007D24AD" w:rsidRPr="00E07C2B" w:rsidRDefault="007D24AD" w:rsidP="00E07C2B">
      <w:pPr>
        <w:pStyle w:val="af4"/>
        <w:tabs>
          <w:tab w:val="left" w:pos="709"/>
          <w:tab w:val="left" w:pos="851"/>
        </w:tabs>
        <w:overflowPunct/>
        <w:contextualSpacing/>
        <w:jc w:val="both"/>
        <w:rPr>
          <w:i/>
          <w:iCs/>
          <w:szCs w:val="24"/>
          <w:lang w:val="uk-UA"/>
        </w:rPr>
      </w:pPr>
      <w:r w:rsidRPr="00E07C2B">
        <w:rPr>
          <w:i/>
          <w:iCs/>
          <w:szCs w:val="24"/>
          <w:lang w:val="uk-UA"/>
        </w:rPr>
        <w:t>Щодо</w:t>
      </w:r>
      <w:r w:rsidR="003E5E46">
        <w:rPr>
          <w:i/>
          <w:iCs/>
          <w:szCs w:val="24"/>
          <w:lang w:val="uk-UA"/>
        </w:rPr>
        <w:t xml:space="preserve"> ринку</w:t>
      </w:r>
      <w:r w:rsidRPr="00E07C2B">
        <w:rPr>
          <w:i/>
          <w:iCs/>
          <w:szCs w:val="24"/>
          <w:lang w:val="uk-UA"/>
        </w:rPr>
        <w:t xml:space="preserve"> мо</w:t>
      </w:r>
      <w:r w:rsidR="00E43641">
        <w:rPr>
          <w:i/>
          <w:iCs/>
          <w:szCs w:val="24"/>
          <w:lang w:val="uk-UA"/>
        </w:rPr>
        <w:t>рської перевалки нафтопродуктів</w:t>
      </w:r>
    </w:p>
    <w:p w:rsidR="007D24AD" w:rsidRPr="004868D7" w:rsidRDefault="007D24AD" w:rsidP="00E07C2B">
      <w:pPr>
        <w:ind w:left="709" w:hanging="709"/>
        <w:contextualSpacing/>
        <w:jc w:val="both"/>
        <w:rPr>
          <w:lang w:val="uk-UA"/>
        </w:rPr>
      </w:pPr>
    </w:p>
    <w:p w:rsidR="007D24AD" w:rsidRPr="004868D7" w:rsidRDefault="007D24AD" w:rsidP="00E07C2B">
      <w:pPr>
        <w:pStyle w:val="af4"/>
        <w:numPr>
          <w:ilvl w:val="0"/>
          <w:numId w:val="7"/>
        </w:numPr>
        <w:tabs>
          <w:tab w:val="left" w:pos="709"/>
          <w:tab w:val="left" w:pos="851"/>
        </w:tabs>
        <w:overflowPunct/>
        <w:ind w:left="709" w:hanging="709"/>
        <w:contextualSpacing/>
        <w:jc w:val="both"/>
        <w:rPr>
          <w:iCs/>
          <w:szCs w:val="24"/>
          <w:lang w:val="uk-UA"/>
        </w:rPr>
      </w:pPr>
      <w:r w:rsidRPr="004868D7">
        <w:rPr>
          <w:iCs/>
          <w:szCs w:val="24"/>
          <w:lang w:val="uk-UA"/>
        </w:rPr>
        <w:t xml:space="preserve">Морська перевалка нафтопродуктів протягом 2018 </w:t>
      </w:r>
      <w:r w:rsidR="00E43641">
        <w:rPr>
          <w:iCs/>
          <w:szCs w:val="24"/>
          <w:lang w:val="uk-UA"/>
        </w:rPr>
        <w:t>–</w:t>
      </w:r>
      <w:r w:rsidRPr="004868D7">
        <w:rPr>
          <w:iCs/>
          <w:szCs w:val="24"/>
          <w:lang w:val="uk-UA"/>
        </w:rPr>
        <w:t xml:space="preserve"> І </w:t>
      </w:r>
      <w:r w:rsidR="00E43641">
        <w:rPr>
          <w:iCs/>
          <w:szCs w:val="24"/>
          <w:lang w:val="uk-UA"/>
        </w:rPr>
        <w:t>кварталу 2020 року здійснювалась у 9 морських портах України. Н</w:t>
      </w:r>
      <w:r w:rsidRPr="004868D7">
        <w:rPr>
          <w:iCs/>
          <w:szCs w:val="24"/>
          <w:lang w:val="uk-UA"/>
        </w:rPr>
        <w:t xml:space="preserve">айбільші </w:t>
      </w:r>
      <w:proofErr w:type="spellStart"/>
      <w:r w:rsidRPr="004868D7">
        <w:rPr>
          <w:iCs/>
          <w:szCs w:val="24"/>
          <w:lang w:val="uk-UA"/>
        </w:rPr>
        <w:t>нафтоперевал</w:t>
      </w:r>
      <w:r w:rsidR="00E43641">
        <w:rPr>
          <w:iCs/>
          <w:szCs w:val="24"/>
          <w:lang w:val="uk-UA"/>
        </w:rPr>
        <w:t>ьні</w:t>
      </w:r>
      <w:proofErr w:type="spellEnd"/>
      <w:r w:rsidRPr="004868D7">
        <w:rPr>
          <w:iCs/>
          <w:szCs w:val="24"/>
          <w:lang w:val="uk-UA"/>
        </w:rPr>
        <w:t xml:space="preserve"> термінали розташовані в портах Одеса, </w:t>
      </w:r>
      <w:proofErr w:type="spellStart"/>
      <w:r w:rsidRPr="004868D7">
        <w:rPr>
          <w:iCs/>
          <w:szCs w:val="24"/>
          <w:lang w:val="uk-UA"/>
        </w:rPr>
        <w:t>Черноморськ</w:t>
      </w:r>
      <w:proofErr w:type="spellEnd"/>
      <w:r w:rsidRPr="004868D7">
        <w:rPr>
          <w:iCs/>
          <w:szCs w:val="24"/>
          <w:lang w:val="uk-UA"/>
        </w:rPr>
        <w:t>, Миколаїв, Рені, Південний, Херсон, Ізмаїл.</w:t>
      </w:r>
    </w:p>
    <w:p w:rsidR="00E07C2B" w:rsidRPr="004868D7" w:rsidRDefault="00E07C2B" w:rsidP="00E07C2B">
      <w:pPr>
        <w:pStyle w:val="af4"/>
        <w:tabs>
          <w:tab w:val="left" w:pos="709"/>
          <w:tab w:val="left" w:pos="851"/>
        </w:tabs>
        <w:overflowPunct/>
        <w:ind w:left="709"/>
        <w:contextualSpacing/>
        <w:jc w:val="both"/>
        <w:rPr>
          <w:iCs/>
          <w:szCs w:val="24"/>
          <w:lang w:val="uk-UA"/>
        </w:rPr>
      </w:pPr>
    </w:p>
    <w:p w:rsidR="007D24AD" w:rsidRPr="004868D7" w:rsidRDefault="007D24AD" w:rsidP="00E07C2B">
      <w:pPr>
        <w:pStyle w:val="af4"/>
        <w:numPr>
          <w:ilvl w:val="0"/>
          <w:numId w:val="7"/>
        </w:numPr>
        <w:tabs>
          <w:tab w:val="left" w:pos="709"/>
          <w:tab w:val="left" w:pos="851"/>
        </w:tabs>
        <w:overflowPunct/>
        <w:ind w:left="709" w:hanging="709"/>
        <w:contextualSpacing/>
        <w:jc w:val="both"/>
        <w:rPr>
          <w:iCs/>
          <w:szCs w:val="24"/>
          <w:lang w:val="uk-UA"/>
        </w:rPr>
      </w:pPr>
      <w:r w:rsidRPr="004868D7">
        <w:rPr>
          <w:iCs/>
          <w:szCs w:val="24"/>
          <w:lang w:val="uk-UA"/>
        </w:rPr>
        <w:t>Група «ОККО» наразі не здійснює діяльності з морської перевалки нафтопродуктів.</w:t>
      </w:r>
    </w:p>
    <w:p w:rsidR="00E07C2B" w:rsidRPr="004868D7" w:rsidRDefault="00E07C2B" w:rsidP="00E07C2B">
      <w:pPr>
        <w:pStyle w:val="af4"/>
        <w:tabs>
          <w:tab w:val="left" w:pos="709"/>
          <w:tab w:val="left" w:pos="851"/>
        </w:tabs>
        <w:overflowPunct/>
        <w:ind w:left="0"/>
        <w:contextualSpacing/>
        <w:jc w:val="both"/>
        <w:rPr>
          <w:iCs/>
          <w:szCs w:val="24"/>
          <w:lang w:val="uk-UA"/>
        </w:rPr>
      </w:pPr>
    </w:p>
    <w:p w:rsidR="007D24AD" w:rsidRPr="00073081" w:rsidRDefault="007D24AD" w:rsidP="00E07C2B">
      <w:pPr>
        <w:pStyle w:val="af4"/>
        <w:numPr>
          <w:ilvl w:val="0"/>
          <w:numId w:val="7"/>
        </w:numPr>
        <w:tabs>
          <w:tab w:val="left" w:pos="709"/>
          <w:tab w:val="left" w:pos="851"/>
        </w:tabs>
        <w:overflowPunct/>
        <w:ind w:left="709" w:hanging="709"/>
        <w:contextualSpacing/>
        <w:jc w:val="both"/>
        <w:rPr>
          <w:iCs/>
          <w:szCs w:val="24"/>
          <w:lang w:val="uk-UA"/>
        </w:rPr>
      </w:pPr>
      <w:r w:rsidRPr="00073081">
        <w:rPr>
          <w:iCs/>
          <w:szCs w:val="24"/>
          <w:lang w:val="uk-UA"/>
        </w:rPr>
        <w:t xml:space="preserve">За інформацією заявників, потенційна частка Групи «ОККО» </w:t>
      </w:r>
      <w:r w:rsidR="00E43641">
        <w:rPr>
          <w:iCs/>
          <w:szCs w:val="24"/>
          <w:lang w:val="uk-UA"/>
        </w:rPr>
        <w:t>і</w:t>
      </w:r>
      <w:r w:rsidRPr="00073081">
        <w:rPr>
          <w:iCs/>
          <w:szCs w:val="24"/>
          <w:lang w:val="uk-UA"/>
        </w:rPr>
        <w:t xml:space="preserve">з перевалки нафтопродуктів після здійснення концентрації (з урахуванням обсягів морської перевалки нафтопродуктів за 2018 та 2019 роки, оскільки протягом 2020 року нафтоперевалка комплексом Херсонської нафтоперевалки не здійснювалась) становитиме близько 12 відсотків від загального обсягу перевалки нафтопродуктів </w:t>
      </w:r>
      <w:r w:rsidR="00E43641">
        <w:rPr>
          <w:iCs/>
          <w:szCs w:val="24"/>
          <w:lang w:val="uk-UA"/>
        </w:rPr>
        <w:t>наявними</w:t>
      </w:r>
      <w:r w:rsidRPr="00073081">
        <w:rPr>
          <w:iCs/>
          <w:szCs w:val="24"/>
          <w:lang w:val="uk-UA"/>
        </w:rPr>
        <w:t xml:space="preserve"> </w:t>
      </w:r>
      <w:proofErr w:type="spellStart"/>
      <w:r w:rsidRPr="00073081">
        <w:rPr>
          <w:iCs/>
          <w:szCs w:val="24"/>
          <w:lang w:val="uk-UA"/>
        </w:rPr>
        <w:t>нафтоперевал</w:t>
      </w:r>
      <w:r w:rsidR="00C16171">
        <w:rPr>
          <w:iCs/>
          <w:szCs w:val="24"/>
          <w:lang w:val="uk-UA"/>
        </w:rPr>
        <w:t>ь</w:t>
      </w:r>
      <w:r w:rsidRPr="00073081">
        <w:rPr>
          <w:iCs/>
          <w:szCs w:val="24"/>
          <w:lang w:val="uk-UA"/>
        </w:rPr>
        <w:t>ними</w:t>
      </w:r>
      <w:proofErr w:type="spellEnd"/>
      <w:r w:rsidRPr="00073081">
        <w:rPr>
          <w:iCs/>
          <w:szCs w:val="24"/>
          <w:lang w:val="uk-UA"/>
        </w:rPr>
        <w:t xml:space="preserve"> комплексами, що </w:t>
      </w:r>
      <w:r w:rsidR="00E43641">
        <w:rPr>
          <w:iCs/>
          <w:szCs w:val="24"/>
          <w:lang w:val="uk-UA"/>
        </w:rPr>
        <w:t>в</w:t>
      </w:r>
      <w:r w:rsidRPr="00073081">
        <w:rPr>
          <w:iCs/>
          <w:szCs w:val="24"/>
          <w:lang w:val="uk-UA"/>
        </w:rPr>
        <w:t xml:space="preserve"> загальному балансі первинної реалізації високооктанових моторних бензинів та дизельного пального </w:t>
      </w:r>
      <w:r w:rsidR="00E43641">
        <w:rPr>
          <w:iCs/>
          <w:szCs w:val="24"/>
          <w:lang w:val="uk-UA"/>
        </w:rPr>
        <w:t>становить</w:t>
      </w:r>
      <w:r w:rsidRPr="00073081">
        <w:rPr>
          <w:iCs/>
          <w:szCs w:val="24"/>
          <w:lang w:val="uk-UA"/>
        </w:rPr>
        <w:t xml:space="preserve"> не більше 2 відсотків.</w:t>
      </w:r>
    </w:p>
    <w:p w:rsidR="00935B99" w:rsidRPr="00073081" w:rsidRDefault="00935B99" w:rsidP="00935B99">
      <w:pPr>
        <w:pStyle w:val="aff8"/>
        <w:rPr>
          <w:iCs/>
          <w:lang w:val="uk-UA"/>
        </w:rPr>
      </w:pPr>
    </w:p>
    <w:p w:rsidR="00935B99" w:rsidRPr="00073081" w:rsidRDefault="00935B99" w:rsidP="00935B99">
      <w:pPr>
        <w:pStyle w:val="af4"/>
        <w:numPr>
          <w:ilvl w:val="0"/>
          <w:numId w:val="7"/>
        </w:numPr>
        <w:tabs>
          <w:tab w:val="left" w:pos="709"/>
          <w:tab w:val="left" w:pos="851"/>
        </w:tabs>
        <w:overflowPunct/>
        <w:ind w:left="709" w:hanging="709"/>
        <w:contextualSpacing/>
        <w:jc w:val="both"/>
        <w:rPr>
          <w:iCs/>
          <w:lang w:val="uk-UA"/>
        </w:rPr>
      </w:pPr>
      <w:r w:rsidRPr="00073081">
        <w:rPr>
          <w:iCs/>
          <w:lang w:val="uk-UA"/>
        </w:rPr>
        <w:t>За розрахунком Групи «ОККО»</w:t>
      </w:r>
      <w:r w:rsidR="00E43641">
        <w:rPr>
          <w:iCs/>
          <w:lang w:val="uk-UA"/>
        </w:rPr>
        <w:t>,</w:t>
      </w:r>
      <w:r w:rsidRPr="00073081">
        <w:rPr>
          <w:iCs/>
          <w:lang w:val="uk-UA"/>
        </w:rPr>
        <w:t xml:space="preserve"> після модернізації комплексу Херсонської </w:t>
      </w:r>
      <w:proofErr w:type="spellStart"/>
      <w:r w:rsidRPr="00073081">
        <w:rPr>
          <w:iCs/>
          <w:lang w:val="uk-UA"/>
        </w:rPr>
        <w:t>нафтоперевалки</w:t>
      </w:r>
      <w:proofErr w:type="spellEnd"/>
      <w:r w:rsidRPr="00073081">
        <w:rPr>
          <w:iCs/>
          <w:lang w:val="uk-UA"/>
        </w:rPr>
        <w:t xml:space="preserve"> та використання п</w:t>
      </w:r>
      <w:r w:rsidR="00E43641">
        <w:rPr>
          <w:iCs/>
          <w:lang w:val="uk-UA"/>
        </w:rPr>
        <w:t xml:space="preserve">овної потужності </w:t>
      </w:r>
      <w:proofErr w:type="spellStart"/>
      <w:r w:rsidR="00E43641">
        <w:rPr>
          <w:iCs/>
          <w:lang w:val="uk-UA"/>
        </w:rPr>
        <w:t>нафтоперевалки</w:t>
      </w:r>
      <w:proofErr w:type="spellEnd"/>
      <w:r w:rsidRPr="00073081">
        <w:rPr>
          <w:iCs/>
          <w:lang w:val="uk-UA"/>
        </w:rPr>
        <w:t xml:space="preserve"> </w:t>
      </w:r>
      <w:r w:rsidR="00E43641">
        <w:rPr>
          <w:iCs/>
          <w:lang w:val="uk-UA"/>
        </w:rPr>
        <w:t>частка</w:t>
      </w:r>
      <w:r w:rsidRPr="00073081">
        <w:rPr>
          <w:iCs/>
          <w:lang w:val="uk-UA"/>
        </w:rPr>
        <w:t xml:space="preserve"> групи «ОККО» </w:t>
      </w:r>
      <w:r w:rsidR="00E43641">
        <w:rPr>
          <w:iCs/>
          <w:lang w:val="uk-UA"/>
        </w:rPr>
        <w:t>і</w:t>
      </w:r>
      <w:r w:rsidRPr="00073081">
        <w:rPr>
          <w:iCs/>
          <w:lang w:val="uk-UA"/>
        </w:rPr>
        <w:t xml:space="preserve">з перевалки нафтопродуктів може </w:t>
      </w:r>
      <w:r w:rsidR="00E43641">
        <w:rPr>
          <w:iCs/>
          <w:lang w:val="uk-UA"/>
        </w:rPr>
        <w:t>становити</w:t>
      </w:r>
      <w:r w:rsidRPr="00073081">
        <w:rPr>
          <w:iCs/>
          <w:lang w:val="uk-UA"/>
        </w:rPr>
        <w:t xml:space="preserve"> 23 відсотки у структурі ринку імпортованої перевалки нафтопродуктів.</w:t>
      </w:r>
    </w:p>
    <w:p w:rsidR="00E07C2B" w:rsidRPr="004868D7" w:rsidRDefault="00E07C2B" w:rsidP="00E07C2B">
      <w:pPr>
        <w:pStyle w:val="af4"/>
        <w:tabs>
          <w:tab w:val="left" w:pos="709"/>
          <w:tab w:val="left" w:pos="851"/>
        </w:tabs>
        <w:overflowPunct/>
        <w:ind w:left="0"/>
        <w:contextualSpacing/>
        <w:jc w:val="both"/>
        <w:rPr>
          <w:iCs/>
          <w:szCs w:val="24"/>
          <w:lang w:val="uk-UA"/>
        </w:rPr>
      </w:pPr>
    </w:p>
    <w:p w:rsidR="007D24AD" w:rsidRDefault="007D24AD" w:rsidP="00E07C2B">
      <w:pPr>
        <w:pStyle w:val="af4"/>
        <w:numPr>
          <w:ilvl w:val="0"/>
          <w:numId w:val="7"/>
        </w:numPr>
        <w:tabs>
          <w:tab w:val="left" w:pos="709"/>
          <w:tab w:val="left" w:pos="851"/>
        </w:tabs>
        <w:overflowPunct/>
        <w:ind w:left="709" w:hanging="709"/>
        <w:contextualSpacing/>
        <w:jc w:val="both"/>
        <w:rPr>
          <w:iCs/>
          <w:szCs w:val="24"/>
          <w:lang w:val="uk-UA"/>
        </w:rPr>
      </w:pPr>
      <w:r w:rsidRPr="004868D7">
        <w:rPr>
          <w:iCs/>
          <w:szCs w:val="24"/>
          <w:lang w:val="uk-UA"/>
        </w:rPr>
        <w:t>Найбільшими конкурентами учасників концентрації на ринку морської перевалки нафтопродуктів стануть ПрАТ з ІІ «СИНТЕЗ ОЙЛ», ПрАТ «</w:t>
      </w:r>
      <w:proofErr w:type="spellStart"/>
      <w:r w:rsidRPr="004868D7">
        <w:rPr>
          <w:iCs/>
          <w:szCs w:val="24"/>
          <w:lang w:val="uk-UA"/>
        </w:rPr>
        <w:t>Черноморський</w:t>
      </w:r>
      <w:proofErr w:type="spellEnd"/>
      <w:r w:rsidRPr="004868D7">
        <w:rPr>
          <w:iCs/>
          <w:szCs w:val="24"/>
          <w:lang w:val="uk-UA"/>
        </w:rPr>
        <w:t xml:space="preserve"> паливний </w:t>
      </w:r>
      <w:r w:rsidRPr="004868D7">
        <w:rPr>
          <w:iCs/>
          <w:szCs w:val="24"/>
          <w:lang w:val="uk-UA"/>
        </w:rPr>
        <w:lastRenderedPageBreak/>
        <w:t xml:space="preserve">термінал», ТОВ «Термінал </w:t>
      </w:r>
      <w:proofErr w:type="spellStart"/>
      <w:r w:rsidRPr="004868D7">
        <w:rPr>
          <w:iCs/>
          <w:szCs w:val="24"/>
          <w:lang w:val="uk-UA"/>
        </w:rPr>
        <w:t>Стівідорінг</w:t>
      </w:r>
      <w:proofErr w:type="spellEnd"/>
      <w:r w:rsidRPr="004868D7">
        <w:rPr>
          <w:iCs/>
          <w:szCs w:val="24"/>
          <w:lang w:val="uk-UA"/>
        </w:rPr>
        <w:t xml:space="preserve"> і К», ТОВ «</w:t>
      </w:r>
      <w:proofErr w:type="spellStart"/>
      <w:r w:rsidRPr="004868D7">
        <w:rPr>
          <w:iCs/>
          <w:szCs w:val="24"/>
          <w:lang w:val="uk-UA"/>
        </w:rPr>
        <w:t>Ойл</w:t>
      </w:r>
      <w:proofErr w:type="spellEnd"/>
      <w:r w:rsidRPr="004868D7">
        <w:rPr>
          <w:iCs/>
          <w:szCs w:val="24"/>
          <w:lang w:val="uk-UA"/>
        </w:rPr>
        <w:t xml:space="preserve"> </w:t>
      </w:r>
      <w:proofErr w:type="spellStart"/>
      <w:r w:rsidRPr="004868D7">
        <w:rPr>
          <w:iCs/>
          <w:szCs w:val="24"/>
          <w:lang w:val="uk-UA"/>
        </w:rPr>
        <w:t>Трансшипмент</w:t>
      </w:r>
      <w:proofErr w:type="spellEnd"/>
      <w:r w:rsidRPr="004868D7">
        <w:rPr>
          <w:iCs/>
          <w:szCs w:val="24"/>
          <w:lang w:val="uk-UA"/>
        </w:rPr>
        <w:t>»,                            ДП «Підприємство із забезпечення нафтопродуктами».</w:t>
      </w:r>
    </w:p>
    <w:p w:rsidR="00E43641" w:rsidRPr="004868D7" w:rsidRDefault="00E43641" w:rsidP="00E43641">
      <w:pPr>
        <w:pStyle w:val="af4"/>
        <w:tabs>
          <w:tab w:val="left" w:pos="709"/>
          <w:tab w:val="left" w:pos="851"/>
        </w:tabs>
        <w:overflowPunct/>
        <w:ind w:left="0"/>
        <w:contextualSpacing/>
        <w:jc w:val="both"/>
        <w:rPr>
          <w:iCs/>
          <w:szCs w:val="24"/>
          <w:lang w:val="uk-UA"/>
        </w:rPr>
      </w:pPr>
    </w:p>
    <w:p w:rsidR="007D24AD" w:rsidRPr="004868D7" w:rsidRDefault="007D24AD" w:rsidP="00E07C2B">
      <w:pPr>
        <w:pStyle w:val="af4"/>
        <w:numPr>
          <w:ilvl w:val="0"/>
          <w:numId w:val="7"/>
        </w:numPr>
        <w:tabs>
          <w:tab w:val="left" w:pos="709"/>
          <w:tab w:val="left" w:pos="851"/>
        </w:tabs>
        <w:overflowPunct/>
        <w:ind w:left="709" w:hanging="709"/>
        <w:contextualSpacing/>
        <w:jc w:val="both"/>
        <w:rPr>
          <w:iCs/>
          <w:szCs w:val="24"/>
          <w:lang w:val="uk-UA"/>
        </w:rPr>
      </w:pPr>
      <w:r w:rsidRPr="004868D7">
        <w:rPr>
          <w:iCs/>
          <w:szCs w:val="24"/>
          <w:lang w:val="uk-UA"/>
        </w:rPr>
        <w:t xml:space="preserve">Листом від 15.10.2020 № 8-08/13337 у відповідь на запит Комітету (лист                               </w:t>
      </w:r>
      <w:r w:rsidRPr="004868D7">
        <w:rPr>
          <w:color w:val="000000"/>
          <w:szCs w:val="24"/>
          <w:lang w:val="uk-UA"/>
        </w:rPr>
        <w:t xml:space="preserve">від 17.09.2020 № 128-25/08-12683) щодо наявних в Україні потужностей морської перевалки нафтопродуктів АМПУ надало </w:t>
      </w:r>
      <w:r w:rsidR="00E43641">
        <w:rPr>
          <w:color w:val="000000"/>
          <w:szCs w:val="24"/>
          <w:lang w:val="uk-UA"/>
        </w:rPr>
        <w:t>таку</w:t>
      </w:r>
      <w:r w:rsidRPr="004868D7">
        <w:rPr>
          <w:color w:val="000000"/>
          <w:szCs w:val="24"/>
          <w:lang w:val="uk-UA"/>
        </w:rPr>
        <w:t xml:space="preserve"> інформацію:</w:t>
      </w:r>
    </w:p>
    <w:p w:rsidR="007D24AD" w:rsidRPr="004868D7" w:rsidRDefault="007D24AD" w:rsidP="00E07C2B">
      <w:pPr>
        <w:tabs>
          <w:tab w:val="left" w:pos="284"/>
          <w:tab w:val="left" w:pos="709"/>
        </w:tabs>
        <w:ind w:left="709" w:firstLine="425"/>
        <w:contextualSpacing/>
        <w:jc w:val="both"/>
        <w:rPr>
          <w:rStyle w:val="affb"/>
          <w:rFonts w:eastAsia="Calibri"/>
          <w:i w:val="0"/>
          <w:sz w:val="24"/>
          <w:szCs w:val="24"/>
          <w:lang w:val="uk-UA"/>
        </w:rPr>
      </w:pPr>
      <w:r w:rsidRPr="004868D7">
        <w:rPr>
          <w:rStyle w:val="affb"/>
          <w:rFonts w:eastAsia="Calibri"/>
          <w:i w:val="0"/>
          <w:sz w:val="24"/>
          <w:szCs w:val="24"/>
          <w:lang w:val="uk-UA"/>
        </w:rPr>
        <w:t>в Україні морськ</w:t>
      </w:r>
      <w:r w:rsidR="00E43641">
        <w:rPr>
          <w:rStyle w:val="affb"/>
          <w:rFonts w:eastAsia="Calibri"/>
          <w:i w:val="0"/>
          <w:sz w:val="24"/>
          <w:szCs w:val="24"/>
          <w:lang w:val="uk-UA"/>
        </w:rPr>
        <w:t>у</w:t>
      </w:r>
      <w:r w:rsidRPr="004868D7">
        <w:rPr>
          <w:rStyle w:val="affb"/>
          <w:rFonts w:eastAsia="Calibri"/>
          <w:i w:val="0"/>
          <w:sz w:val="24"/>
          <w:szCs w:val="24"/>
          <w:lang w:val="uk-UA"/>
        </w:rPr>
        <w:t xml:space="preserve"> перевалк</w:t>
      </w:r>
      <w:r w:rsidR="00E43641">
        <w:rPr>
          <w:rStyle w:val="affb"/>
          <w:rFonts w:eastAsia="Calibri"/>
          <w:i w:val="0"/>
          <w:sz w:val="24"/>
          <w:szCs w:val="24"/>
          <w:lang w:val="uk-UA"/>
        </w:rPr>
        <w:t>у</w:t>
      </w:r>
      <w:r w:rsidRPr="004868D7">
        <w:rPr>
          <w:rStyle w:val="affb"/>
          <w:rFonts w:eastAsia="Calibri"/>
          <w:i w:val="0"/>
          <w:sz w:val="24"/>
          <w:szCs w:val="24"/>
          <w:lang w:val="uk-UA"/>
        </w:rPr>
        <w:t xml:space="preserve"> нафтопродуктів здійсню</w:t>
      </w:r>
      <w:r w:rsidR="00E43641">
        <w:rPr>
          <w:rStyle w:val="affb"/>
          <w:rFonts w:eastAsia="Calibri"/>
          <w:i w:val="0"/>
          <w:sz w:val="24"/>
          <w:szCs w:val="24"/>
          <w:lang w:val="uk-UA"/>
        </w:rPr>
        <w:t>ють</w:t>
      </w:r>
      <w:r w:rsidRPr="004868D7">
        <w:rPr>
          <w:rStyle w:val="affb"/>
          <w:rFonts w:eastAsia="Calibri"/>
          <w:i w:val="0"/>
          <w:sz w:val="24"/>
          <w:szCs w:val="24"/>
          <w:lang w:val="uk-UA"/>
        </w:rPr>
        <w:t xml:space="preserve"> </w:t>
      </w:r>
      <w:r w:rsidR="00E43641">
        <w:rPr>
          <w:rStyle w:val="affb"/>
          <w:rFonts w:eastAsia="Calibri"/>
          <w:i w:val="0"/>
          <w:sz w:val="24"/>
          <w:szCs w:val="24"/>
          <w:lang w:val="uk-UA"/>
        </w:rPr>
        <w:t>такі</w:t>
      </w:r>
      <w:r w:rsidRPr="004868D7">
        <w:rPr>
          <w:rStyle w:val="affb"/>
          <w:rFonts w:eastAsia="Calibri"/>
          <w:i w:val="0"/>
          <w:sz w:val="24"/>
          <w:szCs w:val="24"/>
          <w:lang w:val="uk-UA"/>
        </w:rPr>
        <w:t xml:space="preserve"> морськ</w:t>
      </w:r>
      <w:r w:rsidR="00E43641">
        <w:rPr>
          <w:rStyle w:val="affb"/>
          <w:rFonts w:eastAsia="Calibri"/>
          <w:i w:val="0"/>
          <w:sz w:val="24"/>
          <w:szCs w:val="24"/>
          <w:lang w:val="uk-UA"/>
        </w:rPr>
        <w:t>і</w:t>
      </w:r>
      <w:r w:rsidRPr="004868D7">
        <w:rPr>
          <w:rStyle w:val="affb"/>
          <w:rFonts w:eastAsia="Calibri"/>
          <w:i w:val="0"/>
          <w:sz w:val="24"/>
          <w:szCs w:val="24"/>
          <w:lang w:val="uk-UA"/>
        </w:rPr>
        <w:t xml:space="preserve"> порти: Морський порт Ізмаїл, Морський порт Миколаїв, Морський порт Одеса, Морський порт «Південний», Морський порт Рені, Морський порт Херсон та Морський порт </w:t>
      </w:r>
      <w:proofErr w:type="spellStart"/>
      <w:r w:rsidRPr="004868D7">
        <w:rPr>
          <w:rStyle w:val="affb"/>
          <w:rFonts w:eastAsia="Calibri"/>
          <w:i w:val="0"/>
          <w:sz w:val="24"/>
          <w:szCs w:val="24"/>
          <w:lang w:val="uk-UA"/>
        </w:rPr>
        <w:t>Чорноморськ</w:t>
      </w:r>
      <w:proofErr w:type="spellEnd"/>
      <w:r w:rsidRPr="004868D7">
        <w:rPr>
          <w:rStyle w:val="affb"/>
          <w:rFonts w:eastAsia="Calibri"/>
          <w:i w:val="0"/>
          <w:sz w:val="24"/>
          <w:szCs w:val="24"/>
          <w:lang w:val="uk-UA"/>
        </w:rPr>
        <w:t>;</w:t>
      </w:r>
    </w:p>
    <w:p w:rsidR="007D24AD" w:rsidRPr="004868D7" w:rsidRDefault="007D24AD" w:rsidP="00E07C2B">
      <w:pPr>
        <w:tabs>
          <w:tab w:val="left" w:pos="284"/>
          <w:tab w:val="left" w:pos="709"/>
        </w:tabs>
        <w:ind w:left="709" w:firstLine="425"/>
        <w:contextualSpacing/>
        <w:jc w:val="both"/>
        <w:rPr>
          <w:rStyle w:val="affb"/>
          <w:rFonts w:eastAsia="Calibri"/>
          <w:i w:val="0"/>
          <w:sz w:val="24"/>
          <w:szCs w:val="24"/>
          <w:lang w:val="uk-UA"/>
        </w:rPr>
      </w:pPr>
      <w:r w:rsidRPr="004868D7">
        <w:rPr>
          <w:rStyle w:val="affb"/>
          <w:rFonts w:eastAsia="Calibri"/>
          <w:i w:val="0"/>
          <w:sz w:val="24"/>
          <w:szCs w:val="24"/>
          <w:lang w:val="uk-UA"/>
        </w:rPr>
        <w:t xml:space="preserve">відповідні </w:t>
      </w:r>
      <w:proofErr w:type="spellStart"/>
      <w:r w:rsidRPr="004868D7">
        <w:rPr>
          <w:rStyle w:val="affb"/>
          <w:rFonts w:eastAsia="Calibri"/>
          <w:i w:val="0"/>
          <w:sz w:val="24"/>
          <w:szCs w:val="24"/>
          <w:lang w:val="uk-UA"/>
        </w:rPr>
        <w:t>про</w:t>
      </w:r>
      <w:r w:rsidR="00E43641">
        <w:rPr>
          <w:rStyle w:val="affb"/>
          <w:rFonts w:eastAsia="Calibri"/>
          <w:i w:val="0"/>
          <w:sz w:val="24"/>
          <w:szCs w:val="24"/>
          <w:lang w:val="uk-UA"/>
        </w:rPr>
        <w:t>є</w:t>
      </w:r>
      <w:r w:rsidRPr="004868D7">
        <w:rPr>
          <w:rStyle w:val="affb"/>
          <w:rFonts w:eastAsia="Calibri"/>
          <w:i w:val="0"/>
          <w:sz w:val="24"/>
          <w:szCs w:val="24"/>
          <w:lang w:val="uk-UA"/>
        </w:rPr>
        <w:t>ктні</w:t>
      </w:r>
      <w:proofErr w:type="spellEnd"/>
      <w:r w:rsidRPr="004868D7">
        <w:rPr>
          <w:rStyle w:val="affb"/>
          <w:rFonts w:eastAsia="Calibri"/>
          <w:i w:val="0"/>
          <w:sz w:val="24"/>
          <w:szCs w:val="24"/>
          <w:lang w:val="uk-UA"/>
        </w:rPr>
        <w:t xml:space="preserve"> потужності морських портів для забезпечення перевалки нафтопродуктів наведен</w:t>
      </w:r>
      <w:r w:rsidR="00E43641">
        <w:rPr>
          <w:rStyle w:val="affb"/>
          <w:rFonts w:eastAsia="Calibri"/>
          <w:i w:val="0"/>
          <w:sz w:val="24"/>
          <w:szCs w:val="24"/>
          <w:lang w:val="uk-UA"/>
        </w:rPr>
        <w:t>о</w:t>
      </w:r>
      <w:r w:rsidRPr="004868D7">
        <w:rPr>
          <w:rStyle w:val="affb"/>
          <w:rFonts w:eastAsia="Calibri"/>
          <w:i w:val="0"/>
          <w:sz w:val="24"/>
          <w:szCs w:val="24"/>
          <w:lang w:val="uk-UA"/>
        </w:rPr>
        <w:t xml:space="preserve"> </w:t>
      </w:r>
      <w:r w:rsidR="00E43641">
        <w:rPr>
          <w:rStyle w:val="affb"/>
          <w:rFonts w:eastAsia="Calibri"/>
          <w:i w:val="0"/>
          <w:sz w:val="24"/>
          <w:szCs w:val="24"/>
          <w:lang w:val="uk-UA"/>
        </w:rPr>
        <w:t>в</w:t>
      </w:r>
      <w:r w:rsidRPr="004868D7">
        <w:rPr>
          <w:rStyle w:val="affb"/>
          <w:rFonts w:eastAsia="Calibri"/>
          <w:i w:val="0"/>
          <w:sz w:val="24"/>
          <w:szCs w:val="24"/>
          <w:lang w:val="uk-UA"/>
        </w:rPr>
        <w:t xml:space="preserve"> таблиці </w:t>
      </w:r>
      <w:r w:rsidR="00073081">
        <w:rPr>
          <w:rStyle w:val="affb"/>
          <w:rFonts w:eastAsia="Calibri"/>
          <w:i w:val="0"/>
          <w:sz w:val="24"/>
          <w:szCs w:val="24"/>
          <w:lang w:val="uk-UA"/>
        </w:rPr>
        <w:t>3</w:t>
      </w:r>
      <w:r w:rsidRPr="004868D7">
        <w:rPr>
          <w:rStyle w:val="affb"/>
          <w:rFonts w:eastAsia="Calibri"/>
          <w:i w:val="0"/>
          <w:sz w:val="24"/>
          <w:szCs w:val="24"/>
          <w:lang w:val="uk-UA"/>
        </w:rPr>
        <w:t>.</w:t>
      </w:r>
    </w:p>
    <w:p w:rsidR="007D24AD" w:rsidRPr="00E07C2B" w:rsidRDefault="007D24AD" w:rsidP="00E07C2B">
      <w:pPr>
        <w:pStyle w:val="af4"/>
        <w:tabs>
          <w:tab w:val="left" w:pos="709"/>
          <w:tab w:val="left" w:pos="851"/>
        </w:tabs>
        <w:overflowPunct/>
        <w:ind w:left="709" w:firstLine="284"/>
        <w:contextualSpacing/>
        <w:jc w:val="right"/>
        <w:rPr>
          <w:color w:val="000000"/>
          <w:szCs w:val="24"/>
          <w:lang w:val="uk-UA"/>
        </w:rPr>
      </w:pPr>
      <w:r w:rsidRPr="00E07C2B">
        <w:rPr>
          <w:color w:val="000000"/>
          <w:szCs w:val="24"/>
          <w:lang w:val="uk-UA"/>
        </w:rPr>
        <w:t xml:space="preserve">Таблиця </w:t>
      </w:r>
      <w:r w:rsidR="00073081">
        <w:rPr>
          <w:color w:val="000000"/>
          <w:szCs w:val="24"/>
          <w:lang w:val="uk-UA"/>
        </w:rPr>
        <w:t>3</w:t>
      </w: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418"/>
        <w:gridCol w:w="992"/>
        <w:gridCol w:w="1134"/>
        <w:gridCol w:w="992"/>
        <w:gridCol w:w="1134"/>
        <w:gridCol w:w="992"/>
        <w:gridCol w:w="1134"/>
      </w:tblGrid>
      <w:tr w:rsidR="007D24AD" w:rsidRPr="00E07C2B" w:rsidTr="007C09E5">
        <w:trPr>
          <w:trHeight w:val="914"/>
        </w:trPr>
        <w:tc>
          <w:tcPr>
            <w:tcW w:w="1134" w:type="dxa"/>
            <w:vMerge w:val="restart"/>
            <w:shd w:val="clear" w:color="auto" w:fill="auto"/>
            <w:vAlign w:val="center"/>
            <w:hideMark/>
          </w:tcPr>
          <w:p w:rsidR="007D24AD" w:rsidRPr="00E07C2B" w:rsidRDefault="007D24AD" w:rsidP="00E07C2B">
            <w:pPr>
              <w:contextualSpacing/>
              <w:jc w:val="center"/>
              <w:rPr>
                <w:bCs/>
                <w:color w:val="000000"/>
                <w:sz w:val="16"/>
                <w:szCs w:val="16"/>
              </w:rPr>
            </w:pPr>
            <w:r w:rsidRPr="00E07C2B">
              <w:rPr>
                <w:bCs/>
                <w:color w:val="000000"/>
                <w:sz w:val="16"/>
                <w:szCs w:val="16"/>
                <w:lang w:val="uk-UA"/>
              </w:rPr>
              <w:t>Морський порт</w:t>
            </w:r>
          </w:p>
        </w:tc>
        <w:tc>
          <w:tcPr>
            <w:tcW w:w="1418" w:type="dxa"/>
            <w:vMerge w:val="restart"/>
            <w:shd w:val="clear" w:color="auto" w:fill="auto"/>
            <w:vAlign w:val="center"/>
            <w:hideMark/>
          </w:tcPr>
          <w:p w:rsidR="007D24AD" w:rsidRPr="004868D7" w:rsidRDefault="00E43641" w:rsidP="00E07C2B">
            <w:pPr>
              <w:contextualSpacing/>
              <w:jc w:val="center"/>
              <w:rPr>
                <w:color w:val="000000"/>
                <w:sz w:val="16"/>
                <w:szCs w:val="16"/>
              </w:rPr>
            </w:pPr>
            <w:proofErr w:type="spellStart"/>
            <w:r>
              <w:rPr>
                <w:color w:val="000000"/>
                <w:sz w:val="16"/>
                <w:szCs w:val="16"/>
                <w:lang w:val="uk-UA"/>
              </w:rPr>
              <w:t>П</w:t>
            </w:r>
            <w:r w:rsidR="007D24AD" w:rsidRPr="004868D7">
              <w:rPr>
                <w:color w:val="000000"/>
                <w:sz w:val="16"/>
                <w:szCs w:val="16"/>
                <w:lang w:val="uk-UA"/>
              </w:rPr>
              <w:t>ро</w:t>
            </w:r>
            <w:r>
              <w:rPr>
                <w:color w:val="000000"/>
                <w:sz w:val="16"/>
                <w:szCs w:val="16"/>
                <w:lang w:val="uk-UA"/>
              </w:rPr>
              <w:t>є</w:t>
            </w:r>
            <w:r w:rsidR="007D24AD" w:rsidRPr="004868D7">
              <w:rPr>
                <w:color w:val="000000"/>
                <w:sz w:val="16"/>
                <w:szCs w:val="16"/>
                <w:lang w:val="uk-UA"/>
              </w:rPr>
              <w:t>ктна</w:t>
            </w:r>
            <w:proofErr w:type="spellEnd"/>
            <w:r w:rsidR="007D24AD" w:rsidRPr="004868D7">
              <w:rPr>
                <w:color w:val="000000"/>
                <w:sz w:val="16"/>
                <w:szCs w:val="16"/>
                <w:lang w:val="uk-UA"/>
              </w:rPr>
              <w:t xml:space="preserve"> потужність перевалки нафтопродуктів протягом</w:t>
            </w:r>
          </w:p>
          <w:p w:rsidR="007D24AD" w:rsidRPr="004868D7" w:rsidRDefault="00E43641" w:rsidP="00E07C2B">
            <w:pPr>
              <w:contextualSpacing/>
              <w:jc w:val="center"/>
              <w:rPr>
                <w:color w:val="000000"/>
                <w:sz w:val="16"/>
                <w:szCs w:val="16"/>
              </w:rPr>
            </w:pPr>
            <w:r>
              <w:rPr>
                <w:color w:val="000000"/>
                <w:sz w:val="16"/>
                <w:szCs w:val="16"/>
                <w:lang w:val="uk-UA"/>
              </w:rPr>
              <w:t>1 року</w:t>
            </w:r>
          </w:p>
          <w:p w:rsidR="007D24AD" w:rsidRPr="004868D7" w:rsidRDefault="007D24AD" w:rsidP="00E07C2B">
            <w:pPr>
              <w:contextualSpacing/>
              <w:jc w:val="center"/>
              <w:rPr>
                <w:color w:val="000000"/>
                <w:sz w:val="16"/>
                <w:szCs w:val="16"/>
              </w:rPr>
            </w:pPr>
            <w:r w:rsidRPr="004868D7">
              <w:rPr>
                <w:bCs/>
                <w:color w:val="000000"/>
                <w:sz w:val="16"/>
                <w:szCs w:val="16"/>
                <w:lang w:val="uk-UA"/>
              </w:rPr>
              <w:t>(тис. тонн)</w:t>
            </w:r>
          </w:p>
        </w:tc>
        <w:tc>
          <w:tcPr>
            <w:tcW w:w="2126" w:type="dxa"/>
            <w:gridSpan w:val="2"/>
            <w:shd w:val="clear" w:color="auto" w:fill="auto"/>
            <w:vAlign w:val="center"/>
          </w:tcPr>
          <w:p w:rsidR="007D24AD" w:rsidRPr="004868D7" w:rsidRDefault="007D24AD" w:rsidP="00E07C2B">
            <w:pPr>
              <w:contextualSpacing/>
              <w:jc w:val="center"/>
              <w:rPr>
                <w:color w:val="000000"/>
                <w:sz w:val="16"/>
                <w:szCs w:val="16"/>
                <w:lang w:val="uk-UA"/>
              </w:rPr>
            </w:pPr>
            <w:r w:rsidRPr="004868D7">
              <w:rPr>
                <w:color w:val="000000"/>
                <w:sz w:val="16"/>
                <w:szCs w:val="16"/>
                <w:lang w:val="uk-UA"/>
              </w:rPr>
              <w:t>2018</w:t>
            </w:r>
          </w:p>
        </w:tc>
        <w:tc>
          <w:tcPr>
            <w:tcW w:w="2126" w:type="dxa"/>
            <w:gridSpan w:val="2"/>
            <w:shd w:val="clear" w:color="auto" w:fill="auto"/>
            <w:vAlign w:val="center"/>
          </w:tcPr>
          <w:p w:rsidR="007D24AD" w:rsidRPr="004868D7" w:rsidRDefault="007D24AD" w:rsidP="00E07C2B">
            <w:pPr>
              <w:contextualSpacing/>
              <w:jc w:val="center"/>
              <w:rPr>
                <w:color w:val="000000"/>
                <w:sz w:val="16"/>
                <w:szCs w:val="16"/>
                <w:lang w:val="uk-UA"/>
              </w:rPr>
            </w:pPr>
            <w:r w:rsidRPr="004868D7">
              <w:rPr>
                <w:color w:val="000000"/>
                <w:sz w:val="16"/>
                <w:szCs w:val="16"/>
                <w:lang w:val="uk-UA"/>
              </w:rPr>
              <w:t>2019</w:t>
            </w:r>
          </w:p>
        </w:tc>
        <w:tc>
          <w:tcPr>
            <w:tcW w:w="2126" w:type="dxa"/>
            <w:gridSpan w:val="2"/>
            <w:shd w:val="clear" w:color="auto" w:fill="auto"/>
            <w:vAlign w:val="center"/>
          </w:tcPr>
          <w:p w:rsidR="007D24AD" w:rsidRPr="004868D7" w:rsidRDefault="007D24AD" w:rsidP="00E07C2B">
            <w:pPr>
              <w:contextualSpacing/>
              <w:jc w:val="center"/>
              <w:rPr>
                <w:color w:val="000000"/>
                <w:sz w:val="16"/>
                <w:szCs w:val="16"/>
                <w:lang w:val="uk-UA"/>
              </w:rPr>
            </w:pPr>
            <w:r w:rsidRPr="004868D7">
              <w:rPr>
                <w:color w:val="000000"/>
                <w:sz w:val="16"/>
                <w:szCs w:val="16"/>
                <w:lang w:val="uk-UA"/>
              </w:rPr>
              <w:t>1 півріччя 2020</w:t>
            </w:r>
          </w:p>
        </w:tc>
      </w:tr>
      <w:tr w:rsidR="007D24AD" w:rsidRPr="00E07C2B" w:rsidTr="007C09E5">
        <w:trPr>
          <w:trHeight w:val="615"/>
        </w:trPr>
        <w:tc>
          <w:tcPr>
            <w:tcW w:w="1134" w:type="dxa"/>
            <w:vMerge/>
            <w:shd w:val="clear" w:color="auto" w:fill="auto"/>
            <w:vAlign w:val="center"/>
          </w:tcPr>
          <w:p w:rsidR="007D24AD" w:rsidRPr="00E07C2B" w:rsidRDefault="007D24AD" w:rsidP="00E07C2B">
            <w:pPr>
              <w:contextualSpacing/>
              <w:jc w:val="center"/>
              <w:rPr>
                <w:color w:val="000000"/>
                <w:sz w:val="16"/>
                <w:szCs w:val="16"/>
              </w:rPr>
            </w:pPr>
          </w:p>
        </w:tc>
        <w:tc>
          <w:tcPr>
            <w:tcW w:w="1418" w:type="dxa"/>
            <w:vMerge/>
            <w:shd w:val="clear" w:color="auto" w:fill="auto"/>
            <w:vAlign w:val="center"/>
          </w:tcPr>
          <w:p w:rsidR="007D24AD" w:rsidRPr="004868D7" w:rsidRDefault="007D24AD" w:rsidP="00E07C2B">
            <w:pPr>
              <w:contextualSpacing/>
              <w:jc w:val="center"/>
              <w:rPr>
                <w:color w:val="000000"/>
                <w:sz w:val="16"/>
                <w:szCs w:val="16"/>
              </w:rPr>
            </w:pPr>
          </w:p>
        </w:tc>
        <w:tc>
          <w:tcPr>
            <w:tcW w:w="992" w:type="dxa"/>
            <w:shd w:val="clear" w:color="auto" w:fill="auto"/>
            <w:vAlign w:val="center"/>
          </w:tcPr>
          <w:p w:rsidR="007D24AD" w:rsidRPr="004868D7" w:rsidRDefault="007D24AD" w:rsidP="00E07C2B">
            <w:pPr>
              <w:contextualSpacing/>
              <w:jc w:val="center"/>
              <w:rPr>
                <w:color w:val="000000"/>
                <w:sz w:val="16"/>
                <w:szCs w:val="16"/>
                <w:lang w:val="uk-UA"/>
              </w:rPr>
            </w:pPr>
            <w:r w:rsidRPr="004868D7">
              <w:rPr>
                <w:color w:val="000000"/>
                <w:sz w:val="16"/>
                <w:szCs w:val="16"/>
                <w:lang w:val="uk-UA"/>
              </w:rPr>
              <w:t xml:space="preserve">Обсяг перевалки </w:t>
            </w:r>
            <w:proofErr w:type="spellStart"/>
            <w:r w:rsidRPr="004868D7">
              <w:rPr>
                <w:color w:val="000000"/>
                <w:sz w:val="16"/>
                <w:szCs w:val="16"/>
                <w:lang w:val="uk-UA"/>
              </w:rPr>
              <w:t>нафтопро-дуктів</w:t>
            </w:r>
            <w:proofErr w:type="spellEnd"/>
          </w:p>
          <w:p w:rsidR="007D24AD" w:rsidRPr="004868D7" w:rsidRDefault="007D24AD" w:rsidP="00E07C2B">
            <w:pPr>
              <w:contextualSpacing/>
              <w:jc w:val="center"/>
              <w:rPr>
                <w:color w:val="000000"/>
                <w:sz w:val="16"/>
                <w:szCs w:val="16"/>
                <w:lang w:val="uk-UA"/>
              </w:rPr>
            </w:pPr>
            <w:r w:rsidRPr="004868D7">
              <w:rPr>
                <w:bCs/>
                <w:color w:val="000000"/>
                <w:sz w:val="16"/>
                <w:szCs w:val="16"/>
                <w:lang w:val="uk-UA"/>
              </w:rPr>
              <w:t>(тис. тонн)</w:t>
            </w:r>
          </w:p>
        </w:tc>
        <w:tc>
          <w:tcPr>
            <w:tcW w:w="1134" w:type="dxa"/>
            <w:shd w:val="clear" w:color="auto" w:fill="auto"/>
            <w:vAlign w:val="center"/>
          </w:tcPr>
          <w:p w:rsidR="007D24AD" w:rsidRPr="004868D7" w:rsidRDefault="007D24AD" w:rsidP="00E07C2B">
            <w:pPr>
              <w:contextualSpacing/>
              <w:jc w:val="center"/>
              <w:rPr>
                <w:color w:val="000000"/>
                <w:sz w:val="16"/>
                <w:szCs w:val="16"/>
                <w:lang w:val="uk-UA"/>
              </w:rPr>
            </w:pPr>
            <w:proofErr w:type="spellStart"/>
            <w:r w:rsidRPr="004868D7">
              <w:rPr>
                <w:color w:val="000000"/>
                <w:sz w:val="16"/>
                <w:szCs w:val="16"/>
                <w:lang w:val="uk-UA"/>
              </w:rPr>
              <w:t>Вакантність</w:t>
            </w:r>
            <w:proofErr w:type="spellEnd"/>
            <w:r w:rsidRPr="004868D7">
              <w:rPr>
                <w:color w:val="000000"/>
                <w:sz w:val="16"/>
                <w:szCs w:val="16"/>
                <w:lang w:val="uk-UA"/>
              </w:rPr>
              <w:t xml:space="preserve"> потужностей </w:t>
            </w:r>
            <w:proofErr w:type="spellStart"/>
            <w:r w:rsidRPr="004868D7">
              <w:rPr>
                <w:color w:val="000000"/>
                <w:sz w:val="16"/>
                <w:szCs w:val="16"/>
                <w:lang w:val="uk-UA"/>
              </w:rPr>
              <w:t>нафтопере</w:t>
            </w:r>
            <w:proofErr w:type="spellEnd"/>
            <w:r w:rsidRPr="004868D7">
              <w:rPr>
                <w:color w:val="000000"/>
                <w:sz w:val="16"/>
                <w:szCs w:val="16"/>
                <w:lang w:val="uk-UA"/>
              </w:rPr>
              <w:t>-валки</w:t>
            </w:r>
          </w:p>
          <w:p w:rsidR="007D24AD" w:rsidRPr="004868D7" w:rsidRDefault="007D24AD" w:rsidP="00E07C2B">
            <w:pPr>
              <w:contextualSpacing/>
              <w:jc w:val="center"/>
              <w:rPr>
                <w:color w:val="000000"/>
                <w:sz w:val="16"/>
                <w:szCs w:val="16"/>
                <w:lang w:val="uk-UA"/>
              </w:rPr>
            </w:pPr>
            <w:r w:rsidRPr="004868D7">
              <w:rPr>
                <w:color w:val="000000"/>
                <w:sz w:val="16"/>
                <w:szCs w:val="16"/>
                <w:lang w:val="uk-UA"/>
              </w:rPr>
              <w:t>%</w:t>
            </w:r>
          </w:p>
        </w:tc>
        <w:tc>
          <w:tcPr>
            <w:tcW w:w="992" w:type="dxa"/>
            <w:shd w:val="clear" w:color="auto" w:fill="auto"/>
            <w:vAlign w:val="center"/>
          </w:tcPr>
          <w:p w:rsidR="007D24AD" w:rsidRPr="004868D7" w:rsidRDefault="007D24AD" w:rsidP="00E07C2B">
            <w:pPr>
              <w:contextualSpacing/>
              <w:jc w:val="center"/>
              <w:rPr>
                <w:color w:val="000000"/>
                <w:sz w:val="16"/>
                <w:szCs w:val="16"/>
                <w:lang w:val="uk-UA"/>
              </w:rPr>
            </w:pPr>
            <w:r w:rsidRPr="004868D7">
              <w:rPr>
                <w:color w:val="000000"/>
                <w:sz w:val="16"/>
                <w:szCs w:val="16"/>
                <w:lang w:val="uk-UA"/>
              </w:rPr>
              <w:t xml:space="preserve">Обсяг перевалки </w:t>
            </w:r>
            <w:proofErr w:type="spellStart"/>
            <w:r w:rsidRPr="004868D7">
              <w:rPr>
                <w:color w:val="000000"/>
                <w:sz w:val="16"/>
                <w:szCs w:val="16"/>
                <w:lang w:val="uk-UA"/>
              </w:rPr>
              <w:t>нафтопро-дуктів</w:t>
            </w:r>
            <w:proofErr w:type="spellEnd"/>
          </w:p>
          <w:p w:rsidR="007D24AD" w:rsidRPr="004868D7" w:rsidRDefault="007D24AD" w:rsidP="00E07C2B">
            <w:pPr>
              <w:contextualSpacing/>
              <w:jc w:val="center"/>
              <w:rPr>
                <w:color w:val="000000"/>
                <w:sz w:val="16"/>
                <w:szCs w:val="16"/>
              </w:rPr>
            </w:pPr>
            <w:r w:rsidRPr="004868D7">
              <w:rPr>
                <w:bCs/>
                <w:color w:val="000000"/>
                <w:sz w:val="16"/>
                <w:szCs w:val="16"/>
                <w:lang w:val="uk-UA"/>
              </w:rPr>
              <w:t>(тис. тонн)</w:t>
            </w:r>
          </w:p>
        </w:tc>
        <w:tc>
          <w:tcPr>
            <w:tcW w:w="1134" w:type="dxa"/>
            <w:shd w:val="clear" w:color="auto" w:fill="auto"/>
            <w:vAlign w:val="center"/>
          </w:tcPr>
          <w:p w:rsidR="007D24AD" w:rsidRPr="004868D7" w:rsidRDefault="007D24AD" w:rsidP="00E07C2B">
            <w:pPr>
              <w:contextualSpacing/>
              <w:jc w:val="center"/>
              <w:rPr>
                <w:color w:val="000000"/>
                <w:sz w:val="16"/>
                <w:szCs w:val="16"/>
                <w:lang w:val="uk-UA"/>
              </w:rPr>
            </w:pPr>
            <w:proofErr w:type="spellStart"/>
            <w:r w:rsidRPr="004868D7">
              <w:rPr>
                <w:color w:val="000000"/>
                <w:sz w:val="16"/>
                <w:szCs w:val="16"/>
                <w:lang w:val="uk-UA"/>
              </w:rPr>
              <w:t>Вакантність</w:t>
            </w:r>
            <w:proofErr w:type="spellEnd"/>
            <w:r w:rsidRPr="004868D7">
              <w:rPr>
                <w:color w:val="000000"/>
                <w:sz w:val="16"/>
                <w:szCs w:val="16"/>
                <w:lang w:val="uk-UA"/>
              </w:rPr>
              <w:t xml:space="preserve"> потужностей </w:t>
            </w:r>
            <w:proofErr w:type="spellStart"/>
            <w:r w:rsidRPr="004868D7">
              <w:rPr>
                <w:color w:val="000000"/>
                <w:sz w:val="16"/>
                <w:szCs w:val="16"/>
                <w:lang w:val="uk-UA"/>
              </w:rPr>
              <w:t>нафтопере</w:t>
            </w:r>
            <w:proofErr w:type="spellEnd"/>
            <w:r w:rsidRPr="004868D7">
              <w:rPr>
                <w:color w:val="000000"/>
                <w:sz w:val="16"/>
                <w:szCs w:val="16"/>
                <w:lang w:val="uk-UA"/>
              </w:rPr>
              <w:t>-валки</w:t>
            </w:r>
          </w:p>
          <w:p w:rsidR="007D24AD" w:rsidRPr="004868D7" w:rsidRDefault="007D24AD" w:rsidP="00E07C2B">
            <w:pPr>
              <w:contextualSpacing/>
              <w:jc w:val="center"/>
              <w:rPr>
                <w:color w:val="000000"/>
                <w:sz w:val="16"/>
                <w:szCs w:val="16"/>
              </w:rPr>
            </w:pPr>
            <w:r w:rsidRPr="004868D7">
              <w:rPr>
                <w:color w:val="000000"/>
                <w:sz w:val="16"/>
                <w:szCs w:val="16"/>
                <w:lang w:val="uk-UA"/>
              </w:rPr>
              <w:t>%</w:t>
            </w:r>
          </w:p>
        </w:tc>
        <w:tc>
          <w:tcPr>
            <w:tcW w:w="992" w:type="dxa"/>
            <w:shd w:val="clear" w:color="auto" w:fill="auto"/>
            <w:vAlign w:val="center"/>
          </w:tcPr>
          <w:p w:rsidR="007D24AD" w:rsidRPr="004868D7" w:rsidRDefault="007D24AD" w:rsidP="00E07C2B">
            <w:pPr>
              <w:contextualSpacing/>
              <w:jc w:val="center"/>
              <w:rPr>
                <w:color w:val="000000"/>
                <w:sz w:val="16"/>
                <w:szCs w:val="16"/>
                <w:lang w:val="uk-UA"/>
              </w:rPr>
            </w:pPr>
            <w:r w:rsidRPr="004868D7">
              <w:rPr>
                <w:color w:val="000000"/>
                <w:sz w:val="16"/>
                <w:szCs w:val="16"/>
                <w:lang w:val="uk-UA"/>
              </w:rPr>
              <w:t xml:space="preserve">Обсяг перевалки </w:t>
            </w:r>
            <w:proofErr w:type="spellStart"/>
            <w:r w:rsidRPr="004868D7">
              <w:rPr>
                <w:color w:val="000000"/>
                <w:sz w:val="16"/>
                <w:szCs w:val="16"/>
                <w:lang w:val="uk-UA"/>
              </w:rPr>
              <w:t>нафтопро-дуктів</w:t>
            </w:r>
            <w:proofErr w:type="spellEnd"/>
          </w:p>
          <w:p w:rsidR="007D24AD" w:rsidRPr="004868D7" w:rsidRDefault="007D24AD" w:rsidP="00E07C2B">
            <w:pPr>
              <w:contextualSpacing/>
              <w:jc w:val="center"/>
              <w:rPr>
                <w:color w:val="000000"/>
                <w:sz w:val="16"/>
                <w:szCs w:val="16"/>
              </w:rPr>
            </w:pPr>
            <w:r w:rsidRPr="004868D7">
              <w:rPr>
                <w:bCs/>
                <w:color w:val="000000"/>
                <w:sz w:val="16"/>
                <w:szCs w:val="16"/>
                <w:lang w:val="uk-UA"/>
              </w:rPr>
              <w:t>(тис. тонн)</w:t>
            </w:r>
          </w:p>
        </w:tc>
        <w:tc>
          <w:tcPr>
            <w:tcW w:w="1134" w:type="dxa"/>
            <w:shd w:val="clear" w:color="auto" w:fill="auto"/>
            <w:vAlign w:val="center"/>
          </w:tcPr>
          <w:p w:rsidR="007D24AD" w:rsidRPr="004868D7" w:rsidRDefault="007D24AD" w:rsidP="00E07C2B">
            <w:pPr>
              <w:contextualSpacing/>
              <w:jc w:val="center"/>
              <w:rPr>
                <w:color w:val="000000"/>
                <w:sz w:val="16"/>
                <w:szCs w:val="16"/>
                <w:lang w:val="uk-UA"/>
              </w:rPr>
            </w:pPr>
            <w:proofErr w:type="spellStart"/>
            <w:r w:rsidRPr="004868D7">
              <w:rPr>
                <w:color w:val="000000"/>
                <w:sz w:val="16"/>
                <w:szCs w:val="16"/>
                <w:lang w:val="uk-UA"/>
              </w:rPr>
              <w:t>Вакантність</w:t>
            </w:r>
            <w:proofErr w:type="spellEnd"/>
            <w:r w:rsidRPr="004868D7">
              <w:rPr>
                <w:color w:val="000000"/>
                <w:sz w:val="16"/>
                <w:szCs w:val="16"/>
                <w:lang w:val="uk-UA"/>
              </w:rPr>
              <w:t xml:space="preserve"> потужностей </w:t>
            </w:r>
            <w:proofErr w:type="spellStart"/>
            <w:r w:rsidRPr="004868D7">
              <w:rPr>
                <w:color w:val="000000"/>
                <w:sz w:val="16"/>
                <w:szCs w:val="16"/>
                <w:lang w:val="uk-UA"/>
              </w:rPr>
              <w:t>нафтопере</w:t>
            </w:r>
            <w:proofErr w:type="spellEnd"/>
            <w:r w:rsidRPr="004868D7">
              <w:rPr>
                <w:color w:val="000000"/>
                <w:sz w:val="16"/>
                <w:szCs w:val="16"/>
                <w:lang w:val="uk-UA"/>
              </w:rPr>
              <w:t>-валки</w:t>
            </w:r>
          </w:p>
          <w:p w:rsidR="007D24AD" w:rsidRPr="004868D7" w:rsidRDefault="007D24AD" w:rsidP="00E07C2B">
            <w:pPr>
              <w:contextualSpacing/>
              <w:jc w:val="center"/>
              <w:rPr>
                <w:color w:val="000000"/>
                <w:sz w:val="16"/>
                <w:szCs w:val="16"/>
              </w:rPr>
            </w:pPr>
            <w:r w:rsidRPr="004868D7">
              <w:rPr>
                <w:color w:val="000000"/>
                <w:sz w:val="16"/>
                <w:szCs w:val="16"/>
                <w:lang w:val="uk-UA"/>
              </w:rPr>
              <w:t>%</w:t>
            </w:r>
          </w:p>
        </w:tc>
      </w:tr>
      <w:tr w:rsidR="007D24AD" w:rsidRPr="00E07C2B" w:rsidTr="007C09E5">
        <w:trPr>
          <w:trHeight w:val="58"/>
        </w:trPr>
        <w:tc>
          <w:tcPr>
            <w:tcW w:w="1134" w:type="dxa"/>
            <w:shd w:val="clear" w:color="auto" w:fill="auto"/>
            <w:vAlign w:val="center"/>
          </w:tcPr>
          <w:p w:rsidR="007D24AD" w:rsidRPr="00E07C2B" w:rsidRDefault="007D24AD" w:rsidP="00E07C2B">
            <w:pPr>
              <w:contextualSpacing/>
              <w:jc w:val="both"/>
              <w:rPr>
                <w:color w:val="000000"/>
                <w:sz w:val="16"/>
                <w:szCs w:val="16"/>
              </w:rPr>
            </w:pPr>
            <w:r w:rsidRPr="00E07C2B">
              <w:rPr>
                <w:color w:val="000000"/>
                <w:sz w:val="16"/>
                <w:szCs w:val="16"/>
                <w:lang w:val="uk-UA"/>
              </w:rPr>
              <w:t>Морський порт Ізмаїл</w:t>
            </w:r>
          </w:p>
        </w:tc>
        <w:tc>
          <w:tcPr>
            <w:tcW w:w="1418" w:type="dxa"/>
            <w:shd w:val="clear" w:color="auto" w:fill="auto"/>
            <w:vAlign w:val="center"/>
          </w:tcPr>
          <w:p w:rsidR="007D24AD" w:rsidRPr="004868D7" w:rsidRDefault="007D24AD" w:rsidP="00E07C2B">
            <w:pPr>
              <w:contextualSpacing/>
              <w:jc w:val="right"/>
              <w:rPr>
                <w:color w:val="000000"/>
                <w:sz w:val="20"/>
                <w:szCs w:val="20"/>
              </w:rPr>
            </w:pPr>
            <w:r w:rsidRPr="004868D7">
              <w:rPr>
                <w:color w:val="000000"/>
                <w:sz w:val="20"/>
                <w:szCs w:val="20"/>
              </w:rPr>
              <w:t>420</w:t>
            </w:r>
          </w:p>
        </w:tc>
        <w:tc>
          <w:tcPr>
            <w:tcW w:w="992" w:type="dxa"/>
            <w:shd w:val="clear" w:color="auto" w:fill="auto"/>
            <w:vAlign w:val="center"/>
          </w:tcPr>
          <w:p w:rsidR="007D24AD" w:rsidRPr="004868D7" w:rsidRDefault="007D24AD" w:rsidP="00E07C2B">
            <w:pPr>
              <w:contextualSpacing/>
              <w:jc w:val="right"/>
              <w:rPr>
                <w:color w:val="000000"/>
                <w:sz w:val="20"/>
                <w:szCs w:val="20"/>
              </w:rPr>
            </w:pPr>
            <w:r w:rsidRPr="004868D7">
              <w:rPr>
                <w:color w:val="000000"/>
                <w:sz w:val="20"/>
                <w:szCs w:val="20"/>
                <w:lang w:val="uk-UA"/>
              </w:rPr>
              <w:t>17,85</w:t>
            </w:r>
          </w:p>
        </w:tc>
        <w:tc>
          <w:tcPr>
            <w:tcW w:w="1134" w:type="dxa"/>
            <w:shd w:val="clear" w:color="auto" w:fill="auto"/>
            <w:vAlign w:val="center"/>
          </w:tcPr>
          <w:p w:rsidR="007D24AD" w:rsidRPr="004868D7" w:rsidRDefault="007D24AD" w:rsidP="00E07C2B">
            <w:pPr>
              <w:contextualSpacing/>
              <w:jc w:val="center"/>
              <w:rPr>
                <w:color w:val="000000"/>
                <w:sz w:val="20"/>
                <w:szCs w:val="20"/>
              </w:rPr>
            </w:pPr>
            <w:r w:rsidRPr="004868D7">
              <w:rPr>
                <w:color w:val="000000"/>
                <w:sz w:val="20"/>
                <w:szCs w:val="20"/>
              </w:rPr>
              <w:t>95,75%</w:t>
            </w:r>
          </w:p>
        </w:tc>
        <w:tc>
          <w:tcPr>
            <w:tcW w:w="992" w:type="dxa"/>
            <w:shd w:val="clear" w:color="auto" w:fill="auto"/>
            <w:vAlign w:val="center"/>
          </w:tcPr>
          <w:p w:rsidR="007D24AD" w:rsidRPr="004868D7" w:rsidRDefault="007D24AD" w:rsidP="00E07C2B">
            <w:pPr>
              <w:contextualSpacing/>
              <w:jc w:val="right"/>
              <w:rPr>
                <w:color w:val="000000"/>
                <w:sz w:val="20"/>
                <w:szCs w:val="20"/>
              </w:rPr>
            </w:pPr>
            <w:r w:rsidRPr="004868D7">
              <w:rPr>
                <w:color w:val="000000"/>
                <w:sz w:val="20"/>
                <w:szCs w:val="20"/>
                <w:lang w:val="uk-UA"/>
              </w:rPr>
              <w:t>14,3</w:t>
            </w:r>
          </w:p>
        </w:tc>
        <w:tc>
          <w:tcPr>
            <w:tcW w:w="1134" w:type="dxa"/>
            <w:shd w:val="clear" w:color="auto" w:fill="auto"/>
            <w:vAlign w:val="center"/>
          </w:tcPr>
          <w:p w:rsidR="007D24AD" w:rsidRPr="004868D7" w:rsidRDefault="007D24AD" w:rsidP="00E07C2B">
            <w:pPr>
              <w:contextualSpacing/>
              <w:jc w:val="center"/>
              <w:rPr>
                <w:color w:val="000000"/>
                <w:sz w:val="20"/>
                <w:szCs w:val="20"/>
              </w:rPr>
            </w:pPr>
            <w:r w:rsidRPr="004868D7">
              <w:rPr>
                <w:color w:val="000000"/>
                <w:sz w:val="20"/>
                <w:szCs w:val="20"/>
              </w:rPr>
              <w:t>96,60%</w:t>
            </w:r>
          </w:p>
        </w:tc>
        <w:tc>
          <w:tcPr>
            <w:tcW w:w="992" w:type="dxa"/>
            <w:shd w:val="clear" w:color="auto" w:fill="auto"/>
            <w:vAlign w:val="center"/>
          </w:tcPr>
          <w:p w:rsidR="007D24AD" w:rsidRPr="004868D7" w:rsidRDefault="007D24AD" w:rsidP="00E07C2B">
            <w:pPr>
              <w:contextualSpacing/>
              <w:jc w:val="right"/>
              <w:rPr>
                <w:color w:val="000000"/>
                <w:sz w:val="20"/>
                <w:szCs w:val="20"/>
              </w:rPr>
            </w:pPr>
            <w:r w:rsidRPr="004868D7">
              <w:rPr>
                <w:color w:val="000000"/>
                <w:sz w:val="20"/>
                <w:szCs w:val="20"/>
                <w:lang w:val="uk-UA"/>
              </w:rPr>
              <w:t>0</w:t>
            </w:r>
          </w:p>
        </w:tc>
        <w:tc>
          <w:tcPr>
            <w:tcW w:w="1134" w:type="dxa"/>
            <w:shd w:val="clear" w:color="auto" w:fill="auto"/>
            <w:vAlign w:val="center"/>
          </w:tcPr>
          <w:p w:rsidR="007D24AD" w:rsidRPr="004868D7" w:rsidRDefault="007D24AD" w:rsidP="00E07C2B">
            <w:pPr>
              <w:contextualSpacing/>
              <w:jc w:val="center"/>
              <w:rPr>
                <w:color w:val="000000"/>
                <w:sz w:val="20"/>
                <w:szCs w:val="20"/>
              </w:rPr>
            </w:pPr>
            <w:r w:rsidRPr="004868D7">
              <w:rPr>
                <w:color w:val="000000"/>
                <w:sz w:val="20"/>
                <w:szCs w:val="20"/>
                <w:lang w:val="uk-UA"/>
              </w:rPr>
              <w:t>100,00%</w:t>
            </w:r>
          </w:p>
        </w:tc>
      </w:tr>
      <w:tr w:rsidR="007D24AD" w:rsidRPr="00E07C2B" w:rsidTr="007C09E5">
        <w:trPr>
          <w:trHeight w:val="96"/>
        </w:trPr>
        <w:tc>
          <w:tcPr>
            <w:tcW w:w="1134" w:type="dxa"/>
            <w:shd w:val="clear" w:color="auto" w:fill="auto"/>
            <w:vAlign w:val="center"/>
            <w:hideMark/>
          </w:tcPr>
          <w:p w:rsidR="007D24AD" w:rsidRPr="00E07C2B" w:rsidRDefault="007D24AD" w:rsidP="00E07C2B">
            <w:pPr>
              <w:contextualSpacing/>
              <w:jc w:val="both"/>
              <w:rPr>
                <w:color w:val="000000"/>
                <w:sz w:val="16"/>
                <w:szCs w:val="16"/>
              </w:rPr>
            </w:pPr>
            <w:r w:rsidRPr="00E07C2B">
              <w:rPr>
                <w:color w:val="000000"/>
                <w:sz w:val="16"/>
                <w:szCs w:val="16"/>
                <w:lang w:val="uk-UA"/>
              </w:rPr>
              <w:t>Морський порт Миколаїв</w:t>
            </w:r>
          </w:p>
        </w:tc>
        <w:tc>
          <w:tcPr>
            <w:tcW w:w="1418" w:type="dxa"/>
            <w:shd w:val="clear" w:color="auto" w:fill="auto"/>
            <w:vAlign w:val="center"/>
            <w:hideMark/>
          </w:tcPr>
          <w:p w:rsidR="007D24AD" w:rsidRPr="004868D7" w:rsidRDefault="007D24AD" w:rsidP="00E07C2B">
            <w:pPr>
              <w:contextualSpacing/>
              <w:jc w:val="right"/>
              <w:rPr>
                <w:color w:val="000000"/>
                <w:sz w:val="20"/>
                <w:szCs w:val="20"/>
              </w:rPr>
            </w:pPr>
            <w:r w:rsidRPr="004868D7">
              <w:rPr>
                <w:color w:val="000000"/>
                <w:sz w:val="20"/>
                <w:szCs w:val="20"/>
              </w:rPr>
              <w:t>2 000,00</w:t>
            </w:r>
          </w:p>
        </w:tc>
        <w:tc>
          <w:tcPr>
            <w:tcW w:w="992" w:type="dxa"/>
            <w:shd w:val="clear" w:color="auto" w:fill="auto"/>
            <w:vAlign w:val="center"/>
            <w:hideMark/>
          </w:tcPr>
          <w:p w:rsidR="007D24AD" w:rsidRPr="004868D7" w:rsidRDefault="007D24AD" w:rsidP="00E07C2B">
            <w:pPr>
              <w:contextualSpacing/>
              <w:jc w:val="right"/>
              <w:rPr>
                <w:color w:val="000000"/>
                <w:sz w:val="20"/>
                <w:szCs w:val="20"/>
              </w:rPr>
            </w:pPr>
            <w:r w:rsidRPr="004868D7">
              <w:rPr>
                <w:color w:val="000000"/>
                <w:sz w:val="20"/>
                <w:szCs w:val="20"/>
                <w:lang w:val="uk-UA"/>
              </w:rPr>
              <w:t>401,22</w:t>
            </w:r>
          </w:p>
        </w:tc>
        <w:tc>
          <w:tcPr>
            <w:tcW w:w="1134" w:type="dxa"/>
            <w:shd w:val="clear" w:color="auto" w:fill="auto"/>
            <w:vAlign w:val="center"/>
            <w:hideMark/>
          </w:tcPr>
          <w:p w:rsidR="007D24AD" w:rsidRPr="004868D7" w:rsidRDefault="007D24AD" w:rsidP="00E07C2B">
            <w:pPr>
              <w:contextualSpacing/>
              <w:jc w:val="center"/>
              <w:rPr>
                <w:color w:val="000000"/>
                <w:sz w:val="20"/>
                <w:szCs w:val="20"/>
              </w:rPr>
            </w:pPr>
            <w:r w:rsidRPr="004868D7">
              <w:rPr>
                <w:color w:val="000000"/>
                <w:sz w:val="20"/>
                <w:szCs w:val="20"/>
              </w:rPr>
              <w:t>79,94%</w:t>
            </w:r>
          </w:p>
        </w:tc>
        <w:tc>
          <w:tcPr>
            <w:tcW w:w="992" w:type="dxa"/>
            <w:shd w:val="clear" w:color="auto" w:fill="auto"/>
            <w:vAlign w:val="center"/>
            <w:hideMark/>
          </w:tcPr>
          <w:p w:rsidR="007D24AD" w:rsidRPr="004868D7" w:rsidRDefault="007D24AD" w:rsidP="00E07C2B">
            <w:pPr>
              <w:contextualSpacing/>
              <w:jc w:val="right"/>
              <w:rPr>
                <w:color w:val="000000"/>
                <w:sz w:val="20"/>
                <w:szCs w:val="20"/>
              </w:rPr>
            </w:pPr>
            <w:r w:rsidRPr="004868D7">
              <w:rPr>
                <w:color w:val="000000"/>
                <w:sz w:val="20"/>
                <w:szCs w:val="20"/>
                <w:lang w:val="uk-UA"/>
              </w:rPr>
              <w:t>151,51</w:t>
            </w:r>
          </w:p>
        </w:tc>
        <w:tc>
          <w:tcPr>
            <w:tcW w:w="1134" w:type="dxa"/>
            <w:shd w:val="clear" w:color="auto" w:fill="auto"/>
            <w:vAlign w:val="center"/>
            <w:hideMark/>
          </w:tcPr>
          <w:p w:rsidR="007D24AD" w:rsidRPr="004868D7" w:rsidRDefault="007D24AD" w:rsidP="00E07C2B">
            <w:pPr>
              <w:contextualSpacing/>
              <w:jc w:val="center"/>
              <w:rPr>
                <w:color w:val="000000"/>
                <w:sz w:val="20"/>
                <w:szCs w:val="20"/>
              </w:rPr>
            </w:pPr>
            <w:r w:rsidRPr="004868D7">
              <w:rPr>
                <w:color w:val="000000"/>
                <w:sz w:val="20"/>
                <w:szCs w:val="20"/>
              </w:rPr>
              <w:t>92,42%</w:t>
            </w:r>
          </w:p>
        </w:tc>
        <w:tc>
          <w:tcPr>
            <w:tcW w:w="992" w:type="dxa"/>
            <w:shd w:val="clear" w:color="auto" w:fill="auto"/>
            <w:vAlign w:val="center"/>
            <w:hideMark/>
          </w:tcPr>
          <w:p w:rsidR="007D24AD" w:rsidRPr="004868D7" w:rsidRDefault="007D24AD" w:rsidP="00E07C2B">
            <w:pPr>
              <w:contextualSpacing/>
              <w:jc w:val="right"/>
              <w:rPr>
                <w:color w:val="000000"/>
                <w:sz w:val="20"/>
                <w:szCs w:val="20"/>
              </w:rPr>
            </w:pPr>
            <w:r w:rsidRPr="004868D7">
              <w:rPr>
                <w:color w:val="000000"/>
                <w:sz w:val="20"/>
                <w:szCs w:val="20"/>
                <w:lang w:val="uk-UA"/>
              </w:rPr>
              <w:t>70,05</w:t>
            </w:r>
          </w:p>
        </w:tc>
        <w:tc>
          <w:tcPr>
            <w:tcW w:w="1134" w:type="dxa"/>
            <w:shd w:val="clear" w:color="auto" w:fill="auto"/>
            <w:vAlign w:val="center"/>
            <w:hideMark/>
          </w:tcPr>
          <w:p w:rsidR="007D24AD" w:rsidRPr="004868D7" w:rsidRDefault="007D24AD" w:rsidP="00E07C2B">
            <w:pPr>
              <w:contextualSpacing/>
              <w:jc w:val="center"/>
              <w:rPr>
                <w:color w:val="000000"/>
                <w:sz w:val="20"/>
                <w:szCs w:val="20"/>
              </w:rPr>
            </w:pPr>
            <w:r w:rsidRPr="004868D7">
              <w:rPr>
                <w:color w:val="000000"/>
                <w:sz w:val="20"/>
                <w:szCs w:val="20"/>
              </w:rPr>
              <w:t>96,50%</w:t>
            </w:r>
          </w:p>
        </w:tc>
      </w:tr>
      <w:tr w:rsidR="007D24AD" w:rsidRPr="00E07C2B" w:rsidTr="007C09E5">
        <w:trPr>
          <w:trHeight w:val="58"/>
        </w:trPr>
        <w:tc>
          <w:tcPr>
            <w:tcW w:w="1134" w:type="dxa"/>
            <w:shd w:val="clear" w:color="auto" w:fill="auto"/>
            <w:vAlign w:val="center"/>
            <w:hideMark/>
          </w:tcPr>
          <w:p w:rsidR="007D24AD" w:rsidRPr="00E07C2B" w:rsidRDefault="007D24AD" w:rsidP="00E07C2B">
            <w:pPr>
              <w:contextualSpacing/>
              <w:jc w:val="both"/>
              <w:rPr>
                <w:color w:val="000000"/>
                <w:sz w:val="16"/>
                <w:szCs w:val="16"/>
              </w:rPr>
            </w:pPr>
            <w:r w:rsidRPr="00E07C2B">
              <w:rPr>
                <w:color w:val="000000"/>
                <w:sz w:val="16"/>
                <w:szCs w:val="16"/>
                <w:lang w:val="uk-UA"/>
              </w:rPr>
              <w:t>Морський порт Одеса</w:t>
            </w:r>
          </w:p>
        </w:tc>
        <w:tc>
          <w:tcPr>
            <w:tcW w:w="1418" w:type="dxa"/>
            <w:shd w:val="clear" w:color="auto" w:fill="auto"/>
            <w:noWrap/>
            <w:vAlign w:val="center"/>
            <w:hideMark/>
          </w:tcPr>
          <w:p w:rsidR="007D24AD" w:rsidRPr="004868D7" w:rsidRDefault="007D24AD" w:rsidP="00E07C2B">
            <w:pPr>
              <w:contextualSpacing/>
              <w:jc w:val="right"/>
              <w:rPr>
                <w:color w:val="000000"/>
                <w:sz w:val="20"/>
                <w:szCs w:val="20"/>
              </w:rPr>
            </w:pPr>
            <w:r w:rsidRPr="004868D7">
              <w:rPr>
                <w:color w:val="000000"/>
                <w:sz w:val="20"/>
                <w:szCs w:val="20"/>
              </w:rPr>
              <w:t>26 580,00</w:t>
            </w:r>
          </w:p>
        </w:tc>
        <w:tc>
          <w:tcPr>
            <w:tcW w:w="992" w:type="dxa"/>
            <w:shd w:val="clear" w:color="auto" w:fill="auto"/>
            <w:vAlign w:val="center"/>
            <w:hideMark/>
          </w:tcPr>
          <w:p w:rsidR="007D24AD" w:rsidRPr="004868D7" w:rsidRDefault="007D24AD" w:rsidP="00E07C2B">
            <w:pPr>
              <w:contextualSpacing/>
              <w:jc w:val="right"/>
              <w:rPr>
                <w:color w:val="000000"/>
                <w:sz w:val="20"/>
                <w:szCs w:val="20"/>
              </w:rPr>
            </w:pPr>
            <w:r w:rsidRPr="004868D7">
              <w:rPr>
                <w:color w:val="000000"/>
                <w:sz w:val="20"/>
                <w:szCs w:val="20"/>
                <w:lang w:val="uk-UA"/>
              </w:rPr>
              <w:t>360,26</w:t>
            </w:r>
          </w:p>
        </w:tc>
        <w:tc>
          <w:tcPr>
            <w:tcW w:w="1134" w:type="dxa"/>
            <w:shd w:val="clear" w:color="auto" w:fill="auto"/>
            <w:vAlign w:val="center"/>
            <w:hideMark/>
          </w:tcPr>
          <w:p w:rsidR="007D24AD" w:rsidRPr="004868D7" w:rsidRDefault="007D24AD" w:rsidP="00E07C2B">
            <w:pPr>
              <w:contextualSpacing/>
              <w:jc w:val="center"/>
              <w:rPr>
                <w:color w:val="000000"/>
                <w:sz w:val="20"/>
                <w:szCs w:val="20"/>
              </w:rPr>
            </w:pPr>
            <w:r w:rsidRPr="004868D7">
              <w:rPr>
                <w:color w:val="000000"/>
                <w:sz w:val="20"/>
                <w:szCs w:val="20"/>
              </w:rPr>
              <w:t>98,64%</w:t>
            </w:r>
          </w:p>
        </w:tc>
        <w:tc>
          <w:tcPr>
            <w:tcW w:w="992" w:type="dxa"/>
            <w:shd w:val="clear" w:color="auto" w:fill="auto"/>
            <w:vAlign w:val="center"/>
            <w:hideMark/>
          </w:tcPr>
          <w:p w:rsidR="007D24AD" w:rsidRPr="004868D7" w:rsidRDefault="007D24AD" w:rsidP="00E07C2B">
            <w:pPr>
              <w:contextualSpacing/>
              <w:jc w:val="right"/>
              <w:rPr>
                <w:color w:val="000000"/>
                <w:sz w:val="20"/>
                <w:szCs w:val="20"/>
              </w:rPr>
            </w:pPr>
            <w:r w:rsidRPr="004868D7">
              <w:rPr>
                <w:color w:val="000000"/>
                <w:sz w:val="20"/>
                <w:szCs w:val="20"/>
                <w:lang w:val="uk-UA"/>
              </w:rPr>
              <w:t>559,53</w:t>
            </w:r>
          </w:p>
        </w:tc>
        <w:tc>
          <w:tcPr>
            <w:tcW w:w="1134" w:type="dxa"/>
            <w:shd w:val="clear" w:color="auto" w:fill="auto"/>
            <w:vAlign w:val="center"/>
            <w:hideMark/>
          </w:tcPr>
          <w:p w:rsidR="007D24AD" w:rsidRPr="004868D7" w:rsidRDefault="007D24AD" w:rsidP="00E07C2B">
            <w:pPr>
              <w:contextualSpacing/>
              <w:jc w:val="center"/>
              <w:rPr>
                <w:color w:val="000000"/>
                <w:sz w:val="20"/>
                <w:szCs w:val="20"/>
              </w:rPr>
            </w:pPr>
            <w:r w:rsidRPr="004868D7">
              <w:rPr>
                <w:color w:val="000000"/>
                <w:sz w:val="20"/>
                <w:szCs w:val="20"/>
              </w:rPr>
              <w:t>97,89%</w:t>
            </w:r>
          </w:p>
        </w:tc>
        <w:tc>
          <w:tcPr>
            <w:tcW w:w="992" w:type="dxa"/>
            <w:shd w:val="clear" w:color="auto" w:fill="auto"/>
            <w:vAlign w:val="center"/>
            <w:hideMark/>
          </w:tcPr>
          <w:p w:rsidR="007D24AD" w:rsidRPr="004868D7" w:rsidRDefault="007D24AD" w:rsidP="00E07C2B">
            <w:pPr>
              <w:contextualSpacing/>
              <w:jc w:val="right"/>
              <w:rPr>
                <w:color w:val="000000"/>
                <w:sz w:val="20"/>
                <w:szCs w:val="20"/>
              </w:rPr>
            </w:pPr>
            <w:r w:rsidRPr="004868D7">
              <w:rPr>
                <w:color w:val="000000"/>
                <w:sz w:val="20"/>
                <w:szCs w:val="20"/>
                <w:lang w:val="uk-UA"/>
              </w:rPr>
              <w:t>115,11</w:t>
            </w:r>
          </w:p>
        </w:tc>
        <w:tc>
          <w:tcPr>
            <w:tcW w:w="1134" w:type="dxa"/>
            <w:shd w:val="clear" w:color="auto" w:fill="auto"/>
            <w:vAlign w:val="center"/>
            <w:hideMark/>
          </w:tcPr>
          <w:p w:rsidR="007D24AD" w:rsidRPr="004868D7" w:rsidRDefault="007D24AD" w:rsidP="00E07C2B">
            <w:pPr>
              <w:contextualSpacing/>
              <w:jc w:val="center"/>
              <w:rPr>
                <w:color w:val="000000"/>
                <w:sz w:val="20"/>
                <w:szCs w:val="20"/>
              </w:rPr>
            </w:pPr>
            <w:r w:rsidRPr="004868D7">
              <w:rPr>
                <w:color w:val="000000"/>
                <w:sz w:val="20"/>
                <w:szCs w:val="20"/>
              </w:rPr>
              <w:t>99,57%</w:t>
            </w:r>
          </w:p>
        </w:tc>
      </w:tr>
      <w:tr w:rsidR="007D24AD" w:rsidRPr="00E07C2B" w:rsidTr="007C09E5">
        <w:trPr>
          <w:trHeight w:val="58"/>
        </w:trPr>
        <w:tc>
          <w:tcPr>
            <w:tcW w:w="1134" w:type="dxa"/>
            <w:shd w:val="clear" w:color="auto" w:fill="auto"/>
            <w:vAlign w:val="center"/>
            <w:hideMark/>
          </w:tcPr>
          <w:p w:rsidR="007D24AD" w:rsidRPr="00E07C2B" w:rsidRDefault="007D24AD" w:rsidP="00E07C2B">
            <w:pPr>
              <w:contextualSpacing/>
              <w:jc w:val="both"/>
              <w:rPr>
                <w:color w:val="000000"/>
                <w:sz w:val="16"/>
                <w:szCs w:val="16"/>
              </w:rPr>
            </w:pPr>
            <w:r w:rsidRPr="00E07C2B">
              <w:rPr>
                <w:color w:val="000000"/>
                <w:sz w:val="16"/>
                <w:szCs w:val="16"/>
                <w:lang w:val="uk-UA"/>
              </w:rPr>
              <w:t>Морський порт «Південний»</w:t>
            </w:r>
          </w:p>
        </w:tc>
        <w:tc>
          <w:tcPr>
            <w:tcW w:w="1418" w:type="dxa"/>
            <w:shd w:val="clear" w:color="auto" w:fill="auto"/>
            <w:vAlign w:val="center"/>
            <w:hideMark/>
          </w:tcPr>
          <w:p w:rsidR="007D24AD" w:rsidRPr="004868D7" w:rsidRDefault="007D24AD" w:rsidP="00E07C2B">
            <w:pPr>
              <w:contextualSpacing/>
              <w:jc w:val="right"/>
              <w:rPr>
                <w:color w:val="000000"/>
                <w:sz w:val="20"/>
                <w:szCs w:val="20"/>
              </w:rPr>
            </w:pPr>
            <w:r w:rsidRPr="004868D7">
              <w:rPr>
                <w:color w:val="000000"/>
                <w:sz w:val="20"/>
                <w:szCs w:val="20"/>
              </w:rPr>
              <w:t>15 700,00</w:t>
            </w:r>
          </w:p>
        </w:tc>
        <w:tc>
          <w:tcPr>
            <w:tcW w:w="992" w:type="dxa"/>
            <w:shd w:val="clear" w:color="auto" w:fill="auto"/>
            <w:vAlign w:val="center"/>
            <w:hideMark/>
          </w:tcPr>
          <w:p w:rsidR="007D24AD" w:rsidRPr="004868D7" w:rsidRDefault="007D24AD" w:rsidP="00E07C2B">
            <w:pPr>
              <w:contextualSpacing/>
              <w:jc w:val="right"/>
              <w:rPr>
                <w:color w:val="000000"/>
                <w:sz w:val="20"/>
                <w:szCs w:val="20"/>
              </w:rPr>
            </w:pPr>
            <w:r w:rsidRPr="004868D7">
              <w:rPr>
                <w:color w:val="000000"/>
                <w:sz w:val="20"/>
                <w:szCs w:val="20"/>
                <w:lang w:val="uk-UA"/>
              </w:rPr>
              <w:t>298,91</w:t>
            </w:r>
          </w:p>
        </w:tc>
        <w:tc>
          <w:tcPr>
            <w:tcW w:w="1134" w:type="dxa"/>
            <w:shd w:val="clear" w:color="auto" w:fill="auto"/>
            <w:vAlign w:val="center"/>
            <w:hideMark/>
          </w:tcPr>
          <w:p w:rsidR="007D24AD" w:rsidRPr="004868D7" w:rsidRDefault="007D24AD" w:rsidP="00E07C2B">
            <w:pPr>
              <w:contextualSpacing/>
              <w:jc w:val="center"/>
              <w:rPr>
                <w:color w:val="000000"/>
                <w:sz w:val="20"/>
                <w:szCs w:val="20"/>
              </w:rPr>
            </w:pPr>
            <w:r w:rsidRPr="004868D7">
              <w:rPr>
                <w:color w:val="000000"/>
                <w:sz w:val="20"/>
                <w:szCs w:val="20"/>
              </w:rPr>
              <w:t>98,10%</w:t>
            </w:r>
          </w:p>
        </w:tc>
        <w:tc>
          <w:tcPr>
            <w:tcW w:w="992" w:type="dxa"/>
            <w:shd w:val="clear" w:color="auto" w:fill="auto"/>
            <w:vAlign w:val="center"/>
            <w:hideMark/>
          </w:tcPr>
          <w:p w:rsidR="007D24AD" w:rsidRPr="004868D7" w:rsidRDefault="007D24AD" w:rsidP="00E07C2B">
            <w:pPr>
              <w:contextualSpacing/>
              <w:jc w:val="right"/>
              <w:rPr>
                <w:color w:val="000000"/>
                <w:sz w:val="20"/>
                <w:szCs w:val="20"/>
              </w:rPr>
            </w:pPr>
            <w:r w:rsidRPr="004868D7">
              <w:rPr>
                <w:color w:val="000000"/>
                <w:sz w:val="20"/>
                <w:szCs w:val="20"/>
                <w:lang w:val="uk-UA"/>
              </w:rPr>
              <w:t>231,73</w:t>
            </w:r>
          </w:p>
        </w:tc>
        <w:tc>
          <w:tcPr>
            <w:tcW w:w="1134" w:type="dxa"/>
            <w:shd w:val="clear" w:color="auto" w:fill="auto"/>
            <w:vAlign w:val="center"/>
            <w:hideMark/>
          </w:tcPr>
          <w:p w:rsidR="007D24AD" w:rsidRPr="004868D7" w:rsidRDefault="007D24AD" w:rsidP="00E07C2B">
            <w:pPr>
              <w:contextualSpacing/>
              <w:jc w:val="center"/>
              <w:rPr>
                <w:color w:val="000000"/>
                <w:sz w:val="20"/>
                <w:szCs w:val="20"/>
              </w:rPr>
            </w:pPr>
            <w:r w:rsidRPr="004868D7">
              <w:rPr>
                <w:color w:val="000000"/>
                <w:sz w:val="20"/>
                <w:szCs w:val="20"/>
              </w:rPr>
              <w:t>98,52%</w:t>
            </w:r>
          </w:p>
        </w:tc>
        <w:tc>
          <w:tcPr>
            <w:tcW w:w="992" w:type="dxa"/>
            <w:shd w:val="clear" w:color="auto" w:fill="auto"/>
            <w:vAlign w:val="center"/>
            <w:hideMark/>
          </w:tcPr>
          <w:p w:rsidR="007D24AD" w:rsidRPr="004868D7" w:rsidRDefault="007D24AD" w:rsidP="00E07C2B">
            <w:pPr>
              <w:contextualSpacing/>
              <w:jc w:val="right"/>
              <w:rPr>
                <w:color w:val="000000"/>
                <w:sz w:val="20"/>
                <w:szCs w:val="20"/>
              </w:rPr>
            </w:pPr>
            <w:r w:rsidRPr="004868D7">
              <w:rPr>
                <w:color w:val="000000"/>
                <w:sz w:val="20"/>
                <w:szCs w:val="20"/>
                <w:lang w:val="uk-UA"/>
              </w:rPr>
              <w:t>60,02</w:t>
            </w:r>
          </w:p>
        </w:tc>
        <w:tc>
          <w:tcPr>
            <w:tcW w:w="1134" w:type="dxa"/>
            <w:shd w:val="clear" w:color="auto" w:fill="auto"/>
            <w:vAlign w:val="center"/>
            <w:hideMark/>
          </w:tcPr>
          <w:p w:rsidR="007D24AD" w:rsidRPr="004868D7" w:rsidRDefault="007D24AD" w:rsidP="00E07C2B">
            <w:pPr>
              <w:contextualSpacing/>
              <w:jc w:val="center"/>
              <w:rPr>
                <w:color w:val="000000"/>
                <w:sz w:val="20"/>
                <w:szCs w:val="20"/>
              </w:rPr>
            </w:pPr>
            <w:r w:rsidRPr="004868D7">
              <w:rPr>
                <w:color w:val="000000"/>
                <w:sz w:val="20"/>
                <w:szCs w:val="20"/>
              </w:rPr>
              <w:t>99,62%</w:t>
            </w:r>
          </w:p>
        </w:tc>
      </w:tr>
      <w:tr w:rsidR="007D24AD" w:rsidRPr="00E07C2B" w:rsidTr="007C09E5">
        <w:trPr>
          <w:trHeight w:val="58"/>
        </w:trPr>
        <w:tc>
          <w:tcPr>
            <w:tcW w:w="1134" w:type="dxa"/>
            <w:shd w:val="clear" w:color="auto" w:fill="auto"/>
            <w:vAlign w:val="center"/>
            <w:hideMark/>
          </w:tcPr>
          <w:p w:rsidR="007D24AD" w:rsidRPr="00E07C2B" w:rsidRDefault="007D24AD" w:rsidP="00E07C2B">
            <w:pPr>
              <w:contextualSpacing/>
              <w:jc w:val="both"/>
              <w:rPr>
                <w:color w:val="000000"/>
                <w:sz w:val="16"/>
                <w:szCs w:val="16"/>
              </w:rPr>
            </w:pPr>
            <w:r w:rsidRPr="00E07C2B">
              <w:rPr>
                <w:color w:val="000000"/>
                <w:sz w:val="16"/>
                <w:szCs w:val="16"/>
                <w:lang w:val="uk-UA"/>
              </w:rPr>
              <w:t>Морський порт Рені</w:t>
            </w:r>
          </w:p>
        </w:tc>
        <w:tc>
          <w:tcPr>
            <w:tcW w:w="1418" w:type="dxa"/>
            <w:shd w:val="clear" w:color="auto" w:fill="auto"/>
            <w:vAlign w:val="center"/>
            <w:hideMark/>
          </w:tcPr>
          <w:p w:rsidR="007D24AD" w:rsidRPr="004868D7" w:rsidRDefault="007D24AD" w:rsidP="00E07C2B">
            <w:pPr>
              <w:contextualSpacing/>
              <w:jc w:val="right"/>
              <w:rPr>
                <w:color w:val="000000"/>
                <w:sz w:val="20"/>
                <w:szCs w:val="20"/>
              </w:rPr>
            </w:pPr>
            <w:r w:rsidRPr="004868D7">
              <w:rPr>
                <w:color w:val="000000"/>
                <w:sz w:val="20"/>
                <w:szCs w:val="20"/>
              </w:rPr>
              <w:t>2 550,00</w:t>
            </w:r>
          </w:p>
        </w:tc>
        <w:tc>
          <w:tcPr>
            <w:tcW w:w="992" w:type="dxa"/>
            <w:shd w:val="clear" w:color="auto" w:fill="auto"/>
            <w:vAlign w:val="center"/>
            <w:hideMark/>
          </w:tcPr>
          <w:p w:rsidR="007D24AD" w:rsidRPr="004868D7" w:rsidRDefault="007D24AD" w:rsidP="00E07C2B">
            <w:pPr>
              <w:contextualSpacing/>
              <w:jc w:val="right"/>
              <w:rPr>
                <w:color w:val="000000"/>
                <w:sz w:val="20"/>
                <w:szCs w:val="20"/>
              </w:rPr>
            </w:pPr>
            <w:r w:rsidRPr="004868D7">
              <w:rPr>
                <w:color w:val="000000"/>
                <w:sz w:val="20"/>
                <w:szCs w:val="20"/>
                <w:lang w:val="uk-UA"/>
              </w:rPr>
              <w:t>19,2</w:t>
            </w:r>
          </w:p>
        </w:tc>
        <w:tc>
          <w:tcPr>
            <w:tcW w:w="1134" w:type="dxa"/>
            <w:shd w:val="clear" w:color="auto" w:fill="auto"/>
            <w:vAlign w:val="center"/>
            <w:hideMark/>
          </w:tcPr>
          <w:p w:rsidR="007D24AD" w:rsidRPr="004868D7" w:rsidRDefault="007D24AD" w:rsidP="00E07C2B">
            <w:pPr>
              <w:contextualSpacing/>
              <w:jc w:val="center"/>
              <w:rPr>
                <w:color w:val="000000"/>
                <w:sz w:val="20"/>
                <w:szCs w:val="20"/>
              </w:rPr>
            </w:pPr>
            <w:r w:rsidRPr="004868D7">
              <w:rPr>
                <w:color w:val="000000"/>
                <w:sz w:val="20"/>
                <w:szCs w:val="20"/>
              </w:rPr>
              <w:t>99,25%</w:t>
            </w:r>
          </w:p>
        </w:tc>
        <w:tc>
          <w:tcPr>
            <w:tcW w:w="992" w:type="dxa"/>
            <w:shd w:val="clear" w:color="auto" w:fill="auto"/>
            <w:vAlign w:val="center"/>
            <w:hideMark/>
          </w:tcPr>
          <w:p w:rsidR="007D24AD" w:rsidRPr="004868D7" w:rsidRDefault="007D24AD" w:rsidP="00E07C2B">
            <w:pPr>
              <w:contextualSpacing/>
              <w:jc w:val="right"/>
              <w:rPr>
                <w:color w:val="000000"/>
                <w:sz w:val="20"/>
                <w:szCs w:val="20"/>
              </w:rPr>
            </w:pPr>
            <w:r w:rsidRPr="004868D7">
              <w:rPr>
                <w:color w:val="000000"/>
                <w:sz w:val="20"/>
                <w:szCs w:val="20"/>
                <w:lang w:val="uk-UA"/>
              </w:rPr>
              <w:t>1,87</w:t>
            </w:r>
          </w:p>
        </w:tc>
        <w:tc>
          <w:tcPr>
            <w:tcW w:w="1134" w:type="dxa"/>
            <w:shd w:val="clear" w:color="auto" w:fill="auto"/>
            <w:vAlign w:val="center"/>
            <w:hideMark/>
          </w:tcPr>
          <w:p w:rsidR="007D24AD" w:rsidRPr="004868D7" w:rsidRDefault="007D24AD" w:rsidP="00E07C2B">
            <w:pPr>
              <w:contextualSpacing/>
              <w:jc w:val="center"/>
              <w:rPr>
                <w:color w:val="000000"/>
                <w:sz w:val="20"/>
                <w:szCs w:val="20"/>
              </w:rPr>
            </w:pPr>
            <w:r w:rsidRPr="004868D7">
              <w:rPr>
                <w:color w:val="000000"/>
                <w:sz w:val="20"/>
                <w:szCs w:val="20"/>
              </w:rPr>
              <w:t>99,93%</w:t>
            </w:r>
          </w:p>
        </w:tc>
        <w:tc>
          <w:tcPr>
            <w:tcW w:w="992" w:type="dxa"/>
            <w:shd w:val="clear" w:color="auto" w:fill="auto"/>
            <w:vAlign w:val="center"/>
            <w:hideMark/>
          </w:tcPr>
          <w:p w:rsidR="007D24AD" w:rsidRPr="004868D7" w:rsidRDefault="007D24AD" w:rsidP="00E07C2B">
            <w:pPr>
              <w:contextualSpacing/>
              <w:jc w:val="right"/>
              <w:rPr>
                <w:color w:val="000000"/>
                <w:sz w:val="20"/>
                <w:szCs w:val="20"/>
              </w:rPr>
            </w:pPr>
            <w:r w:rsidRPr="004868D7">
              <w:rPr>
                <w:color w:val="000000"/>
                <w:sz w:val="20"/>
                <w:szCs w:val="20"/>
                <w:lang w:val="uk-UA"/>
              </w:rPr>
              <w:t>0</w:t>
            </w:r>
          </w:p>
        </w:tc>
        <w:tc>
          <w:tcPr>
            <w:tcW w:w="1134" w:type="dxa"/>
            <w:shd w:val="clear" w:color="auto" w:fill="auto"/>
            <w:vAlign w:val="center"/>
            <w:hideMark/>
          </w:tcPr>
          <w:p w:rsidR="007D24AD" w:rsidRPr="004868D7" w:rsidRDefault="007D24AD" w:rsidP="00E07C2B">
            <w:pPr>
              <w:contextualSpacing/>
              <w:jc w:val="center"/>
              <w:rPr>
                <w:color w:val="000000"/>
                <w:sz w:val="20"/>
                <w:szCs w:val="20"/>
              </w:rPr>
            </w:pPr>
            <w:r w:rsidRPr="004868D7">
              <w:rPr>
                <w:color w:val="000000"/>
                <w:sz w:val="20"/>
                <w:szCs w:val="20"/>
              </w:rPr>
              <w:t>100,00%</w:t>
            </w:r>
          </w:p>
        </w:tc>
      </w:tr>
      <w:tr w:rsidR="007D24AD" w:rsidRPr="00E07C2B" w:rsidTr="007C09E5">
        <w:trPr>
          <w:trHeight w:val="58"/>
        </w:trPr>
        <w:tc>
          <w:tcPr>
            <w:tcW w:w="1134" w:type="dxa"/>
            <w:shd w:val="clear" w:color="auto" w:fill="auto"/>
            <w:vAlign w:val="center"/>
            <w:hideMark/>
          </w:tcPr>
          <w:p w:rsidR="007D24AD" w:rsidRPr="00E07C2B" w:rsidRDefault="007D24AD" w:rsidP="00E07C2B">
            <w:pPr>
              <w:contextualSpacing/>
              <w:jc w:val="both"/>
              <w:rPr>
                <w:color w:val="000000"/>
                <w:sz w:val="16"/>
                <w:szCs w:val="16"/>
              </w:rPr>
            </w:pPr>
            <w:r w:rsidRPr="00E07C2B">
              <w:rPr>
                <w:color w:val="000000"/>
                <w:sz w:val="16"/>
                <w:szCs w:val="16"/>
                <w:lang w:val="uk-UA"/>
              </w:rPr>
              <w:t>Морський порт Херсон</w:t>
            </w:r>
          </w:p>
        </w:tc>
        <w:tc>
          <w:tcPr>
            <w:tcW w:w="1418" w:type="dxa"/>
            <w:shd w:val="clear" w:color="auto" w:fill="auto"/>
            <w:vAlign w:val="center"/>
            <w:hideMark/>
          </w:tcPr>
          <w:p w:rsidR="007D24AD" w:rsidRPr="004868D7" w:rsidRDefault="007D24AD" w:rsidP="00E07C2B">
            <w:pPr>
              <w:contextualSpacing/>
              <w:jc w:val="right"/>
              <w:rPr>
                <w:color w:val="000000"/>
                <w:sz w:val="20"/>
                <w:szCs w:val="20"/>
              </w:rPr>
            </w:pPr>
            <w:r w:rsidRPr="004868D7">
              <w:rPr>
                <w:color w:val="000000"/>
                <w:sz w:val="20"/>
                <w:szCs w:val="20"/>
              </w:rPr>
              <w:t>350</w:t>
            </w:r>
          </w:p>
        </w:tc>
        <w:tc>
          <w:tcPr>
            <w:tcW w:w="992" w:type="dxa"/>
            <w:shd w:val="clear" w:color="auto" w:fill="auto"/>
            <w:vAlign w:val="center"/>
            <w:hideMark/>
          </w:tcPr>
          <w:p w:rsidR="007D24AD" w:rsidRPr="004868D7" w:rsidRDefault="007D24AD" w:rsidP="00E07C2B">
            <w:pPr>
              <w:contextualSpacing/>
              <w:jc w:val="right"/>
              <w:rPr>
                <w:color w:val="000000"/>
                <w:sz w:val="20"/>
                <w:szCs w:val="20"/>
              </w:rPr>
            </w:pPr>
            <w:r w:rsidRPr="004868D7">
              <w:rPr>
                <w:color w:val="000000"/>
                <w:sz w:val="20"/>
                <w:szCs w:val="20"/>
                <w:lang w:val="uk-UA"/>
              </w:rPr>
              <w:t>107,83</w:t>
            </w:r>
          </w:p>
        </w:tc>
        <w:tc>
          <w:tcPr>
            <w:tcW w:w="1134" w:type="dxa"/>
            <w:shd w:val="clear" w:color="auto" w:fill="auto"/>
            <w:vAlign w:val="center"/>
            <w:hideMark/>
          </w:tcPr>
          <w:p w:rsidR="007D24AD" w:rsidRPr="004868D7" w:rsidRDefault="007D24AD" w:rsidP="00E07C2B">
            <w:pPr>
              <w:contextualSpacing/>
              <w:jc w:val="center"/>
              <w:rPr>
                <w:color w:val="000000"/>
                <w:sz w:val="20"/>
                <w:szCs w:val="20"/>
              </w:rPr>
            </w:pPr>
            <w:r w:rsidRPr="004868D7">
              <w:rPr>
                <w:color w:val="000000"/>
                <w:sz w:val="20"/>
                <w:szCs w:val="20"/>
              </w:rPr>
              <w:t>69,19%</w:t>
            </w:r>
          </w:p>
        </w:tc>
        <w:tc>
          <w:tcPr>
            <w:tcW w:w="992" w:type="dxa"/>
            <w:shd w:val="clear" w:color="auto" w:fill="auto"/>
            <w:vAlign w:val="center"/>
            <w:hideMark/>
          </w:tcPr>
          <w:p w:rsidR="007D24AD" w:rsidRPr="004868D7" w:rsidRDefault="007D24AD" w:rsidP="00E07C2B">
            <w:pPr>
              <w:contextualSpacing/>
              <w:jc w:val="right"/>
              <w:rPr>
                <w:color w:val="000000"/>
                <w:sz w:val="20"/>
                <w:szCs w:val="20"/>
              </w:rPr>
            </w:pPr>
            <w:r w:rsidRPr="004868D7">
              <w:rPr>
                <w:color w:val="000000"/>
                <w:sz w:val="20"/>
                <w:szCs w:val="20"/>
                <w:lang w:val="uk-UA"/>
              </w:rPr>
              <w:t>154,38</w:t>
            </w:r>
          </w:p>
        </w:tc>
        <w:tc>
          <w:tcPr>
            <w:tcW w:w="1134" w:type="dxa"/>
            <w:shd w:val="clear" w:color="auto" w:fill="auto"/>
            <w:vAlign w:val="center"/>
            <w:hideMark/>
          </w:tcPr>
          <w:p w:rsidR="007D24AD" w:rsidRPr="004868D7" w:rsidRDefault="007D24AD" w:rsidP="00E07C2B">
            <w:pPr>
              <w:contextualSpacing/>
              <w:jc w:val="center"/>
              <w:rPr>
                <w:color w:val="000000"/>
                <w:sz w:val="20"/>
                <w:szCs w:val="20"/>
              </w:rPr>
            </w:pPr>
            <w:r w:rsidRPr="004868D7">
              <w:rPr>
                <w:color w:val="000000"/>
                <w:sz w:val="20"/>
                <w:szCs w:val="20"/>
              </w:rPr>
              <w:t>55,89%</w:t>
            </w:r>
          </w:p>
        </w:tc>
        <w:tc>
          <w:tcPr>
            <w:tcW w:w="992" w:type="dxa"/>
            <w:shd w:val="clear" w:color="auto" w:fill="auto"/>
            <w:vAlign w:val="center"/>
            <w:hideMark/>
          </w:tcPr>
          <w:p w:rsidR="007D24AD" w:rsidRPr="004868D7" w:rsidRDefault="007D24AD" w:rsidP="00E07C2B">
            <w:pPr>
              <w:contextualSpacing/>
              <w:jc w:val="right"/>
              <w:rPr>
                <w:color w:val="000000"/>
                <w:sz w:val="20"/>
                <w:szCs w:val="20"/>
              </w:rPr>
            </w:pPr>
            <w:r w:rsidRPr="004868D7">
              <w:rPr>
                <w:color w:val="000000"/>
                <w:sz w:val="20"/>
                <w:szCs w:val="20"/>
                <w:lang w:val="uk-UA"/>
              </w:rPr>
              <w:t>0</w:t>
            </w:r>
          </w:p>
        </w:tc>
        <w:tc>
          <w:tcPr>
            <w:tcW w:w="1134" w:type="dxa"/>
            <w:shd w:val="clear" w:color="auto" w:fill="auto"/>
            <w:vAlign w:val="center"/>
            <w:hideMark/>
          </w:tcPr>
          <w:p w:rsidR="007D24AD" w:rsidRPr="004868D7" w:rsidRDefault="007D24AD" w:rsidP="00E07C2B">
            <w:pPr>
              <w:contextualSpacing/>
              <w:jc w:val="center"/>
              <w:rPr>
                <w:color w:val="000000"/>
                <w:sz w:val="20"/>
                <w:szCs w:val="20"/>
              </w:rPr>
            </w:pPr>
            <w:r w:rsidRPr="004868D7">
              <w:rPr>
                <w:color w:val="000000"/>
                <w:sz w:val="20"/>
                <w:szCs w:val="20"/>
              </w:rPr>
              <w:t>100,00%</w:t>
            </w:r>
          </w:p>
        </w:tc>
      </w:tr>
      <w:tr w:rsidR="007D24AD" w:rsidRPr="00E07C2B" w:rsidTr="007C09E5">
        <w:trPr>
          <w:trHeight w:val="58"/>
        </w:trPr>
        <w:tc>
          <w:tcPr>
            <w:tcW w:w="1134" w:type="dxa"/>
            <w:shd w:val="clear" w:color="auto" w:fill="auto"/>
            <w:vAlign w:val="center"/>
            <w:hideMark/>
          </w:tcPr>
          <w:p w:rsidR="007D24AD" w:rsidRPr="00E07C2B" w:rsidRDefault="007D24AD" w:rsidP="00E07C2B">
            <w:pPr>
              <w:contextualSpacing/>
              <w:jc w:val="both"/>
              <w:rPr>
                <w:color w:val="000000"/>
                <w:sz w:val="16"/>
                <w:szCs w:val="16"/>
              </w:rPr>
            </w:pPr>
            <w:r w:rsidRPr="00E07C2B">
              <w:rPr>
                <w:color w:val="000000"/>
                <w:sz w:val="16"/>
                <w:szCs w:val="16"/>
                <w:lang w:val="uk-UA"/>
              </w:rPr>
              <w:t xml:space="preserve">Морський порт </w:t>
            </w:r>
            <w:proofErr w:type="spellStart"/>
            <w:r w:rsidRPr="00E07C2B">
              <w:rPr>
                <w:color w:val="000000"/>
                <w:sz w:val="16"/>
                <w:szCs w:val="16"/>
                <w:lang w:val="uk-UA"/>
              </w:rPr>
              <w:t>Чорноморськ</w:t>
            </w:r>
            <w:proofErr w:type="spellEnd"/>
          </w:p>
        </w:tc>
        <w:tc>
          <w:tcPr>
            <w:tcW w:w="1418" w:type="dxa"/>
            <w:shd w:val="clear" w:color="auto" w:fill="auto"/>
            <w:vAlign w:val="center"/>
            <w:hideMark/>
          </w:tcPr>
          <w:p w:rsidR="007D24AD" w:rsidRPr="004868D7" w:rsidRDefault="007D24AD" w:rsidP="00E07C2B">
            <w:pPr>
              <w:contextualSpacing/>
              <w:jc w:val="right"/>
              <w:rPr>
                <w:color w:val="000000"/>
                <w:sz w:val="20"/>
                <w:szCs w:val="20"/>
              </w:rPr>
            </w:pPr>
            <w:r w:rsidRPr="004868D7">
              <w:rPr>
                <w:color w:val="000000"/>
                <w:sz w:val="20"/>
                <w:szCs w:val="20"/>
              </w:rPr>
              <w:t>3 230,00</w:t>
            </w:r>
          </w:p>
        </w:tc>
        <w:tc>
          <w:tcPr>
            <w:tcW w:w="992" w:type="dxa"/>
            <w:shd w:val="clear" w:color="auto" w:fill="auto"/>
            <w:vAlign w:val="center"/>
            <w:hideMark/>
          </w:tcPr>
          <w:p w:rsidR="007D24AD" w:rsidRPr="004868D7" w:rsidRDefault="007D24AD" w:rsidP="00E07C2B">
            <w:pPr>
              <w:contextualSpacing/>
              <w:jc w:val="right"/>
              <w:rPr>
                <w:color w:val="000000"/>
                <w:sz w:val="20"/>
                <w:szCs w:val="20"/>
              </w:rPr>
            </w:pPr>
            <w:r w:rsidRPr="004868D7">
              <w:rPr>
                <w:color w:val="000000"/>
                <w:sz w:val="20"/>
                <w:szCs w:val="20"/>
                <w:lang w:val="uk-UA"/>
              </w:rPr>
              <w:t>54,91</w:t>
            </w:r>
          </w:p>
        </w:tc>
        <w:tc>
          <w:tcPr>
            <w:tcW w:w="1134" w:type="dxa"/>
            <w:shd w:val="clear" w:color="auto" w:fill="auto"/>
            <w:vAlign w:val="center"/>
            <w:hideMark/>
          </w:tcPr>
          <w:p w:rsidR="007D24AD" w:rsidRPr="004868D7" w:rsidRDefault="007D24AD" w:rsidP="00E07C2B">
            <w:pPr>
              <w:contextualSpacing/>
              <w:jc w:val="center"/>
              <w:rPr>
                <w:color w:val="000000"/>
                <w:sz w:val="20"/>
                <w:szCs w:val="20"/>
              </w:rPr>
            </w:pPr>
            <w:r w:rsidRPr="004868D7">
              <w:rPr>
                <w:color w:val="000000"/>
                <w:sz w:val="20"/>
                <w:szCs w:val="20"/>
              </w:rPr>
              <w:t>98,30%</w:t>
            </w:r>
          </w:p>
        </w:tc>
        <w:tc>
          <w:tcPr>
            <w:tcW w:w="992" w:type="dxa"/>
            <w:shd w:val="clear" w:color="auto" w:fill="auto"/>
            <w:vAlign w:val="center"/>
            <w:hideMark/>
          </w:tcPr>
          <w:p w:rsidR="007D24AD" w:rsidRPr="004868D7" w:rsidRDefault="007D24AD" w:rsidP="00E07C2B">
            <w:pPr>
              <w:contextualSpacing/>
              <w:jc w:val="right"/>
              <w:rPr>
                <w:color w:val="000000"/>
                <w:sz w:val="20"/>
                <w:szCs w:val="20"/>
              </w:rPr>
            </w:pPr>
            <w:r w:rsidRPr="004868D7">
              <w:rPr>
                <w:color w:val="000000"/>
                <w:sz w:val="20"/>
                <w:szCs w:val="20"/>
                <w:lang w:val="uk-UA"/>
              </w:rPr>
              <w:t>177,28</w:t>
            </w:r>
          </w:p>
        </w:tc>
        <w:tc>
          <w:tcPr>
            <w:tcW w:w="1134" w:type="dxa"/>
            <w:shd w:val="clear" w:color="auto" w:fill="auto"/>
            <w:vAlign w:val="center"/>
            <w:hideMark/>
          </w:tcPr>
          <w:p w:rsidR="007D24AD" w:rsidRPr="004868D7" w:rsidRDefault="007D24AD" w:rsidP="00E07C2B">
            <w:pPr>
              <w:contextualSpacing/>
              <w:jc w:val="center"/>
              <w:rPr>
                <w:color w:val="000000"/>
                <w:sz w:val="20"/>
                <w:szCs w:val="20"/>
              </w:rPr>
            </w:pPr>
            <w:r w:rsidRPr="004868D7">
              <w:rPr>
                <w:color w:val="000000"/>
                <w:sz w:val="20"/>
                <w:szCs w:val="20"/>
              </w:rPr>
              <w:t>94,51%</w:t>
            </w:r>
          </w:p>
        </w:tc>
        <w:tc>
          <w:tcPr>
            <w:tcW w:w="992" w:type="dxa"/>
            <w:shd w:val="clear" w:color="auto" w:fill="auto"/>
            <w:vAlign w:val="center"/>
            <w:hideMark/>
          </w:tcPr>
          <w:p w:rsidR="007D24AD" w:rsidRPr="004868D7" w:rsidRDefault="007D24AD" w:rsidP="00E07C2B">
            <w:pPr>
              <w:contextualSpacing/>
              <w:jc w:val="right"/>
              <w:rPr>
                <w:color w:val="000000"/>
                <w:sz w:val="20"/>
                <w:szCs w:val="20"/>
              </w:rPr>
            </w:pPr>
            <w:r w:rsidRPr="004868D7">
              <w:rPr>
                <w:color w:val="000000"/>
                <w:sz w:val="20"/>
                <w:szCs w:val="20"/>
                <w:lang w:val="uk-UA"/>
              </w:rPr>
              <w:t>15,19</w:t>
            </w:r>
          </w:p>
        </w:tc>
        <w:tc>
          <w:tcPr>
            <w:tcW w:w="1134" w:type="dxa"/>
            <w:shd w:val="clear" w:color="auto" w:fill="auto"/>
            <w:vAlign w:val="center"/>
            <w:hideMark/>
          </w:tcPr>
          <w:p w:rsidR="007D24AD" w:rsidRPr="004868D7" w:rsidRDefault="007D24AD" w:rsidP="00E07C2B">
            <w:pPr>
              <w:contextualSpacing/>
              <w:jc w:val="center"/>
              <w:rPr>
                <w:color w:val="000000"/>
                <w:sz w:val="20"/>
                <w:szCs w:val="20"/>
              </w:rPr>
            </w:pPr>
            <w:r w:rsidRPr="004868D7">
              <w:rPr>
                <w:color w:val="000000"/>
                <w:sz w:val="20"/>
                <w:szCs w:val="20"/>
              </w:rPr>
              <w:t>99,53%</w:t>
            </w:r>
          </w:p>
        </w:tc>
      </w:tr>
      <w:tr w:rsidR="007D24AD" w:rsidRPr="00E07C2B" w:rsidTr="007C09E5">
        <w:trPr>
          <w:trHeight w:val="249"/>
        </w:trPr>
        <w:tc>
          <w:tcPr>
            <w:tcW w:w="1134" w:type="dxa"/>
            <w:shd w:val="clear" w:color="auto" w:fill="auto"/>
            <w:vAlign w:val="center"/>
            <w:hideMark/>
          </w:tcPr>
          <w:p w:rsidR="007D24AD" w:rsidRPr="00E07C2B" w:rsidRDefault="007D24AD" w:rsidP="00E07C2B">
            <w:pPr>
              <w:contextualSpacing/>
              <w:jc w:val="both"/>
              <w:rPr>
                <w:color w:val="000000"/>
                <w:sz w:val="16"/>
                <w:szCs w:val="16"/>
              </w:rPr>
            </w:pPr>
            <w:r w:rsidRPr="00E07C2B">
              <w:rPr>
                <w:color w:val="000000"/>
                <w:sz w:val="16"/>
                <w:szCs w:val="16"/>
                <w:lang w:val="uk-UA"/>
              </w:rPr>
              <w:t>ЗАГАЛЬНА потужність морських портів</w:t>
            </w:r>
          </w:p>
        </w:tc>
        <w:tc>
          <w:tcPr>
            <w:tcW w:w="1418" w:type="dxa"/>
            <w:shd w:val="clear" w:color="auto" w:fill="auto"/>
            <w:noWrap/>
            <w:vAlign w:val="center"/>
            <w:hideMark/>
          </w:tcPr>
          <w:p w:rsidR="007D24AD" w:rsidRPr="004868D7" w:rsidRDefault="007D24AD" w:rsidP="00E07C2B">
            <w:pPr>
              <w:contextualSpacing/>
              <w:jc w:val="right"/>
              <w:rPr>
                <w:color w:val="000000"/>
                <w:sz w:val="20"/>
                <w:szCs w:val="20"/>
              </w:rPr>
            </w:pPr>
            <w:r w:rsidRPr="004868D7">
              <w:rPr>
                <w:color w:val="000000"/>
                <w:sz w:val="20"/>
                <w:szCs w:val="20"/>
              </w:rPr>
              <w:t>50 830,00</w:t>
            </w:r>
          </w:p>
        </w:tc>
        <w:tc>
          <w:tcPr>
            <w:tcW w:w="992" w:type="dxa"/>
            <w:shd w:val="clear" w:color="auto" w:fill="auto"/>
            <w:vAlign w:val="center"/>
            <w:hideMark/>
          </w:tcPr>
          <w:p w:rsidR="007D24AD" w:rsidRPr="004868D7" w:rsidRDefault="007D24AD" w:rsidP="00E07C2B">
            <w:pPr>
              <w:contextualSpacing/>
              <w:jc w:val="right"/>
              <w:rPr>
                <w:color w:val="000000"/>
                <w:sz w:val="20"/>
                <w:szCs w:val="20"/>
              </w:rPr>
            </w:pPr>
            <w:r w:rsidRPr="004868D7">
              <w:rPr>
                <w:color w:val="000000"/>
                <w:sz w:val="20"/>
                <w:szCs w:val="20"/>
              </w:rPr>
              <w:t>1260,18</w:t>
            </w:r>
          </w:p>
        </w:tc>
        <w:tc>
          <w:tcPr>
            <w:tcW w:w="1134" w:type="dxa"/>
            <w:shd w:val="clear" w:color="auto" w:fill="auto"/>
            <w:vAlign w:val="center"/>
            <w:hideMark/>
          </w:tcPr>
          <w:p w:rsidR="007D24AD" w:rsidRPr="004868D7" w:rsidRDefault="007D24AD" w:rsidP="00E07C2B">
            <w:pPr>
              <w:contextualSpacing/>
              <w:jc w:val="center"/>
              <w:rPr>
                <w:color w:val="000000"/>
                <w:sz w:val="20"/>
                <w:szCs w:val="20"/>
              </w:rPr>
            </w:pPr>
            <w:r w:rsidRPr="004868D7">
              <w:rPr>
                <w:color w:val="000000"/>
                <w:sz w:val="20"/>
                <w:szCs w:val="20"/>
              </w:rPr>
              <w:t>97,52%</w:t>
            </w:r>
          </w:p>
        </w:tc>
        <w:tc>
          <w:tcPr>
            <w:tcW w:w="992" w:type="dxa"/>
            <w:shd w:val="clear" w:color="auto" w:fill="auto"/>
            <w:vAlign w:val="center"/>
            <w:hideMark/>
          </w:tcPr>
          <w:p w:rsidR="007D24AD" w:rsidRPr="004868D7" w:rsidRDefault="007D24AD" w:rsidP="00E07C2B">
            <w:pPr>
              <w:contextualSpacing/>
              <w:jc w:val="right"/>
              <w:rPr>
                <w:color w:val="000000"/>
                <w:sz w:val="20"/>
                <w:szCs w:val="20"/>
              </w:rPr>
            </w:pPr>
            <w:r w:rsidRPr="004868D7">
              <w:rPr>
                <w:color w:val="000000"/>
                <w:sz w:val="20"/>
                <w:szCs w:val="20"/>
              </w:rPr>
              <w:t>1290,6</w:t>
            </w:r>
          </w:p>
        </w:tc>
        <w:tc>
          <w:tcPr>
            <w:tcW w:w="1134" w:type="dxa"/>
            <w:shd w:val="clear" w:color="auto" w:fill="auto"/>
            <w:vAlign w:val="center"/>
            <w:hideMark/>
          </w:tcPr>
          <w:p w:rsidR="007D24AD" w:rsidRPr="004868D7" w:rsidRDefault="007D24AD" w:rsidP="00E07C2B">
            <w:pPr>
              <w:contextualSpacing/>
              <w:jc w:val="center"/>
              <w:rPr>
                <w:color w:val="000000"/>
                <w:sz w:val="20"/>
                <w:szCs w:val="20"/>
              </w:rPr>
            </w:pPr>
            <w:r w:rsidRPr="004868D7">
              <w:rPr>
                <w:color w:val="000000"/>
                <w:sz w:val="20"/>
                <w:szCs w:val="20"/>
              </w:rPr>
              <w:t>97,46%</w:t>
            </w:r>
          </w:p>
        </w:tc>
        <w:tc>
          <w:tcPr>
            <w:tcW w:w="992" w:type="dxa"/>
            <w:shd w:val="clear" w:color="auto" w:fill="auto"/>
            <w:vAlign w:val="center"/>
            <w:hideMark/>
          </w:tcPr>
          <w:p w:rsidR="007D24AD" w:rsidRPr="004868D7" w:rsidRDefault="007D24AD" w:rsidP="00E07C2B">
            <w:pPr>
              <w:contextualSpacing/>
              <w:jc w:val="right"/>
              <w:rPr>
                <w:color w:val="000000"/>
                <w:sz w:val="20"/>
                <w:szCs w:val="20"/>
              </w:rPr>
            </w:pPr>
            <w:r w:rsidRPr="004868D7">
              <w:rPr>
                <w:color w:val="000000"/>
                <w:sz w:val="20"/>
                <w:szCs w:val="20"/>
              </w:rPr>
              <w:t>260,37</w:t>
            </w:r>
          </w:p>
        </w:tc>
        <w:tc>
          <w:tcPr>
            <w:tcW w:w="1134" w:type="dxa"/>
            <w:shd w:val="clear" w:color="auto" w:fill="auto"/>
            <w:vAlign w:val="center"/>
            <w:hideMark/>
          </w:tcPr>
          <w:p w:rsidR="007D24AD" w:rsidRPr="004868D7" w:rsidRDefault="007D24AD" w:rsidP="00E07C2B">
            <w:pPr>
              <w:contextualSpacing/>
              <w:jc w:val="center"/>
              <w:rPr>
                <w:color w:val="000000"/>
                <w:sz w:val="20"/>
                <w:szCs w:val="20"/>
              </w:rPr>
            </w:pPr>
            <w:r w:rsidRPr="004868D7">
              <w:rPr>
                <w:color w:val="000000"/>
                <w:sz w:val="20"/>
                <w:szCs w:val="20"/>
              </w:rPr>
              <w:t>99,49%</w:t>
            </w:r>
          </w:p>
        </w:tc>
      </w:tr>
      <w:tr w:rsidR="007D24AD" w:rsidRPr="00E07C2B" w:rsidTr="007C09E5">
        <w:trPr>
          <w:trHeight w:val="785"/>
        </w:trPr>
        <w:tc>
          <w:tcPr>
            <w:tcW w:w="1134" w:type="dxa"/>
            <w:shd w:val="clear" w:color="auto" w:fill="auto"/>
            <w:vAlign w:val="center"/>
            <w:hideMark/>
          </w:tcPr>
          <w:p w:rsidR="007D24AD" w:rsidRPr="00E07C2B" w:rsidRDefault="007D24AD" w:rsidP="00E43641">
            <w:pPr>
              <w:contextualSpacing/>
              <w:jc w:val="both"/>
              <w:rPr>
                <w:bCs/>
                <w:color w:val="000000"/>
                <w:sz w:val="16"/>
                <w:szCs w:val="16"/>
              </w:rPr>
            </w:pPr>
            <w:r w:rsidRPr="00E07C2B">
              <w:rPr>
                <w:bCs/>
                <w:color w:val="000000"/>
                <w:sz w:val="16"/>
                <w:szCs w:val="16"/>
                <w:lang w:val="uk-UA"/>
              </w:rPr>
              <w:t>Час</w:t>
            </w:r>
            <w:r w:rsidR="00E43641">
              <w:rPr>
                <w:bCs/>
                <w:color w:val="000000"/>
                <w:sz w:val="16"/>
                <w:szCs w:val="16"/>
                <w:lang w:val="uk-UA"/>
              </w:rPr>
              <w:t xml:space="preserve">тка комплексу Херсонської </w:t>
            </w:r>
            <w:proofErr w:type="spellStart"/>
            <w:r w:rsidR="00E43641">
              <w:rPr>
                <w:bCs/>
                <w:color w:val="000000"/>
                <w:sz w:val="16"/>
                <w:szCs w:val="16"/>
                <w:lang w:val="uk-UA"/>
              </w:rPr>
              <w:t>нафто</w:t>
            </w:r>
            <w:r w:rsidRPr="00E07C2B">
              <w:rPr>
                <w:bCs/>
                <w:color w:val="000000"/>
                <w:sz w:val="16"/>
                <w:szCs w:val="16"/>
                <w:lang w:val="uk-UA"/>
              </w:rPr>
              <w:t>пере</w:t>
            </w:r>
            <w:proofErr w:type="spellEnd"/>
            <w:r w:rsidRPr="00E07C2B">
              <w:rPr>
                <w:bCs/>
                <w:color w:val="000000"/>
                <w:sz w:val="16"/>
                <w:szCs w:val="16"/>
                <w:lang w:val="uk-UA"/>
              </w:rPr>
              <w:t xml:space="preserve">-валки </w:t>
            </w:r>
            <w:r w:rsidR="00E43641">
              <w:rPr>
                <w:bCs/>
                <w:color w:val="000000"/>
                <w:sz w:val="16"/>
                <w:szCs w:val="16"/>
                <w:lang w:val="uk-UA"/>
              </w:rPr>
              <w:t>в</w:t>
            </w:r>
            <w:r w:rsidRPr="00E07C2B">
              <w:rPr>
                <w:bCs/>
                <w:color w:val="000000"/>
                <w:sz w:val="16"/>
                <w:szCs w:val="16"/>
                <w:lang w:val="uk-UA"/>
              </w:rPr>
              <w:t xml:space="preserve"> загальному обсязі нафто</w:t>
            </w:r>
            <w:r w:rsidR="00E43641">
              <w:rPr>
                <w:bCs/>
                <w:color w:val="000000"/>
                <w:sz w:val="16"/>
                <w:szCs w:val="16"/>
                <w:lang w:val="uk-UA"/>
              </w:rPr>
              <w:t>-</w:t>
            </w:r>
            <w:r w:rsidRPr="00E07C2B">
              <w:rPr>
                <w:bCs/>
                <w:color w:val="000000"/>
                <w:sz w:val="16"/>
                <w:szCs w:val="16"/>
                <w:lang w:val="uk-UA"/>
              </w:rPr>
              <w:t xml:space="preserve"> перевалки </w:t>
            </w:r>
          </w:p>
        </w:tc>
        <w:tc>
          <w:tcPr>
            <w:tcW w:w="1418" w:type="dxa"/>
            <w:shd w:val="clear" w:color="auto" w:fill="auto"/>
            <w:noWrap/>
            <w:vAlign w:val="center"/>
            <w:hideMark/>
          </w:tcPr>
          <w:p w:rsidR="007D24AD" w:rsidRPr="004868D7" w:rsidRDefault="007D24AD" w:rsidP="00E07C2B">
            <w:pPr>
              <w:contextualSpacing/>
              <w:jc w:val="center"/>
              <w:rPr>
                <w:bCs/>
                <w:color w:val="000000"/>
                <w:sz w:val="20"/>
                <w:szCs w:val="20"/>
              </w:rPr>
            </w:pPr>
            <w:r w:rsidRPr="004868D7">
              <w:rPr>
                <w:bCs/>
                <w:color w:val="000000"/>
                <w:sz w:val="20"/>
                <w:szCs w:val="20"/>
                <w:lang w:val="uk-UA"/>
              </w:rPr>
              <w:t>0,69%</w:t>
            </w:r>
          </w:p>
        </w:tc>
        <w:tc>
          <w:tcPr>
            <w:tcW w:w="992" w:type="dxa"/>
            <w:shd w:val="clear" w:color="auto" w:fill="auto"/>
            <w:noWrap/>
            <w:vAlign w:val="center"/>
            <w:hideMark/>
          </w:tcPr>
          <w:p w:rsidR="007D24AD" w:rsidRPr="004868D7" w:rsidRDefault="007D24AD" w:rsidP="00E07C2B">
            <w:pPr>
              <w:contextualSpacing/>
              <w:jc w:val="center"/>
              <w:rPr>
                <w:bCs/>
                <w:color w:val="000000"/>
                <w:sz w:val="20"/>
                <w:szCs w:val="20"/>
              </w:rPr>
            </w:pPr>
            <w:r w:rsidRPr="004868D7">
              <w:rPr>
                <w:bCs/>
                <w:color w:val="000000"/>
                <w:sz w:val="20"/>
                <w:szCs w:val="20"/>
                <w:lang w:val="uk-UA"/>
              </w:rPr>
              <w:t>8,56%</w:t>
            </w:r>
          </w:p>
        </w:tc>
        <w:tc>
          <w:tcPr>
            <w:tcW w:w="1134" w:type="dxa"/>
            <w:shd w:val="clear" w:color="auto" w:fill="auto"/>
            <w:noWrap/>
            <w:vAlign w:val="center"/>
            <w:hideMark/>
          </w:tcPr>
          <w:p w:rsidR="007D24AD" w:rsidRPr="004868D7" w:rsidRDefault="007D24AD" w:rsidP="00E07C2B">
            <w:pPr>
              <w:contextualSpacing/>
              <w:jc w:val="center"/>
              <w:rPr>
                <w:bCs/>
                <w:color w:val="000000"/>
                <w:sz w:val="20"/>
                <w:szCs w:val="20"/>
              </w:rPr>
            </w:pPr>
          </w:p>
        </w:tc>
        <w:tc>
          <w:tcPr>
            <w:tcW w:w="992" w:type="dxa"/>
            <w:shd w:val="clear" w:color="auto" w:fill="auto"/>
            <w:noWrap/>
            <w:vAlign w:val="center"/>
            <w:hideMark/>
          </w:tcPr>
          <w:p w:rsidR="007D24AD" w:rsidRPr="004868D7" w:rsidRDefault="007D24AD" w:rsidP="00E07C2B">
            <w:pPr>
              <w:contextualSpacing/>
              <w:jc w:val="center"/>
              <w:rPr>
                <w:bCs/>
                <w:color w:val="000000"/>
                <w:sz w:val="20"/>
                <w:szCs w:val="20"/>
              </w:rPr>
            </w:pPr>
            <w:r w:rsidRPr="004868D7">
              <w:rPr>
                <w:bCs/>
                <w:color w:val="000000"/>
                <w:sz w:val="20"/>
                <w:szCs w:val="20"/>
                <w:lang w:val="uk-UA"/>
              </w:rPr>
              <w:t>11,96%</w:t>
            </w:r>
          </w:p>
        </w:tc>
        <w:tc>
          <w:tcPr>
            <w:tcW w:w="1134" w:type="dxa"/>
            <w:shd w:val="clear" w:color="auto" w:fill="auto"/>
            <w:noWrap/>
            <w:vAlign w:val="center"/>
            <w:hideMark/>
          </w:tcPr>
          <w:p w:rsidR="007D24AD" w:rsidRPr="004868D7" w:rsidRDefault="007D24AD" w:rsidP="00E07C2B">
            <w:pPr>
              <w:contextualSpacing/>
              <w:jc w:val="center"/>
              <w:rPr>
                <w:bCs/>
                <w:color w:val="000000"/>
                <w:sz w:val="20"/>
                <w:szCs w:val="20"/>
              </w:rPr>
            </w:pPr>
          </w:p>
        </w:tc>
        <w:tc>
          <w:tcPr>
            <w:tcW w:w="992" w:type="dxa"/>
            <w:shd w:val="clear" w:color="auto" w:fill="auto"/>
            <w:noWrap/>
            <w:vAlign w:val="center"/>
            <w:hideMark/>
          </w:tcPr>
          <w:p w:rsidR="007D24AD" w:rsidRPr="004868D7" w:rsidRDefault="007D24AD" w:rsidP="00E07C2B">
            <w:pPr>
              <w:contextualSpacing/>
              <w:jc w:val="center"/>
              <w:rPr>
                <w:bCs/>
                <w:color w:val="000000"/>
                <w:sz w:val="20"/>
                <w:szCs w:val="20"/>
              </w:rPr>
            </w:pPr>
            <w:r w:rsidRPr="004868D7">
              <w:rPr>
                <w:bCs/>
                <w:color w:val="000000"/>
                <w:sz w:val="20"/>
                <w:szCs w:val="20"/>
                <w:lang w:val="uk-UA"/>
              </w:rPr>
              <w:t>0,00%</w:t>
            </w:r>
          </w:p>
        </w:tc>
        <w:tc>
          <w:tcPr>
            <w:tcW w:w="1134" w:type="dxa"/>
            <w:shd w:val="clear" w:color="auto" w:fill="auto"/>
            <w:noWrap/>
            <w:vAlign w:val="center"/>
            <w:hideMark/>
          </w:tcPr>
          <w:p w:rsidR="007D24AD" w:rsidRPr="004868D7" w:rsidRDefault="007D24AD" w:rsidP="00E07C2B">
            <w:pPr>
              <w:contextualSpacing/>
              <w:jc w:val="center"/>
              <w:rPr>
                <w:bCs/>
                <w:color w:val="000000"/>
                <w:sz w:val="20"/>
                <w:szCs w:val="20"/>
              </w:rPr>
            </w:pPr>
          </w:p>
        </w:tc>
      </w:tr>
    </w:tbl>
    <w:p w:rsidR="007D24AD" w:rsidRPr="004868D7" w:rsidRDefault="007D24AD" w:rsidP="00E07C2B">
      <w:pPr>
        <w:pStyle w:val="af4"/>
        <w:tabs>
          <w:tab w:val="left" w:pos="709"/>
          <w:tab w:val="left" w:pos="851"/>
        </w:tabs>
        <w:overflowPunct/>
        <w:ind w:left="709"/>
        <w:contextualSpacing/>
        <w:jc w:val="both"/>
        <w:rPr>
          <w:iCs/>
          <w:szCs w:val="24"/>
          <w:lang w:val="uk-UA"/>
        </w:rPr>
      </w:pPr>
    </w:p>
    <w:p w:rsidR="007D24AD" w:rsidRPr="00073081" w:rsidRDefault="007D24AD" w:rsidP="00E07C2B">
      <w:pPr>
        <w:pStyle w:val="af4"/>
        <w:numPr>
          <w:ilvl w:val="0"/>
          <w:numId w:val="7"/>
        </w:numPr>
        <w:tabs>
          <w:tab w:val="left" w:pos="709"/>
          <w:tab w:val="left" w:pos="851"/>
        </w:tabs>
        <w:overflowPunct/>
        <w:ind w:left="709" w:hanging="709"/>
        <w:contextualSpacing/>
        <w:jc w:val="both"/>
        <w:rPr>
          <w:iCs/>
          <w:szCs w:val="24"/>
          <w:lang w:val="uk-UA"/>
        </w:rPr>
      </w:pPr>
      <w:r w:rsidRPr="00073081">
        <w:rPr>
          <w:iCs/>
          <w:szCs w:val="24"/>
          <w:lang w:val="uk-UA"/>
        </w:rPr>
        <w:t>Враховуючи отриману від АМПУ інформацію:</w:t>
      </w:r>
    </w:p>
    <w:p w:rsidR="00243993" w:rsidRPr="00073081" w:rsidRDefault="00243993" w:rsidP="00E07C2B">
      <w:pPr>
        <w:tabs>
          <w:tab w:val="left" w:pos="284"/>
          <w:tab w:val="left" w:pos="709"/>
        </w:tabs>
        <w:ind w:left="709" w:firstLine="425"/>
        <w:contextualSpacing/>
        <w:jc w:val="both"/>
        <w:rPr>
          <w:rStyle w:val="affb"/>
          <w:rFonts w:eastAsia="Calibri"/>
          <w:i w:val="0"/>
          <w:iCs w:val="0"/>
          <w:sz w:val="24"/>
          <w:szCs w:val="24"/>
          <w:lang w:val="uk-UA"/>
        </w:rPr>
      </w:pPr>
    </w:p>
    <w:p w:rsidR="007D24AD" w:rsidRPr="00073081" w:rsidRDefault="007D24AD" w:rsidP="00E07C2B">
      <w:pPr>
        <w:tabs>
          <w:tab w:val="left" w:pos="284"/>
          <w:tab w:val="left" w:pos="709"/>
        </w:tabs>
        <w:ind w:left="709" w:firstLine="425"/>
        <w:contextualSpacing/>
        <w:jc w:val="both"/>
        <w:rPr>
          <w:rStyle w:val="affb"/>
          <w:rFonts w:eastAsia="Calibri"/>
          <w:i w:val="0"/>
          <w:iCs w:val="0"/>
          <w:sz w:val="24"/>
          <w:szCs w:val="24"/>
          <w:lang w:val="uk-UA"/>
        </w:rPr>
      </w:pPr>
      <w:proofErr w:type="spellStart"/>
      <w:r w:rsidRPr="00073081">
        <w:rPr>
          <w:rStyle w:val="affb"/>
          <w:rFonts w:eastAsia="Calibri"/>
          <w:i w:val="0"/>
          <w:iCs w:val="0"/>
          <w:sz w:val="24"/>
          <w:szCs w:val="24"/>
          <w:lang w:val="uk-UA"/>
        </w:rPr>
        <w:t>про</w:t>
      </w:r>
      <w:r w:rsidR="00E43641">
        <w:rPr>
          <w:rStyle w:val="affb"/>
          <w:rFonts w:eastAsia="Calibri"/>
          <w:i w:val="0"/>
          <w:iCs w:val="0"/>
          <w:sz w:val="24"/>
          <w:szCs w:val="24"/>
          <w:lang w:val="uk-UA"/>
        </w:rPr>
        <w:t>є</w:t>
      </w:r>
      <w:r w:rsidRPr="00073081">
        <w:rPr>
          <w:rStyle w:val="affb"/>
          <w:rFonts w:eastAsia="Calibri"/>
          <w:i w:val="0"/>
          <w:iCs w:val="0"/>
          <w:sz w:val="24"/>
          <w:szCs w:val="24"/>
          <w:lang w:val="uk-UA"/>
        </w:rPr>
        <w:t>ктна</w:t>
      </w:r>
      <w:proofErr w:type="spellEnd"/>
      <w:r w:rsidRPr="00073081">
        <w:rPr>
          <w:rStyle w:val="affb"/>
          <w:rFonts w:eastAsia="Calibri"/>
          <w:i w:val="0"/>
          <w:iCs w:val="0"/>
          <w:sz w:val="24"/>
          <w:szCs w:val="24"/>
          <w:lang w:val="uk-UA"/>
        </w:rPr>
        <w:t xml:space="preserve"> спроможність потужностей комплексу Херсонс</w:t>
      </w:r>
      <w:r w:rsidR="00E43641">
        <w:rPr>
          <w:rStyle w:val="affb"/>
          <w:rFonts w:eastAsia="Calibri"/>
          <w:i w:val="0"/>
          <w:iCs w:val="0"/>
          <w:sz w:val="24"/>
          <w:szCs w:val="24"/>
          <w:lang w:val="uk-UA"/>
        </w:rPr>
        <w:t>ької нафтоперевалки є незначною</w:t>
      </w:r>
      <w:r w:rsidRPr="00073081">
        <w:rPr>
          <w:rStyle w:val="affb"/>
          <w:rFonts w:eastAsia="Calibri"/>
          <w:i w:val="0"/>
          <w:iCs w:val="0"/>
          <w:sz w:val="24"/>
          <w:szCs w:val="24"/>
          <w:lang w:val="uk-UA"/>
        </w:rPr>
        <w:t xml:space="preserve"> </w:t>
      </w:r>
      <w:r w:rsidR="00E43641">
        <w:rPr>
          <w:rStyle w:val="affb"/>
          <w:rFonts w:eastAsia="Calibri"/>
          <w:i w:val="0"/>
          <w:iCs w:val="0"/>
          <w:sz w:val="24"/>
          <w:szCs w:val="24"/>
          <w:lang w:val="uk-UA"/>
        </w:rPr>
        <w:t xml:space="preserve">порівняно з об’єктами-конкурентами </w:t>
      </w:r>
      <w:r w:rsidRPr="00073081">
        <w:rPr>
          <w:rStyle w:val="affb"/>
          <w:rFonts w:eastAsia="Calibri"/>
          <w:i w:val="0"/>
          <w:iCs w:val="0"/>
          <w:sz w:val="24"/>
          <w:szCs w:val="24"/>
          <w:lang w:val="uk-UA"/>
        </w:rPr>
        <w:t xml:space="preserve">та </w:t>
      </w:r>
      <w:r w:rsidR="00E43641">
        <w:rPr>
          <w:rStyle w:val="affb"/>
          <w:rFonts w:eastAsia="Calibri"/>
          <w:i w:val="0"/>
          <w:iCs w:val="0"/>
          <w:sz w:val="24"/>
          <w:szCs w:val="24"/>
          <w:lang w:val="uk-UA"/>
        </w:rPr>
        <w:t>становить</w:t>
      </w:r>
      <w:r w:rsidRPr="00073081">
        <w:rPr>
          <w:rStyle w:val="affb"/>
          <w:rFonts w:eastAsia="Calibri"/>
          <w:i w:val="0"/>
          <w:iCs w:val="0"/>
          <w:sz w:val="24"/>
          <w:szCs w:val="24"/>
          <w:lang w:val="uk-UA"/>
        </w:rPr>
        <w:t xml:space="preserve"> 0,69 відсотка від загальної потужності морської перевалки нафтопродуктів в Україні;</w:t>
      </w:r>
    </w:p>
    <w:p w:rsidR="00243993" w:rsidRPr="00073081" w:rsidRDefault="00243993" w:rsidP="00E07C2B">
      <w:pPr>
        <w:tabs>
          <w:tab w:val="left" w:pos="284"/>
          <w:tab w:val="left" w:pos="709"/>
        </w:tabs>
        <w:ind w:left="709" w:firstLine="425"/>
        <w:contextualSpacing/>
        <w:jc w:val="both"/>
        <w:rPr>
          <w:rStyle w:val="affb"/>
          <w:rFonts w:eastAsia="Calibri"/>
          <w:i w:val="0"/>
          <w:iCs w:val="0"/>
          <w:sz w:val="24"/>
          <w:szCs w:val="24"/>
          <w:lang w:val="uk-UA"/>
        </w:rPr>
      </w:pPr>
    </w:p>
    <w:p w:rsidR="007D24AD" w:rsidRPr="00073081" w:rsidRDefault="007D24AD" w:rsidP="00E07C2B">
      <w:pPr>
        <w:tabs>
          <w:tab w:val="left" w:pos="284"/>
          <w:tab w:val="left" w:pos="709"/>
        </w:tabs>
        <w:ind w:left="709" w:firstLine="425"/>
        <w:contextualSpacing/>
        <w:jc w:val="both"/>
        <w:rPr>
          <w:rStyle w:val="affb"/>
          <w:rFonts w:eastAsia="Calibri"/>
          <w:i w:val="0"/>
          <w:iCs w:val="0"/>
          <w:sz w:val="24"/>
          <w:szCs w:val="24"/>
          <w:lang w:val="uk-UA"/>
        </w:rPr>
      </w:pPr>
      <w:r w:rsidRPr="00073081">
        <w:rPr>
          <w:rStyle w:val="affb"/>
          <w:rFonts w:eastAsia="Calibri"/>
          <w:i w:val="0"/>
          <w:iCs w:val="0"/>
          <w:sz w:val="24"/>
          <w:szCs w:val="24"/>
          <w:lang w:val="uk-UA"/>
        </w:rPr>
        <w:t xml:space="preserve">частка комплексу Херсонської </w:t>
      </w:r>
      <w:proofErr w:type="spellStart"/>
      <w:r w:rsidRPr="00073081">
        <w:rPr>
          <w:rStyle w:val="affb"/>
          <w:rFonts w:eastAsia="Calibri"/>
          <w:i w:val="0"/>
          <w:iCs w:val="0"/>
          <w:sz w:val="24"/>
          <w:szCs w:val="24"/>
          <w:lang w:val="uk-UA"/>
        </w:rPr>
        <w:t>нафтоперевалки</w:t>
      </w:r>
      <w:proofErr w:type="spellEnd"/>
      <w:r w:rsidRPr="00073081">
        <w:rPr>
          <w:rStyle w:val="affb"/>
          <w:rFonts w:eastAsia="Calibri"/>
          <w:i w:val="0"/>
          <w:iCs w:val="0"/>
          <w:sz w:val="24"/>
          <w:szCs w:val="24"/>
          <w:lang w:val="uk-UA"/>
        </w:rPr>
        <w:t xml:space="preserve"> </w:t>
      </w:r>
      <w:r w:rsidR="00E43641">
        <w:rPr>
          <w:rStyle w:val="affb"/>
          <w:rFonts w:eastAsia="Calibri"/>
          <w:i w:val="0"/>
          <w:iCs w:val="0"/>
          <w:sz w:val="24"/>
          <w:szCs w:val="24"/>
          <w:lang w:val="uk-UA"/>
        </w:rPr>
        <w:t>в</w:t>
      </w:r>
      <w:r w:rsidRPr="00073081">
        <w:rPr>
          <w:rStyle w:val="affb"/>
          <w:rFonts w:eastAsia="Calibri"/>
          <w:i w:val="0"/>
          <w:iCs w:val="0"/>
          <w:sz w:val="24"/>
          <w:szCs w:val="24"/>
          <w:lang w:val="uk-UA"/>
        </w:rPr>
        <w:t xml:space="preserve"> загальному обсязі морської перевалки нафтопродуктів за останні три роки не перевищувала 12 відсотків, що не перевищує 2 відсотків у загальному балансі первинної реалізації високооктанових моторних бензинів та дизельного пального;</w:t>
      </w:r>
    </w:p>
    <w:p w:rsidR="007D24AD" w:rsidRPr="00E43641" w:rsidRDefault="007D24AD" w:rsidP="00E43641">
      <w:pPr>
        <w:tabs>
          <w:tab w:val="left" w:pos="284"/>
          <w:tab w:val="left" w:pos="709"/>
        </w:tabs>
        <w:ind w:left="709" w:firstLine="425"/>
        <w:contextualSpacing/>
        <w:jc w:val="both"/>
        <w:rPr>
          <w:rFonts w:eastAsia="Calibri"/>
          <w:color w:val="000000"/>
          <w:shd w:val="clear" w:color="auto" w:fill="FFFFFF"/>
          <w:lang w:val="uk-UA"/>
        </w:rPr>
      </w:pPr>
      <w:r w:rsidRPr="00073081">
        <w:rPr>
          <w:rStyle w:val="affb"/>
          <w:rFonts w:eastAsia="Calibri"/>
          <w:i w:val="0"/>
          <w:iCs w:val="0"/>
          <w:sz w:val="24"/>
          <w:szCs w:val="24"/>
          <w:lang w:val="uk-UA"/>
        </w:rPr>
        <w:t>рівень завантаженості потужностей морської перевалки нафтопродуктів в Україні за останні три роки не перевищував 2,6 відсотка.</w:t>
      </w:r>
    </w:p>
    <w:p w:rsidR="007D24AD" w:rsidRPr="004868D7" w:rsidRDefault="007D24AD" w:rsidP="00E07C2B">
      <w:pPr>
        <w:pStyle w:val="af4"/>
        <w:tabs>
          <w:tab w:val="left" w:pos="709"/>
          <w:tab w:val="left" w:pos="851"/>
        </w:tabs>
        <w:overflowPunct/>
        <w:contextualSpacing/>
        <w:jc w:val="both"/>
        <w:rPr>
          <w:i/>
          <w:iCs/>
          <w:szCs w:val="24"/>
          <w:lang w:val="uk-UA"/>
        </w:rPr>
      </w:pPr>
      <w:r w:rsidRPr="004868D7">
        <w:rPr>
          <w:i/>
          <w:iCs/>
          <w:szCs w:val="24"/>
          <w:lang w:val="uk-UA"/>
        </w:rPr>
        <w:lastRenderedPageBreak/>
        <w:t>Щодо</w:t>
      </w:r>
      <w:r w:rsidR="00073081">
        <w:rPr>
          <w:i/>
          <w:iCs/>
          <w:szCs w:val="24"/>
          <w:lang w:val="uk-UA"/>
        </w:rPr>
        <w:t xml:space="preserve"> ринку</w:t>
      </w:r>
      <w:r w:rsidRPr="004868D7">
        <w:rPr>
          <w:i/>
          <w:iCs/>
          <w:szCs w:val="24"/>
          <w:lang w:val="uk-UA"/>
        </w:rPr>
        <w:t xml:space="preserve"> зберігання високооктанових моторних </w:t>
      </w:r>
      <w:r w:rsidR="00E43641">
        <w:rPr>
          <w:i/>
          <w:iCs/>
          <w:szCs w:val="24"/>
          <w:lang w:val="uk-UA"/>
        </w:rPr>
        <w:t>бензинів та дизельного пального</w:t>
      </w:r>
    </w:p>
    <w:p w:rsidR="007D24AD" w:rsidRPr="004868D7" w:rsidRDefault="007D24AD" w:rsidP="00E07C2B">
      <w:pPr>
        <w:ind w:left="709" w:hanging="709"/>
        <w:contextualSpacing/>
        <w:jc w:val="both"/>
        <w:rPr>
          <w:lang w:val="uk-UA"/>
        </w:rPr>
      </w:pPr>
    </w:p>
    <w:p w:rsidR="007D24AD" w:rsidRPr="004868D7" w:rsidRDefault="007D24AD" w:rsidP="00E07C2B">
      <w:pPr>
        <w:pStyle w:val="af4"/>
        <w:numPr>
          <w:ilvl w:val="0"/>
          <w:numId w:val="7"/>
        </w:numPr>
        <w:tabs>
          <w:tab w:val="left" w:pos="709"/>
          <w:tab w:val="left" w:pos="851"/>
        </w:tabs>
        <w:overflowPunct/>
        <w:ind w:left="709" w:hanging="709"/>
        <w:contextualSpacing/>
        <w:jc w:val="both"/>
        <w:rPr>
          <w:iCs/>
          <w:szCs w:val="24"/>
          <w:lang w:val="uk-UA"/>
        </w:rPr>
      </w:pPr>
      <w:r w:rsidRPr="004868D7">
        <w:rPr>
          <w:iCs/>
          <w:szCs w:val="24"/>
          <w:lang w:val="uk-UA"/>
        </w:rPr>
        <w:t>Територіальні межі, які встановлюються для концентрації, зі зберігання високооктанових моторних бензинів та дизельного пального, на думку учасників концентрації, охоплюють тери</w:t>
      </w:r>
      <w:r w:rsidR="00E43641">
        <w:rPr>
          <w:iCs/>
          <w:szCs w:val="24"/>
          <w:lang w:val="uk-UA"/>
        </w:rPr>
        <w:t>торію радіусом приблизно 250 км (</w:t>
      </w:r>
      <w:r w:rsidRPr="004868D7">
        <w:rPr>
          <w:iCs/>
          <w:szCs w:val="24"/>
          <w:lang w:val="uk-UA"/>
        </w:rPr>
        <w:t>з урахуванням доставки нафтопродуктів лише автоцистернами відповідно до технічних можливостей комплексу Херсонської нафтоперевалки на момент розгляду справи).</w:t>
      </w:r>
    </w:p>
    <w:p w:rsidR="00E07C2B" w:rsidRPr="004868D7" w:rsidRDefault="00E07C2B" w:rsidP="00E07C2B">
      <w:pPr>
        <w:pStyle w:val="af4"/>
        <w:tabs>
          <w:tab w:val="left" w:pos="709"/>
          <w:tab w:val="left" w:pos="851"/>
        </w:tabs>
        <w:overflowPunct/>
        <w:ind w:left="709"/>
        <w:contextualSpacing/>
        <w:jc w:val="both"/>
        <w:rPr>
          <w:iCs/>
          <w:szCs w:val="24"/>
          <w:lang w:val="uk-UA"/>
        </w:rPr>
      </w:pPr>
    </w:p>
    <w:p w:rsidR="007D24AD" w:rsidRDefault="007D24AD" w:rsidP="00E07C2B">
      <w:pPr>
        <w:pStyle w:val="af4"/>
        <w:numPr>
          <w:ilvl w:val="0"/>
          <w:numId w:val="7"/>
        </w:numPr>
        <w:tabs>
          <w:tab w:val="left" w:pos="709"/>
          <w:tab w:val="left" w:pos="851"/>
        </w:tabs>
        <w:overflowPunct/>
        <w:ind w:left="709" w:hanging="709"/>
        <w:contextualSpacing/>
        <w:jc w:val="both"/>
        <w:rPr>
          <w:iCs/>
          <w:szCs w:val="24"/>
          <w:lang w:val="uk-UA"/>
        </w:rPr>
      </w:pPr>
      <w:r w:rsidRPr="004868D7">
        <w:rPr>
          <w:iCs/>
          <w:szCs w:val="24"/>
          <w:lang w:val="uk-UA"/>
        </w:rPr>
        <w:t>Отже, територіальними межами у відповідній концентрації є територія:</w:t>
      </w:r>
    </w:p>
    <w:p w:rsidR="00243993" w:rsidRPr="004868D7" w:rsidRDefault="00243993" w:rsidP="00243993">
      <w:pPr>
        <w:pStyle w:val="af4"/>
        <w:tabs>
          <w:tab w:val="left" w:pos="709"/>
          <w:tab w:val="left" w:pos="851"/>
        </w:tabs>
        <w:overflowPunct/>
        <w:ind w:left="0"/>
        <w:contextualSpacing/>
        <w:jc w:val="both"/>
        <w:rPr>
          <w:iCs/>
          <w:szCs w:val="24"/>
          <w:lang w:val="uk-UA"/>
        </w:rPr>
      </w:pPr>
    </w:p>
    <w:p w:rsidR="007D24AD" w:rsidRDefault="007D24AD" w:rsidP="00E07C2B">
      <w:pPr>
        <w:tabs>
          <w:tab w:val="left" w:pos="284"/>
          <w:tab w:val="left" w:pos="709"/>
        </w:tabs>
        <w:ind w:left="709" w:firstLine="425"/>
        <w:contextualSpacing/>
        <w:jc w:val="both"/>
        <w:rPr>
          <w:rStyle w:val="affb"/>
          <w:rFonts w:eastAsia="Calibri"/>
          <w:i w:val="0"/>
          <w:sz w:val="24"/>
          <w:szCs w:val="24"/>
          <w:lang w:val="uk-UA"/>
        </w:rPr>
      </w:pPr>
      <w:r w:rsidRPr="004868D7">
        <w:rPr>
          <w:rStyle w:val="affb"/>
          <w:rFonts w:eastAsia="Calibri"/>
          <w:i w:val="0"/>
          <w:sz w:val="24"/>
          <w:szCs w:val="24"/>
          <w:lang w:val="uk-UA"/>
        </w:rPr>
        <w:t xml:space="preserve">навколо м. Херсон, де розташовані Нафтобаза </w:t>
      </w:r>
      <w:r w:rsidR="00E43641">
        <w:rPr>
          <w:rStyle w:val="affb"/>
          <w:rFonts w:eastAsia="Calibri"/>
          <w:i w:val="0"/>
          <w:sz w:val="24"/>
          <w:szCs w:val="24"/>
          <w:lang w:val="uk-UA"/>
        </w:rPr>
        <w:t>й</w:t>
      </w:r>
      <w:r w:rsidRPr="004868D7">
        <w:rPr>
          <w:rStyle w:val="affb"/>
          <w:rFonts w:eastAsia="Calibri"/>
          <w:i w:val="0"/>
          <w:sz w:val="24"/>
          <w:szCs w:val="24"/>
          <w:lang w:val="uk-UA"/>
        </w:rPr>
        <w:t xml:space="preserve"> </w:t>
      </w:r>
      <w:proofErr w:type="spellStart"/>
      <w:r w:rsidRPr="004868D7">
        <w:rPr>
          <w:rStyle w:val="affb"/>
          <w:rFonts w:eastAsia="Calibri"/>
          <w:i w:val="0"/>
          <w:sz w:val="24"/>
          <w:szCs w:val="24"/>
          <w:lang w:val="uk-UA"/>
        </w:rPr>
        <w:t>Нафтоперевалка</w:t>
      </w:r>
      <w:proofErr w:type="spellEnd"/>
      <w:r w:rsidRPr="004868D7">
        <w:rPr>
          <w:rStyle w:val="affb"/>
          <w:rFonts w:eastAsia="Calibri"/>
          <w:i w:val="0"/>
          <w:sz w:val="24"/>
          <w:szCs w:val="24"/>
          <w:lang w:val="uk-UA"/>
        </w:rPr>
        <w:t>, тобто територі</w:t>
      </w:r>
      <w:r w:rsidR="00073081">
        <w:rPr>
          <w:rStyle w:val="affb"/>
          <w:rFonts w:eastAsia="Calibri"/>
          <w:i w:val="0"/>
          <w:sz w:val="24"/>
          <w:szCs w:val="24"/>
          <w:lang w:val="uk-UA"/>
        </w:rPr>
        <w:t>я</w:t>
      </w:r>
      <w:r w:rsidRPr="004868D7">
        <w:rPr>
          <w:rStyle w:val="affb"/>
          <w:rFonts w:eastAsia="Calibri"/>
          <w:i w:val="0"/>
          <w:sz w:val="24"/>
          <w:szCs w:val="24"/>
          <w:lang w:val="uk-UA"/>
        </w:rPr>
        <w:t xml:space="preserve"> Херсонської області;</w:t>
      </w:r>
    </w:p>
    <w:p w:rsidR="00243993" w:rsidRPr="004868D7" w:rsidRDefault="00243993" w:rsidP="00E07C2B">
      <w:pPr>
        <w:tabs>
          <w:tab w:val="left" w:pos="284"/>
          <w:tab w:val="left" w:pos="709"/>
        </w:tabs>
        <w:ind w:left="709" w:firstLine="425"/>
        <w:contextualSpacing/>
        <w:jc w:val="both"/>
        <w:rPr>
          <w:rStyle w:val="affb"/>
          <w:rFonts w:eastAsia="Calibri"/>
          <w:i w:val="0"/>
          <w:sz w:val="24"/>
          <w:szCs w:val="24"/>
          <w:lang w:val="uk-UA"/>
        </w:rPr>
      </w:pPr>
    </w:p>
    <w:p w:rsidR="007D24AD" w:rsidRPr="004868D7" w:rsidRDefault="007D24AD" w:rsidP="00E07C2B">
      <w:pPr>
        <w:tabs>
          <w:tab w:val="left" w:pos="284"/>
          <w:tab w:val="left" w:pos="709"/>
        </w:tabs>
        <w:ind w:left="709" w:firstLine="425"/>
        <w:contextualSpacing/>
        <w:jc w:val="both"/>
        <w:rPr>
          <w:rStyle w:val="affb"/>
          <w:rFonts w:eastAsia="Calibri"/>
          <w:i w:val="0"/>
          <w:sz w:val="24"/>
          <w:szCs w:val="24"/>
          <w:lang w:val="uk-UA"/>
        </w:rPr>
      </w:pPr>
      <w:r w:rsidRPr="004868D7">
        <w:rPr>
          <w:rStyle w:val="affb"/>
          <w:rFonts w:eastAsia="Calibri"/>
          <w:i w:val="0"/>
          <w:sz w:val="24"/>
          <w:szCs w:val="24"/>
          <w:lang w:val="uk-UA"/>
        </w:rPr>
        <w:t>сусідніх областей чи їх частин, зокрема: Миколаївська область, північна частина Одеської області (від Дністровського лиману), Кіровоградська область, західна (правобережна), західна частина Запорізької області.</w:t>
      </w:r>
    </w:p>
    <w:p w:rsidR="00E07C2B" w:rsidRPr="004868D7" w:rsidRDefault="00E07C2B" w:rsidP="00E07C2B">
      <w:pPr>
        <w:tabs>
          <w:tab w:val="left" w:pos="284"/>
          <w:tab w:val="left" w:pos="709"/>
        </w:tabs>
        <w:ind w:left="709" w:firstLine="425"/>
        <w:contextualSpacing/>
        <w:jc w:val="both"/>
        <w:rPr>
          <w:rStyle w:val="affb"/>
          <w:rFonts w:eastAsia="Calibri"/>
          <w:i w:val="0"/>
          <w:sz w:val="24"/>
          <w:szCs w:val="24"/>
          <w:lang w:val="uk-UA"/>
        </w:rPr>
      </w:pPr>
    </w:p>
    <w:p w:rsidR="007D24AD" w:rsidRDefault="007D24AD" w:rsidP="00E07C2B">
      <w:pPr>
        <w:pStyle w:val="af4"/>
        <w:numPr>
          <w:ilvl w:val="0"/>
          <w:numId w:val="7"/>
        </w:numPr>
        <w:tabs>
          <w:tab w:val="left" w:pos="709"/>
          <w:tab w:val="left" w:pos="851"/>
        </w:tabs>
        <w:overflowPunct/>
        <w:ind w:left="709" w:hanging="709"/>
        <w:contextualSpacing/>
        <w:jc w:val="both"/>
        <w:rPr>
          <w:iCs/>
          <w:szCs w:val="24"/>
          <w:lang w:val="uk-UA"/>
        </w:rPr>
      </w:pPr>
      <w:r w:rsidRPr="004868D7">
        <w:rPr>
          <w:iCs/>
          <w:szCs w:val="24"/>
          <w:lang w:val="uk-UA"/>
        </w:rPr>
        <w:t>Серед суб’єктів господарювання, які пов’язані відносинами контролю з АТ «КОНЦЕРН ГАЛНАФТОГАЗ»</w:t>
      </w:r>
      <w:r w:rsidR="00E43641">
        <w:rPr>
          <w:iCs/>
          <w:szCs w:val="24"/>
          <w:lang w:val="uk-UA"/>
        </w:rPr>
        <w:t xml:space="preserve">, протягом 2018 – </w:t>
      </w:r>
      <w:r w:rsidRPr="004868D7">
        <w:rPr>
          <w:iCs/>
          <w:szCs w:val="24"/>
          <w:lang w:val="uk-UA"/>
        </w:rPr>
        <w:t xml:space="preserve">2019 років та січня – лютого </w:t>
      </w:r>
      <w:r w:rsidRPr="004868D7">
        <w:rPr>
          <w:iCs/>
          <w:szCs w:val="24"/>
          <w:lang w:val="uk-UA"/>
        </w:rPr>
        <w:br/>
        <w:t>2020 року діяльність на ринку зберігання високооктанових моторних бензинів та дизельного пального здійснювало ли</w:t>
      </w:r>
      <w:r w:rsidR="00E43641">
        <w:rPr>
          <w:iCs/>
          <w:szCs w:val="24"/>
          <w:lang w:val="uk-UA"/>
        </w:rPr>
        <w:t>ше ПП «НАФТОТЕРМІНАЛ» переважно</w:t>
      </w:r>
      <w:r w:rsidRPr="004868D7">
        <w:rPr>
          <w:iCs/>
          <w:szCs w:val="24"/>
          <w:lang w:val="uk-UA"/>
        </w:rPr>
        <w:t xml:space="preserve"> в західних та північних регіонах України (три нафтобази у Львівській, а також по одній нафтобазі </w:t>
      </w:r>
      <w:r w:rsidR="00E43641">
        <w:rPr>
          <w:iCs/>
          <w:szCs w:val="24"/>
          <w:lang w:val="uk-UA"/>
        </w:rPr>
        <w:t>в</w:t>
      </w:r>
      <w:r w:rsidRPr="004868D7">
        <w:rPr>
          <w:iCs/>
          <w:szCs w:val="24"/>
          <w:lang w:val="uk-UA"/>
        </w:rPr>
        <w:t xml:space="preserve"> Івано-Франківській, Закарпатській, Рівненській, Хмельницькій, Вінницькій, Житомирській та Київській областях).</w:t>
      </w:r>
    </w:p>
    <w:p w:rsidR="004868D7" w:rsidRPr="004868D7" w:rsidRDefault="004868D7" w:rsidP="004868D7">
      <w:pPr>
        <w:pStyle w:val="af4"/>
        <w:tabs>
          <w:tab w:val="left" w:pos="709"/>
          <w:tab w:val="left" w:pos="851"/>
        </w:tabs>
        <w:overflowPunct/>
        <w:ind w:left="709"/>
        <w:contextualSpacing/>
        <w:jc w:val="both"/>
        <w:rPr>
          <w:iCs/>
          <w:szCs w:val="24"/>
          <w:lang w:val="uk-UA"/>
        </w:rPr>
      </w:pPr>
    </w:p>
    <w:p w:rsidR="007D24AD" w:rsidRPr="00675949" w:rsidRDefault="00675949" w:rsidP="00675949">
      <w:pPr>
        <w:pStyle w:val="af4"/>
        <w:numPr>
          <w:ilvl w:val="0"/>
          <w:numId w:val="7"/>
        </w:numPr>
        <w:tabs>
          <w:tab w:val="left" w:pos="709"/>
          <w:tab w:val="left" w:pos="851"/>
        </w:tabs>
        <w:overflowPunct/>
        <w:ind w:left="709" w:hanging="709"/>
        <w:contextualSpacing/>
        <w:jc w:val="both"/>
        <w:rPr>
          <w:iCs/>
          <w:szCs w:val="24"/>
          <w:lang w:val="uk-UA"/>
        </w:rPr>
      </w:pPr>
      <w:r w:rsidRPr="00675949">
        <w:rPr>
          <w:iCs/>
          <w:szCs w:val="24"/>
          <w:lang w:val="uk-UA"/>
        </w:rPr>
        <w:t>За оцінкою учасників концентрації</w:t>
      </w:r>
      <w:r>
        <w:rPr>
          <w:iCs/>
          <w:szCs w:val="24"/>
          <w:lang w:val="uk-UA"/>
        </w:rPr>
        <w:t>,</w:t>
      </w:r>
      <w:r w:rsidRPr="00675949">
        <w:rPr>
          <w:iCs/>
          <w:szCs w:val="24"/>
          <w:lang w:val="uk-UA"/>
        </w:rPr>
        <w:t xml:space="preserve"> </w:t>
      </w:r>
      <w:r>
        <w:rPr>
          <w:iCs/>
          <w:szCs w:val="24"/>
          <w:lang w:val="uk-UA"/>
        </w:rPr>
        <w:t>п</w:t>
      </w:r>
      <w:r w:rsidR="007D24AD" w:rsidRPr="00675949">
        <w:rPr>
          <w:iCs/>
          <w:szCs w:val="24"/>
          <w:lang w:val="uk-UA"/>
        </w:rPr>
        <w:t xml:space="preserve">ісля здійснення концентрації: потенційна сукупна частка учасників концентрації на ринку зберігання високооктанових моторних бензинів та дизельного пального у визначених у пункті </w:t>
      </w:r>
      <w:r>
        <w:rPr>
          <w:iCs/>
          <w:szCs w:val="24"/>
          <w:lang w:val="uk-UA"/>
        </w:rPr>
        <w:t>40</w:t>
      </w:r>
      <w:r w:rsidR="007D24AD" w:rsidRPr="00675949">
        <w:rPr>
          <w:iCs/>
          <w:szCs w:val="24"/>
          <w:lang w:val="uk-UA"/>
        </w:rPr>
        <w:t xml:space="preserve"> цього </w:t>
      </w:r>
      <w:r>
        <w:rPr>
          <w:iCs/>
          <w:szCs w:val="24"/>
          <w:lang w:val="uk-UA"/>
        </w:rPr>
        <w:t xml:space="preserve">рішення </w:t>
      </w:r>
      <w:r w:rsidR="007D24AD" w:rsidRPr="00675949">
        <w:rPr>
          <w:iCs/>
          <w:szCs w:val="24"/>
          <w:lang w:val="uk-UA"/>
        </w:rPr>
        <w:t>територіальних межах не перевищуватиме 1</w:t>
      </w:r>
      <w:r w:rsidRPr="00675949">
        <w:rPr>
          <w:iCs/>
          <w:szCs w:val="24"/>
          <w:lang w:val="uk-UA"/>
        </w:rPr>
        <w:t>4</w:t>
      </w:r>
      <w:r w:rsidR="007D24AD" w:rsidRPr="00675949">
        <w:rPr>
          <w:iCs/>
          <w:szCs w:val="24"/>
          <w:lang w:val="uk-UA"/>
        </w:rPr>
        <w:t xml:space="preserve"> відсотків.</w:t>
      </w:r>
    </w:p>
    <w:p w:rsidR="00243993" w:rsidRPr="004868D7" w:rsidRDefault="00243993" w:rsidP="00243993">
      <w:pPr>
        <w:pStyle w:val="af4"/>
        <w:tabs>
          <w:tab w:val="left" w:pos="709"/>
          <w:tab w:val="left" w:pos="851"/>
        </w:tabs>
        <w:overflowPunct/>
        <w:ind w:left="0"/>
        <w:contextualSpacing/>
        <w:jc w:val="both"/>
        <w:rPr>
          <w:iCs/>
          <w:szCs w:val="24"/>
          <w:lang w:val="uk-UA"/>
        </w:rPr>
      </w:pPr>
    </w:p>
    <w:p w:rsidR="007D24AD" w:rsidRPr="004868D7" w:rsidRDefault="007D24AD" w:rsidP="00E07C2B">
      <w:pPr>
        <w:pStyle w:val="af4"/>
        <w:numPr>
          <w:ilvl w:val="0"/>
          <w:numId w:val="7"/>
        </w:numPr>
        <w:tabs>
          <w:tab w:val="left" w:pos="709"/>
          <w:tab w:val="left" w:pos="851"/>
        </w:tabs>
        <w:overflowPunct/>
        <w:ind w:left="709" w:hanging="709"/>
        <w:contextualSpacing/>
        <w:jc w:val="both"/>
        <w:rPr>
          <w:iCs/>
          <w:szCs w:val="24"/>
          <w:lang w:val="uk-UA"/>
        </w:rPr>
      </w:pPr>
      <w:r w:rsidRPr="004868D7">
        <w:rPr>
          <w:iCs/>
          <w:szCs w:val="24"/>
          <w:lang w:val="uk-UA"/>
        </w:rPr>
        <w:t>Найбільшими конкурентами учасників концентрації на ринку зберігання нафтопродуктів є ТОВ «ОРАНЖ ОІЛ», ЗАТ «РУР ГРУП С.А.», ТОВ «ТЕРМІНАЛ ОЙЛ ГРУП», ТОВ «ГЛУСКО РІТЕЙЛ», АТ «ЕКСІМ НАФТОПРОДУКТ».</w:t>
      </w:r>
    </w:p>
    <w:p w:rsidR="007D24AD" w:rsidRPr="004868D7" w:rsidRDefault="007D24AD" w:rsidP="00E07C2B">
      <w:pPr>
        <w:pStyle w:val="af4"/>
        <w:tabs>
          <w:tab w:val="left" w:pos="709"/>
          <w:tab w:val="left" w:pos="851"/>
        </w:tabs>
        <w:overflowPunct/>
        <w:ind w:left="0"/>
        <w:contextualSpacing/>
        <w:jc w:val="both"/>
        <w:rPr>
          <w:iCs/>
          <w:szCs w:val="24"/>
          <w:lang w:val="uk-UA"/>
        </w:rPr>
      </w:pPr>
    </w:p>
    <w:p w:rsidR="007D24AD" w:rsidRPr="00073081" w:rsidRDefault="007D24AD" w:rsidP="00E07C2B">
      <w:pPr>
        <w:pStyle w:val="af4"/>
        <w:numPr>
          <w:ilvl w:val="0"/>
          <w:numId w:val="7"/>
        </w:numPr>
        <w:tabs>
          <w:tab w:val="left" w:pos="709"/>
          <w:tab w:val="left" w:pos="851"/>
        </w:tabs>
        <w:overflowPunct/>
        <w:ind w:left="709" w:hanging="709"/>
        <w:contextualSpacing/>
        <w:jc w:val="both"/>
        <w:rPr>
          <w:iCs/>
          <w:szCs w:val="24"/>
          <w:lang w:val="uk-UA"/>
        </w:rPr>
      </w:pPr>
      <w:r w:rsidRPr="00073081">
        <w:rPr>
          <w:iCs/>
          <w:szCs w:val="24"/>
          <w:lang w:val="uk-UA"/>
        </w:rPr>
        <w:t>Під час розгляду справи, за результатом аналізу єдиного державного реєстру суб'єктів господарювання, які отримали ліцензії на право виробництва, зберігання, оптової та роздрібної торгівлі пальним, та місць виробництва, зберігання, оптової та роздрібної торгівлі пальним</w:t>
      </w:r>
      <w:r w:rsidRPr="00073081">
        <w:rPr>
          <w:rStyle w:val="af3"/>
          <w:iCs/>
          <w:szCs w:val="24"/>
          <w:lang w:val="uk-UA"/>
        </w:rPr>
        <w:footnoteReference w:id="4"/>
      </w:r>
      <w:r w:rsidRPr="00073081">
        <w:rPr>
          <w:iCs/>
          <w:szCs w:val="24"/>
          <w:lang w:val="uk-UA"/>
        </w:rPr>
        <w:t xml:space="preserve"> Комітетом встановлено, що у визначених т</w:t>
      </w:r>
      <w:r w:rsidR="00E43641">
        <w:rPr>
          <w:iCs/>
          <w:szCs w:val="24"/>
          <w:lang w:val="uk-UA"/>
        </w:rPr>
        <w:t xml:space="preserve">ериторіальних межах діяльність </w:t>
      </w:r>
      <w:r w:rsidRPr="00073081">
        <w:rPr>
          <w:iCs/>
          <w:szCs w:val="24"/>
          <w:lang w:val="uk-UA"/>
        </w:rPr>
        <w:t>з</w:t>
      </w:r>
      <w:r w:rsidR="00E43641">
        <w:rPr>
          <w:iCs/>
          <w:szCs w:val="24"/>
          <w:lang w:val="uk-UA"/>
        </w:rPr>
        <w:t>і</w:t>
      </w:r>
      <w:r w:rsidRPr="00073081">
        <w:rPr>
          <w:iCs/>
          <w:szCs w:val="24"/>
          <w:lang w:val="uk-UA"/>
        </w:rPr>
        <w:t xml:space="preserve"> зберігання нафтопродуктів здійснюють більше 200 суб’єктів господарювання.</w:t>
      </w:r>
    </w:p>
    <w:p w:rsidR="007D24AD" w:rsidRPr="00073081" w:rsidRDefault="007D24AD" w:rsidP="00E07C2B">
      <w:pPr>
        <w:pStyle w:val="af4"/>
        <w:contextualSpacing/>
        <w:rPr>
          <w:iCs/>
          <w:szCs w:val="24"/>
          <w:lang w:val="uk-UA"/>
        </w:rPr>
      </w:pPr>
    </w:p>
    <w:p w:rsidR="007D24AD" w:rsidRPr="00073081" w:rsidRDefault="007D24AD" w:rsidP="00E07C2B">
      <w:pPr>
        <w:pStyle w:val="af4"/>
        <w:numPr>
          <w:ilvl w:val="0"/>
          <w:numId w:val="7"/>
        </w:numPr>
        <w:tabs>
          <w:tab w:val="left" w:pos="709"/>
          <w:tab w:val="left" w:pos="851"/>
        </w:tabs>
        <w:overflowPunct/>
        <w:ind w:left="709" w:hanging="709"/>
        <w:contextualSpacing/>
        <w:jc w:val="both"/>
        <w:rPr>
          <w:iCs/>
          <w:szCs w:val="24"/>
          <w:lang w:val="uk-UA"/>
        </w:rPr>
      </w:pPr>
      <w:r w:rsidRPr="00073081">
        <w:rPr>
          <w:iCs/>
          <w:szCs w:val="24"/>
          <w:lang w:val="uk-UA"/>
        </w:rPr>
        <w:t>За інформацією</w:t>
      </w:r>
      <w:r w:rsidR="00E43641">
        <w:rPr>
          <w:iCs/>
          <w:szCs w:val="24"/>
          <w:lang w:val="uk-UA"/>
        </w:rPr>
        <w:t>,</w:t>
      </w:r>
      <w:r w:rsidRPr="00073081">
        <w:rPr>
          <w:iCs/>
          <w:szCs w:val="24"/>
          <w:lang w:val="uk-UA"/>
        </w:rPr>
        <w:t xml:space="preserve"> отриманою від АМПУ</w:t>
      </w:r>
      <w:r w:rsidR="00E43641">
        <w:rPr>
          <w:iCs/>
          <w:szCs w:val="24"/>
          <w:lang w:val="uk-UA"/>
        </w:rPr>
        <w:t xml:space="preserve">, </w:t>
      </w:r>
      <w:r w:rsidRPr="00073081">
        <w:rPr>
          <w:iCs/>
          <w:szCs w:val="24"/>
          <w:lang w:val="uk-UA"/>
        </w:rPr>
        <w:t>частка комплексу Херсонської нафтоперевалки зі зберігання нафтопродуктів у загальному об</w:t>
      </w:r>
      <w:r w:rsidR="00E43641">
        <w:rPr>
          <w:iCs/>
          <w:szCs w:val="24"/>
          <w:lang w:val="uk-UA"/>
        </w:rPr>
        <w:t>сязі</w:t>
      </w:r>
      <w:r w:rsidRPr="00073081">
        <w:rPr>
          <w:iCs/>
          <w:szCs w:val="24"/>
          <w:lang w:val="uk-UA"/>
        </w:rPr>
        <w:t xml:space="preserve"> морських </w:t>
      </w:r>
      <w:proofErr w:type="spellStart"/>
      <w:r w:rsidRPr="00073081">
        <w:rPr>
          <w:iCs/>
          <w:szCs w:val="24"/>
          <w:lang w:val="uk-UA"/>
        </w:rPr>
        <w:t>нафтоперевальних</w:t>
      </w:r>
      <w:proofErr w:type="spellEnd"/>
      <w:r w:rsidRPr="00073081">
        <w:rPr>
          <w:iCs/>
          <w:szCs w:val="24"/>
          <w:lang w:val="uk-UA"/>
        </w:rPr>
        <w:t xml:space="preserve"> комплексів </w:t>
      </w:r>
      <w:r w:rsidR="00E43641">
        <w:rPr>
          <w:iCs/>
          <w:szCs w:val="24"/>
          <w:lang w:val="uk-UA"/>
        </w:rPr>
        <w:t>становитиме</w:t>
      </w:r>
      <w:r w:rsidRPr="00073081">
        <w:rPr>
          <w:iCs/>
          <w:szCs w:val="24"/>
          <w:lang w:val="uk-UA"/>
        </w:rPr>
        <w:t xml:space="preserve"> близько 2 відсотків (див. </w:t>
      </w:r>
      <w:r w:rsidR="00E43641">
        <w:rPr>
          <w:iCs/>
          <w:szCs w:val="24"/>
          <w:lang w:val="uk-UA"/>
        </w:rPr>
        <w:t>табл.</w:t>
      </w:r>
      <w:r w:rsidRPr="00073081">
        <w:rPr>
          <w:iCs/>
          <w:szCs w:val="24"/>
          <w:lang w:val="uk-UA"/>
        </w:rPr>
        <w:t xml:space="preserve"> </w:t>
      </w:r>
      <w:r w:rsidR="00073081" w:rsidRPr="00073081">
        <w:rPr>
          <w:iCs/>
          <w:szCs w:val="24"/>
          <w:lang w:val="uk-UA"/>
        </w:rPr>
        <w:t>4</w:t>
      </w:r>
      <w:r w:rsidRPr="00073081">
        <w:rPr>
          <w:iCs/>
          <w:szCs w:val="24"/>
          <w:lang w:val="uk-UA"/>
        </w:rPr>
        <w:t>)</w:t>
      </w:r>
      <w:r w:rsidR="00E43641">
        <w:rPr>
          <w:iCs/>
          <w:szCs w:val="24"/>
          <w:lang w:val="uk-UA"/>
        </w:rPr>
        <w:t>.</w:t>
      </w:r>
    </w:p>
    <w:p w:rsidR="004868D7" w:rsidRDefault="004868D7" w:rsidP="00E43641">
      <w:pPr>
        <w:pStyle w:val="af4"/>
        <w:ind w:left="0"/>
        <w:contextualSpacing/>
        <w:rPr>
          <w:iCs/>
          <w:szCs w:val="24"/>
          <w:lang w:val="uk-UA"/>
        </w:rPr>
      </w:pPr>
    </w:p>
    <w:p w:rsidR="007D24AD" w:rsidRPr="00E07C2B" w:rsidRDefault="007D24AD" w:rsidP="00E07C2B">
      <w:pPr>
        <w:pStyle w:val="af4"/>
        <w:contextualSpacing/>
        <w:jc w:val="right"/>
        <w:rPr>
          <w:iCs/>
          <w:szCs w:val="24"/>
          <w:lang w:val="uk-UA"/>
        </w:rPr>
      </w:pPr>
      <w:r w:rsidRPr="00E07C2B">
        <w:rPr>
          <w:iCs/>
          <w:szCs w:val="24"/>
          <w:lang w:val="uk-UA"/>
        </w:rPr>
        <w:t xml:space="preserve">Таблиця </w:t>
      </w:r>
      <w:r w:rsidR="00073081">
        <w:rPr>
          <w:iCs/>
          <w:szCs w:val="24"/>
          <w:lang w:val="uk-UA"/>
        </w:rPr>
        <w:t>4</w:t>
      </w: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7"/>
        <w:gridCol w:w="2551"/>
        <w:gridCol w:w="2552"/>
      </w:tblGrid>
      <w:tr w:rsidR="007D24AD" w:rsidRPr="00E07C2B" w:rsidTr="007C09E5">
        <w:trPr>
          <w:trHeight w:val="829"/>
        </w:trPr>
        <w:tc>
          <w:tcPr>
            <w:tcW w:w="3827" w:type="dxa"/>
            <w:shd w:val="clear" w:color="auto" w:fill="auto"/>
            <w:vAlign w:val="center"/>
            <w:hideMark/>
          </w:tcPr>
          <w:p w:rsidR="007D24AD" w:rsidRPr="004868D7" w:rsidRDefault="007D24AD" w:rsidP="00E07C2B">
            <w:pPr>
              <w:contextualSpacing/>
              <w:jc w:val="center"/>
              <w:rPr>
                <w:bCs/>
                <w:color w:val="000000"/>
                <w:sz w:val="20"/>
                <w:szCs w:val="20"/>
              </w:rPr>
            </w:pPr>
            <w:r w:rsidRPr="004868D7">
              <w:rPr>
                <w:bCs/>
                <w:color w:val="000000"/>
                <w:sz w:val="20"/>
                <w:szCs w:val="20"/>
                <w:lang w:val="uk-UA"/>
              </w:rPr>
              <w:t>Морський порт</w:t>
            </w:r>
          </w:p>
        </w:tc>
        <w:tc>
          <w:tcPr>
            <w:tcW w:w="2551" w:type="dxa"/>
            <w:shd w:val="clear" w:color="auto" w:fill="auto"/>
            <w:vAlign w:val="center"/>
            <w:hideMark/>
          </w:tcPr>
          <w:p w:rsidR="007D24AD" w:rsidRPr="004868D7" w:rsidRDefault="007D24AD" w:rsidP="00E07C2B">
            <w:pPr>
              <w:contextualSpacing/>
              <w:jc w:val="center"/>
              <w:rPr>
                <w:color w:val="000000"/>
                <w:sz w:val="20"/>
                <w:szCs w:val="20"/>
              </w:rPr>
            </w:pPr>
            <w:r w:rsidRPr="004868D7">
              <w:rPr>
                <w:color w:val="000000"/>
                <w:sz w:val="20"/>
                <w:szCs w:val="20"/>
                <w:lang w:val="uk-UA"/>
              </w:rPr>
              <w:t>Потужності зі зберігання нафтопродуктів у складі нафтоперевального комплексу</w:t>
            </w:r>
          </w:p>
          <w:p w:rsidR="007D24AD" w:rsidRPr="004868D7" w:rsidRDefault="007D24AD" w:rsidP="00E07C2B">
            <w:pPr>
              <w:contextualSpacing/>
              <w:jc w:val="center"/>
              <w:rPr>
                <w:color w:val="000000"/>
                <w:sz w:val="20"/>
                <w:szCs w:val="20"/>
              </w:rPr>
            </w:pPr>
            <w:r w:rsidRPr="004868D7">
              <w:rPr>
                <w:bCs/>
                <w:color w:val="000000"/>
                <w:sz w:val="20"/>
                <w:szCs w:val="20"/>
                <w:lang w:val="uk-UA"/>
              </w:rPr>
              <w:t>(тис. тонн)</w:t>
            </w:r>
          </w:p>
        </w:tc>
        <w:tc>
          <w:tcPr>
            <w:tcW w:w="2552" w:type="dxa"/>
          </w:tcPr>
          <w:p w:rsidR="007D24AD" w:rsidRPr="004868D7" w:rsidRDefault="007D24AD" w:rsidP="00E07C2B">
            <w:pPr>
              <w:contextualSpacing/>
              <w:jc w:val="center"/>
              <w:rPr>
                <w:color w:val="000000"/>
                <w:sz w:val="20"/>
                <w:szCs w:val="20"/>
                <w:lang w:val="uk-UA"/>
              </w:rPr>
            </w:pPr>
            <w:r w:rsidRPr="004868D7">
              <w:rPr>
                <w:color w:val="000000"/>
                <w:sz w:val="20"/>
                <w:szCs w:val="20"/>
                <w:lang w:val="uk-UA"/>
              </w:rPr>
              <w:t xml:space="preserve">Частка потужностей зі зберігання нафтопродуктів у складі нафтоперевального комплексу від сукупної </w:t>
            </w:r>
            <w:r w:rsidRPr="004868D7">
              <w:rPr>
                <w:color w:val="000000"/>
                <w:sz w:val="20"/>
                <w:szCs w:val="20"/>
                <w:lang w:val="uk-UA"/>
              </w:rPr>
              <w:lastRenderedPageBreak/>
              <w:t>по</w:t>
            </w:r>
            <w:r w:rsidR="00E43641">
              <w:rPr>
                <w:color w:val="000000"/>
                <w:sz w:val="20"/>
                <w:szCs w:val="20"/>
                <w:lang w:val="uk-UA"/>
              </w:rPr>
              <w:t xml:space="preserve">тужності зі зберігання на </w:t>
            </w:r>
            <w:proofErr w:type="spellStart"/>
            <w:r w:rsidR="00E43641">
              <w:rPr>
                <w:color w:val="000000"/>
                <w:sz w:val="20"/>
                <w:szCs w:val="20"/>
                <w:lang w:val="uk-UA"/>
              </w:rPr>
              <w:t>нафто</w:t>
            </w:r>
            <w:r w:rsidRPr="004868D7">
              <w:rPr>
                <w:color w:val="000000"/>
                <w:sz w:val="20"/>
                <w:szCs w:val="20"/>
                <w:lang w:val="uk-UA"/>
              </w:rPr>
              <w:t>перевальних</w:t>
            </w:r>
            <w:proofErr w:type="spellEnd"/>
            <w:r w:rsidRPr="004868D7">
              <w:rPr>
                <w:color w:val="000000"/>
                <w:sz w:val="20"/>
                <w:szCs w:val="20"/>
                <w:lang w:val="uk-UA"/>
              </w:rPr>
              <w:t xml:space="preserve"> комплексах</w:t>
            </w:r>
          </w:p>
          <w:p w:rsidR="007D24AD" w:rsidRPr="004868D7" w:rsidRDefault="007D24AD" w:rsidP="00E07C2B">
            <w:pPr>
              <w:contextualSpacing/>
              <w:jc w:val="center"/>
              <w:rPr>
                <w:color w:val="000000"/>
                <w:sz w:val="20"/>
                <w:szCs w:val="20"/>
                <w:lang w:val="uk-UA"/>
              </w:rPr>
            </w:pPr>
            <w:r w:rsidRPr="004868D7">
              <w:rPr>
                <w:color w:val="000000"/>
                <w:sz w:val="20"/>
                <w:szCs w:val="20"/>
                <w:lang w:val="uk-UA"/>
              </w:rPr>
              <w:t>%</w:t>
            </w:r>
          </w:p>
        </w:tc>
      </w:tr>
      <w:tr w:rsidR="007D24AD" w:rsidRPr="00E07C2B" w:rsidTr="007C09E5">
        <w:trPr>
          <w:trHeight w:val="58"/>
        </w:trPr>
        <w:tc>
          <w:tcPr>
            <w:tcW w:w="3827" w:type="dxa"/>
            <w:shd w:val="clear" w:color="auto" w:fill="auto"/>
            <w:vAlign w:val="center"/>
          </w:tcPr>
          <w:p w:rsidR="007D24AD" w:rsidRPr="004868D7" w:rsidRDefault="007D24AD" w:rsidP="00E07C2B">
            <w:pPr>
              <w:contextualSpacing/>
              <w:jc w:val="both"/>
              <w:rPr>
                <w:color w:val="000000"/>
                <w:sz w:val="20"/>
                <w:szCs w:val="20"/>
              </w:rPr>
            </w:pPr>
            <w:r w:rsidRPr="004868D7">
              <w:rPr>
                <w:color w:val="000000"/>
                <w:sz w:val="20"/>
                <w:szCs w:val="20"/>
                <w:lang w:val="uk-UA"/>
              </w:rPr>
              <w:lastRenderedPageBreak/>
              <w:t>Морський порт Ізмаїл</w:t>
            </w:r>
          </w:p>
        </w:tc>
        <w:tc>
          <w:tcPr>
            <w:tcW w:w="2551" w:type="dxa"/>
            <w:shd w:val="clear" w:color="auto" w:fill="auto"/>
            <w:vAlign w:val="bottom"/>
          </w:tcPr>
          <w:p w:rsidR="007D24AD" w:rsidRPr="004868D7" w:rsidRDefault="007D24AD" w:rsidP="00E07C2B">
            <w:pPr>
              <w:contextualSpacing/>
              <w:jc w:val="right"/>
              <w:rPr>
                <w:color w:val="000000"/>
                <w:sz w:val="20"/>
                <w:szCs w:val="20"/>
                <w:lang w:val="uk-UA"/>
              </w:rPr>
            </w:pPr>
            <w:r w:rsidRPr="004868D7">
              <w:rPr>
                <w:color w:val="000000"/>
                <w:sz w:val="20"/>
                <w:szCs w:val="20"/>
                <w:lang w:val="uk-UA"/>
              </w:rPr>
              <w:t>7,02</w:t>
            </w:r>
          </w:p>
        </w:tc>
        <w:tc>
          <w:tcPr>
            <w:tcW w:w="2552" w:type="dxa"/>
            <w:vAlign w:val="bottom"/>
          </w:tcPr>
          <w:p w:rsidR="007D24AD" w:rsidRPr="004868D7" w:rsidRDefault="007D24AD" w:rsidP="00E07C2B">
            <w:pPr>
              <w:contextualSpacing/>
              <w:jc w:val="right"/>
              <w:rPr>
                <w:color w:val="000000"/>
                <w:sz w:val="20"/>
                <w:szCs w:val="20"/>
                <w:lang w:val="uk-UA"/>
              </w:rPr>
            </w:pPr>
            <w:r w:rsidRPr="004868D7">
              <w:rPr>
                <w:color w:val="000000"/>
                <w:sz w:val="20"/>
                <w:szCs w:val="20"/>
                <w:lang w:val="uk-UA"/>
              </w:rPr>
              <w:t>1,43%</w:t>
            </w:r>
          </w:p>
        </w:tc>
      </w:tr>
      <w:tr w:rsidR="007D24AD" w:rsidRPr="00E07C2B" w:rsidTr="007C09E5">
        <w:trPr>
          <w:trHeight w:val="96"/>
        </w:trPr>
        <w:tc>
          <w:tcPr>
            <w:tcW w:w="3827" w:type="dxa"/>
            <w:shd w:val="clear" w:color="auto" w:fill="auto"/>
            <w:vAlign w:val="center"/>
            <w:hideMark/>
          </w:tcPr>
          <w:p w:rsidR="007D24AD" w:rsidRPr="004868D7" w:rsidRDefault="007D24AD" w:rsidP="00E07C2B">
            <w:pPr>
              <w:contextualSpacing/>
              <w:jc w:val="both"/>
              <w:rPr>
                <w:color w:val="000000"/>
                <w:sz w:val="20"/>
                <w:szCs w:val="20"/>
              </w:rPr>
            </w:pPr>
            <w:r w:rsidRPr="004868D7">
              <w:rPr>
                <w:color w:val="000000"/>
                <w:sz w:val="20"/>
                <w:szCs w:val="20"/>
                <w:lang w:val="uk-UA"/>
              </w:rPr>
              <w:t>Морський порт Миколаїв</w:t>
            </w:r>
          </w:p>
        </w:tc>
        <w:tc>
          <w:tcPr>
            <w:tcW w:w="2551" w:type="dxa"/>
            <w:shd w:val="clear" w:color="auto" w:fill="auto"/>
            <w:vAlign w:val="bottom"/>
          </w:tcPr>
          <w:p w:rsidR="007D24AD" w:rsidRPr="004868D7" w:rsidRDefault="007D24AD" w:rsidP="00E07C2B">
            <w:pPr>
              <w:contextualSpacing/>
              <w:jc w:val="right"/>
              <w:rPr>
                <w:color w:val="000000"/>
                <w:sz w:val="20"/>
                <w:szCs w:val="20"/>
                <w:lang w:val="uk-UA"/>
              </w:rPr>
            </w:pPr>
            <w:r w:rsidRPr="004868D7">
              <w:rPr>
                <w:color w:val="000000"/>
                <w:sz w:val="20"/>
                <w:szCs w:val="20"/>
                <w:lang w:val="uk-UA"/>
              </w:rPr>
              <w:t>87,8</w:t>
            </w:r>
          </w:p>
        </w:tc>
        <w:tc>
          <w:tcPr>
            <w:tcW w:w="2552" w:type="dxa"/>
            <w:vAlign w:val="bottom"/>
          </w:tcPr>
          <w:p w:rsidR="007D24AD" w:rsidRPr="004868D7" w:rsidRDefault="007D24AD" w:rsidP="00E07C2B">
            <w:pPr>
              <w:contextualSpacing/>
              <w:jc w:val="right"/>
              <w:rPr>
                <w:color w:val="000000"/>
                <w:sz w:val="20"/>
                <w:szCs w:val="20"/>
                <w:lang w:val="uk-UA"/>
              </w:rPr>
            </w:pPr>
            <w:r w:rsidRPr="004868D7">
              <w:rPr>
                <w:color w:val="000000"/>
                <w:sz w:val="20"/>
                <w:szCs w:val="20"/>
                <w:lang w:val="uk-UA"/>
              </w:rPr>
              <w:t>17,93%</w:t>
            </w:r>
          </w:p>
        </w:tc>
      </w:tr>
      <w:tr w:rsidR="007D24AD" w:rsidRPr="00E07C2B" w:rsidTr="007C09E5">
        <w:trPr>
          <w:trHeight w:val="58"/>
        </w:trPr>
        <w:tc>
          <w:tcPr>
            <w:tcW w:w="3827" w:type="dxa"/>
            <w:shd w:val="clear" w:color="auto" w:fill="auto"/>
            <w:vAlign w:val="center"/>
            <w:hideMark/>
          </w:tcPr>
          <w:p w:rsidR="007D24AD" w:rsidRPr="004868D7" w:rsidRDefault="007D24AD" w:rsidP="00E07C2B">
            <w:pPr>
              <w:contextualSpacing/>
              <w:jc w:val="both"/>
              <w:rPr>
                <w:color w:val="000000"/>
                <w:sz w:val="20"/>
                <w:szCs w:val="20"/>
              </w:rPr>
            </w:pPr>
            <w:r w:rsidRPr="004868D7">
              <w:rPr>
                <w:color w:val="000000"/>
                <w:sz w:val="20"/>
                <w:szCs w:val="20"/>
                <w:lang w:val="uk-UA"/>
              </w:rPr>
              <w:t>Морський порт Одеса</w:t>
            </w:r>
          </w:p>
        </w:tc>
        <w:tc>
          <w:tcPr>
            <w:tcW w:w="5103" w:type="dxa"/>
            <w:gridSpan w:val="2"/>
            <w:shd w:val="clear" w:color="auto" w:fill="auto"/>
            <w:noWrap/>
            <w:vAlign w:val="bottom"/>
          </w:tcPr>
          <w:p w:rsidR="007D24AD" w:rsidRPr="004868D7" w:rsidRDefault="007D24AD" w:rsidP="00E07C2B">
            <w:pPr>
              <w:contextualSpacing/>
              <w:jc w:val="center"/>
              <w:rPr>
                <w:color w:val="000000"/>
                <w:sz w:val="20"/>
                <w:szCs w:val="20"/>
                <w:lang w:val="uk-UA"/>
              </w:rPr>
            </w:pPr>
            <w:proofErr w:type="spellStart"/>
            <w:r w:rsidRPr="004868D7">
              <w:rPr>
                <w:color w:val="000000"/>
                <w:sz w:val="20"/>
                <w:szCs w:val="20"/>
                <w:lang w:val="uk-UA"/>
              </w:rPr>
              <w:t>н.д</w:t>
            </w:r>
            <w:proofErr w:type="spellEnd"/>
            <w:r w:rsidRPr="004868D7">
              <w:rPr>
                <w:color w:val="000000"/>
                <w:sz w:val="20"/>
                <w:szCs w:val="20"/>
                <w:lang w:val="uk-UA"/>
              </w:rPr>
              <w:t>.</w:t>
            </w:r>
          </w:p>
        </w:tc>
      </w:tr>
      <w:tr w:rsidR="007D24AD" w:rsidRPr="00E07C2B" w:rsidTr="007C09E5">
        <w:trPr>
          <w:trHeight w:val="58"/>
        </w:trPr>
        <w:tc>
          <w:tcPr>
            <w:tcW w:w="3827" w:type="dxa"/>
            <w:shd w:val="clear" w:color="auto" w:fill="auto"/>
            <w:vAlign w:val="center"/>
            <w:hideMark/>
          </w:tcPr>
          <w:p w:rsidR="007D24AD" w:rsidRPr="004868D7" w:rsidRDefault="007D24AD" w:rsidP="00E07C2B">
            <w:pPr>
              <w:contextualSpacing/>
              <w:jc w:val="both"/>
              <w:rPr>
                <w:color w:val="000000"/>
                <w:sz w:val="20"/>
                <w:szCs w:val="20"/>
              </w:rPr>
            </w:pPr>
            <w:r w:rsidRPr="004868D7">
              <w:rPr>
                <w:color w:val="000000"/>
                <w:sz w:val="20"/>
                <w:szCs w:val="20"/>
                <w:lang w:val="uk-UA"/>
              </w:rPr>
              <w:t>Морський порт «Південний»</w:t>
            </w:r>
          </w:p>
        </w:tc>
        <w:tc>
          <w:tcPr>
            <w:tcW w:w="2551" w:type="dxa"/>
            <w:shd w:val="clear" w:color="auto" w:fill="auto"/>
            <w:vAlign w:val="bottom"/>
          </w:tcPr>
          <w:p w:rsidR="007D24AD" w:rsidRPr="004868D7" w:rsidRDefault="007D24AD" w:rsidP="00E07C2B">
            <w:pPr>
              <w:contextualSpacing/>
              <w:jc w:val="right"/>
              <w:rPr>
                <w:color w:val="000000"/>
                <w:sz w:val="20"/>
                <w:szCs w:val="20"/>
                <w:lang w:val="uk-UA"/>
              </w:rPr>
            </w:pPr>
            <w:r w:rsidRPr="004868D7">
              <w:rPr>
                <w:color w:val="000000"/>
                <w:sz w:val="20"/>
                <w:szCs w:val="20"/>
                <w:lang w:val="uk-UA"/>
              </w:rPr>
              <w:t>227,76</w:t>
            </w:r>
          </w:p>
        </w:tc>
        <w:tc>
          <w:tcPr>
            <w:tcW w:w="2552" w:type="dxa"/>
            <w:vAlign w:val="bottom"/>
          </w:tcPr>
          <w:p w:rsidR="007D24AD" w:rsidRPr="004868D7" w:rsidRDefault="007D24AD" w:rsidP="00E07C2B">
            <w:pPr>
              <w:contextualSpacing/>
              <w:jc w:val="right"/>
              <w:rPr>
                <w:color w:val="000000"/>
                <w:sz w:val="20"/>
                <w:szCs w:val="20"/>
                <w:lang w:val="uk-UA"/>
              </w:rPr>
            </w:pPr>
            <w:r w:rsidRPr="004868D7">
              <w:rPr>
                <w:color w:val="000000"/>
                <w:sz w:val="20"/>
                <w:szCs w:val="20"/>
                <w:lang w:val="uk-UA"/>
              </w:rPr>
              <w:t>46,51%</w:t>
            </w:r>
          </w:p>
        </w:tc>
      </w:tr>
      <w:tr w:rsidR="007D24AD" w:rsidRPr="00E07C2B" w:rsidTr="007C09E5">
        <w:trPr>
          <w:trHeight w:val="58"/>
        </w:trPr>
        <w:tc>
          <w:tcPr>
            <w:tcW w:w="3827" w:type="dxa"/>
            <w:shd w:val="clear" w:color="auto" w:fill="auto"/>
            <w:vAlign w:val="center"/>
            <w:hideMark/>
          </w:tcPr>
          <w:p w:rsidR="007D24AD" w:rsidRPr="004868D7" w:rsidRDefault="007D24AD" w:rsidP="00E07C2B">
            <w:pPr>
              <w:contextualSpacing/>
              <w:jc w:val="both"/>
              <w:rPr>
                <w:color w:val="000000"/>
                <w:sz w:val="20"/>
                <w:szCs w:val="20"/>
              </w:rPr>
            </w:pPr>
            <w:r w:rsidRPr="004868D7">
              <w:rPr>
                <w:color w:val="000000"/>
                <w:sz w:val="20"/>
                <w:szCs w:val="20"/>
                <w:lang w:val="uk-UA"/>
              </w:rPr>
              <w:t>Морський порт Рені</w:t>
            </w:r>
          </w:p>
        </w:tc>
        <w:tc>
          <w:tcPr>
            <w:tcW w:w="2551" w:type="dxa"/>
            <w:shd w:val="clear" w:color="auto" w:fill="auto"/>
            <w:vAlign w:val="bottom"/>
          </w:tcPr>
          <w:p w:rsidR="007D24AD" w:rsidRPr="004868D7" w:rsidRDefault="007D24AD" w:rsidP="00E07C2B">
            <w:pPr>
              <w:contextualSpacing/>
              <w:jc w:val="right"/>
              <w:rPr>
                <w:color w:val="000000"/>
                <w:sz w:val="20"/>
                <w:szCs w:val="20"/>
                <w:lang w:val="uk-UA"/>
              </w:rPr>
            </w:pPr>
            <w:r w:rsidRPr="004868D7">
              <w:rPr>
                <w:color w:val="000000"/>
                <w:sz w:val="20"/>
                <w:szCs w:val="20"/>
                <w:lang w:val="uk-UA"/>
              </w:rPr>
              <w:t>97</w:t>
            </w:r>
          </w:p>
        </w:tc>
        <w:tc>
          <w:tcPr>
            <w:tcW w:w="2552" w:type="dxa"/>
            <w:vAlign w:val="bottom"/>
          </w:tcPr>
          <w:p w:rsidR="007D24AD" w:rsidRPr="004868D7" w:rsidRDefault="007D24AD" w:rsidP="00E07C2B">
            <w:pPr>
              <w:contextualSpacing/>
              <w:jc w:val="right"/>
              <w:rPr>
                <w:color w:val="000000"/>
                <w:sz w:val="20"/>
                <w:szCs w:val="20"/>
                <w:lang w:val="uk-UA"/>
              </w:rPr>
            </w:pPr>
            <w:r w:rsidRPr="004868D7">
              <w:rPr>
                <w:color w:val="000000"/>
                <w:sz w:val="20"/>
                <w:szCs w:val="20"/>
                <w:lang w:val="uk-UA"/>
              </w:rPr>
              <w:t>19,81%</w:t>
            </w:r>
          </w:p>
        </w:tc>
      </w:tr>
      <w:tr w:rsidR="007D24AD" w:rsidRPr="00E07C2B" w:rsidTr="007C09E5">
        <w:trPr>
          <w:trHeight w:val="58"/>
        </w:trPr>
        <w:tc>
          <w:tcPr>
            <w:tcW w:w="3827" w:type="dxa"/>
            <w:shd w:val="clear" w:color="auto" w:fill="auto"/>
            <w:vAlign w:val="center"/>
            <w:hideMark/>
          </w:tcPr>
          <w:p w:rsidR="007D24AD" w:rsidRPr="004868D7" w:rsidRDefault="007D24AD" w:rsidP="00E07C2B">
            <w:pPr>
              <w:contextualSpacing/>
              <w:jc w:val="both"/>
              <w:rPr>
                <w:color w:val="000000"/>
                <w:sz w:val="20"/>
                <w:szCs w:val="20"/>
              </w:rPr>
            </w:pPr>
            <w:r w:rsidRPr="004868D7">
              <w:rPr>
                <w:color w:val="000000"/>
                <w:sz w:val="20"/>
                <w:szCs w:val="20"/>
                <w:lang w:val="uk-UA"/>
              </w:rPr>
              <w:t>Морський порт Херсон</w:t>
            </w:r>
          </w:p>
        </w:tc>
        <w:tc>
          <w:tcPr>
            <w:tcW w:w="2551" w:type="dxa"/>
            <w:shd w:val="clear" w:color="auto" w:fill="auto"/>
            <w:vAlign w:val="bottom"/>
          </w:tcPr>
          <w:p w:rsidR="007D24AD" w:rsidRPr="004868D7" w:rsidRDefault="007D24AD" w:rsidP="00E07C2B">
            <w:pPr>
              <w:contextualSpacing/>
              <w:jc w:val="right"/>
              <w:rPr>
                <w:color w:val="000000"/>
                <w:sz w:val="20"/>
                <w:szCs w:val="20"/>
                <w:lang w:val="uk-UA"/>
              </w:rPr>
            </w:pPr>
            <w:r w:rsidRPr="004868D7">
              <w:rPr>
                <w:color w:val="000000"/>
                <w:sz w:val="20"/>
                <w:szCs w:val="20"/>
                <w:lang w:val="uk-UA"/>
              </w:rPr>
              <w:t>10,1</w:t>
            </w:r>
          </w:p>
        </w:tc>
        <w:tc>
          <w:tcPr>
            <w:tcW w:w="2552" w:type="dxa"/>
            <w:vAlign w:val="bottom"/>
          </w:tcPr>
          <w:p w:rsidR="007D24AD" w:rsidRPr="004868D7" w:rsidRDefault="007D24AD" w:rsidP="00E07C2B">
            <w:pPr>
              <w:contextualSpacing/>
              <w:jc w:val="right"/>
              <w:rPr>
                <w:color w:val="000000"/>
                <w:sz w:val="20"/>
                <w:szCs w:val="20"/>
                <w:lang w:val="uk-UA"/>
              </w:rPr>
            </w:pPr>
            <w:r w:rsidRPr="004868D7">
              <w:rPr>
                <w:color w:val="000000"/>
                <w:sz w:val="20"/>
                <w:szCs w:val="20"/>
                <w:lang w:val="uk-UA"/>
              </w:rPr>
              <w:t>2,06%</w:t>
            </w:r>
          </w:p>
        </w:tc>
      </w:tr>
      <w:tr w:rsidR="007D24AD" w:rsidRPr="00E07C2B" w:rsidTr="007C09E5">
        <w:trPr>
          <w:trHeight w:val="58"/>
        </w:trPr>
        <w:tc>
          <w:tcPr>
            <w:tcW w:w="3827" w:type="dxa"/>
            <w:shd w:val="clear" w:color="auto" w:fill="auto"/>
            <w:vAlign w:val="center"/>
            <w:hideMark/>
          </w:tcPr>
          <w:p w:rsidR="007D24AD" w:rsidRPr="004868D7" w:rsidRDefault="007D24AD" w:rsidP="00E07C2B">
            <w:pPr>
              <w:contextualSpacing/>
              <w:jc w:val="both"/>
              <w:rPr>
                <w:color w:val="000000"/>
                <w:sz w:val="20"/>
                <w:szCs w:val="20"/>
              </w:rPr>
            </w:pPr>
            <w:r w:rsidRPr="004868D7">
              <w:rPr>
                <w:color w:val="000000"/>
                <w:sz w:val="20"/>
                <w:szCs w:val="20"/>
                <w:lang w:val="uk-UA"/>
              </w:rPr>
              <w:t xml:space="preserve">Морський порт </w:t>
            </w:r>
            <w:proofErr w:type="spellStart"/>
            <w:r w:rsidRPr="004868D7">
              <w:rPr>
                <w:color w:val="000000"/>
                <w:sz w:val="20"/>
                <w:szCs w:val="20"/>
                <w:lang w:val="uk-UA"/>
              </w:rPr>
              <w:t>Чорноморськ</w:t>
            </w:r>
            <w:proofErr w:type="spellEnd"/>
          </w:p>
        </w:tc>
        <w:tc>
          <w:tcPr>
            <w:tcW w:w="2551" w:type="dxa"/>
            <w:shd w:val="clear" w:color="auto" w:fill="auto"/>
            <w:vAlign w:val="bottom"/>
          </w:tcPr>
          <w:p w:rsidR="007D24AD" w:rsidRPr="004868D7" w:rsidRDefault="007D24AD" w:rsidP="00E07C2B">
            <w:pPr>
              <w:contextualSpacing/>
              <w:jc w:val="right"/>
              <w:rPr>
                <w:color w:val="000000"/>
                <w:sz w:val="20"/>
                <w:szCs w:val="20"/>
                <w:lang w:val="uk-UA"/>
              </w:rPr>
            </w:pPr>
            <w:r w:rsidRPr="004868D7">
              <w:rPr>
                <w:color w:val="000000"/>
                <w:sz w:val="20"/>
                <w:szCs w:val="20"/>
                <w:lang w:val="uk-UA"/>
              </w:rPr>
              <w:t>60,06</w:t>
            </w:r>
          </w:p>
        </w:tc>
        <w:tc>
          <w:tcPr>
            <w:tcW w:w="2552" w:type="dxa"/>
            <w:vAlign w:val="bottom"/>
          </w:tcPr>
          <w:p w:rsidR="007D24AD" w:rsidRPr="004868D7" w:rsidRDefault="007D24AD" w:rsidP="00E07C2B">
            <w:pPr>
              <w:contextualSpacing/>
              <w:jc w:val="right"/>
              <w:rPr>
                <w:color w:val="000000"/>
                <w:sz w:val="20"/>
                <w:szCs w:val="20"/>
                <w:lang w:val="uk-UA"/>
              </w:rPr>
            </w:pPr>
            <w:r w:rsidRPr="004868D7">
              <w:rPr>
                <w:color w:val="000000"/>
                <w:sz w:val="20"/>
                <w:szCs w:val="20"/>
                <w:lang w:val="uk-UA"/>
              </w:rPr>
              <w:t>12,26%</w:t>
            </w:r>
          </w:p>
        </w:tc>
      </w:tr>
      <w:tr w:rsidR="007D24AD" w:rsidRPr="00E07C2B" w:rsidTr="007C09E5">
        <w:trPr>
          <w:trHeight w:val="249"/>
        </w:trPr>
        <w:tc>
          <w:tcPr>
            <w:tcW w:w="3827" w:type="dxa"/>
            <w:shd w:val="clear" w:color="auto" w:fill="auto"/>
            <w:vAlign w:val="center"/>
            <w:hideMark/>
          </w:tcPr>
          <w:p w:rsidR="007D24AD" w:rsidRPr="004868D7" w:rsidRDefault="007D24AD" w:rsidP="00E07C2B">
            <w:pPr>
              <w:contextualSpacing/>
              <w:jc w:val="both"/>
              <w:rPr>
                <w:color w:val="000000"/>
                <w:sz w:val="20"/>
                <w:szCs w:val="20"/>
              </w:rPr>
            </w:pPr>
            <w:r w:rsidRPr="004868D7">
              <w:rPr>
                <w:color w:val="000000"/>
                <w:sz w:val="20"/>
                <w:szCs w:val="20"/>
                <w:lang w:val="uk-UA"/>
              </w:rPr>
              <w:t>ЗАГАЛЬНА потужність морських портів</w:t>
            </w:r>
          </w:p>
        </w:tc>
        <w:tc>
          <w:tcPr>
            <w:tcW w:w="2551" w:type="dxa"/>
            <w:shd w:val="clear" w:color="auto" w:fill="auto"/>
            <w:noWrap/>
            <w:vAlign w:val="center"/>
            <w:hideMark/>
          </w:tcPr>
          <w:p w:rsidR="007D24AD" w:rsidRPr="004868D7" w:rsidRDefault="007D24AD" w:rsidP="00E07C2B">
            <w:pPr>
              <w:contextualSpacing/>
              <w:jc w:val="right"/>
              <w:rPr>
                <w:color w:val="000000"/>
                <w:sz w:val="20"/>
                <w:szCs w:val="20"/>
                <w:lang w:val="uk-UA"/>
              </w:rPr>
            </w:pPr>
            <w:r w:rsidRPr="004868D7">
              <w:rPr>
                <w:color w:val="000000"/>
                <w:sz w:val="20"/>
                <w:szCs w:val="20"/>
                <w:lang w:val="uk-UA"/>
              </w:rPr>
              <w:t>489,74</w:t>
            </w:r>
          </w:p>
        </w:tc>
        <w:tc>
          <w:tcPr>
            <w:tcW w:w="2552" w:type="dxa"/>
          </w:tcPr>
          <w:p w:rsidR="007D24AD" w:rsidRPr="004868D7" w:rsidRDefault="007D24AD" w:rsidP="00E07C2B">
            <w:pPr>
              <w:contextualSpacing/>
              <w:jc w:val="right"/>
              <w:rPr>
                <w:color w:val="000000"/>
                <w:sz w:val="20"/>
                <w:szCs w:val="20"/>
                <w:lang w:val="uk-UA"/>
              </w:rPr>
            </w:pPr>
            <w:r w:rsidRPr="004868D7">
              <w:rPr>
                <w:color w:val="000000"/>
                <w:sz w:val="20"/>
                <w:szCs w:val="20"/>
                <w:lang w:val="uk-UA"/>
              </w:rPr>
              <w:t>100%</w:t>
            </w:r>
          </w:p>
        </w:tc>
      </w:tr>
    </w:tbl>
    <w:p w:rsidR="007D24AD" w:rsidRPr="004868D7" w:rsidRDefault="007D24AD" w:rsidP="00E07C2B">
      <w:pPr>
        <w:pStyle w:val="af4"/>
        <w:tabs>
          <w:tab w:val="left" w:pos="709"/>
          <w:tab w:val="left" w:pos="851"/>
        </w:tabs>
        <w:overflowPunct/>
        <w:contextualSpacing/>
        <w:jc w:val="both"/>
        <w:rPr>
          <w:iCs/>
          <w:szCs w:val="24"/>
          <w:lang w:val="uk-UA"/>
        </w:rPr>
      </w:pPr>
    </w:p>
    <w:p w:rsidR="007D24AD" w:rsidRPr="00073081" w:rsidRDefault="007D24AD" w:rsidP="00E07C2B">
      <w:pPr>
        <w:pStyle w:val="af4"/>
        <w:numPr>
          <w:ilvl w:val="0"/>
          <w:numId w:val="7"/>
        </w:numPr>
        <w:tabs>
          <w:tab w:val="left" w:pos="709"/>
          <w:tab w:val="left" w:pos="851"/>
        </w:tabs>
        <w:overflowPunct/>
        <w:ind w:left="709" w:hanging="709"/>
        <w:contextualSpacing/>
        <w:jc w:val="both"/>
        <w:rPr>
          <w:iCs/>
          <w:szCs w:val="24"/>
          <w:lang w:val="uk-UA"/>
        </w:rPr>
      </w:pPr>
      <w:r w:rsidRPr="00073081">
        <w:rPr>
          <w:iCs/>
          <w:szCs w:val="24"/>
          <w:lang w:val="uk-UA"/>
        </w:rPr>
        <w:t>Враховуючи зазначене:</w:t>
      </w:r>
    </w:p>
    <w:p w:rsidR="00243993" w:rsidRPr="00073081" w:rsidRDefault="00243993" w:rsidP="00243993">
      <w:pPr>
        <w:pStyle w:val="af4"/>
        <w:tabs>
          <w:tab w:val="left" w:pos="709"/>
          <w:tab w:val="left" w:pos="851"/>
        </w:tabs>
        <w:overflowPunct/>
        <w:ind w:left="709"/>
        <w:contextualSpacing/>
        <w:jc w:val="both"/>
        <w:rPr>
          <w:iCs/>
          <w:szCs w:val="24"/>
          <w:lang w:val="uk-UA"/>
        </w:rPr>
      </w:pPr>
    </w:p>
    <w:p w:rsidR="007D24AD" w:rsidRPr="00073081" w:rsidRDefault="007D24AD" w:rsidP="00E07C2B">
      <w:pPr>
        <w:tabs>
          <w:tab w:val="left" w:pos="284"/>
          <w:tab w:val="left" w:pos="709"/>
        </w:tabs>
        <w:ind w:left="709" w:firstLine="425"/>
        <w:contextualSpacing/>
        <w:jc w:val="both"/>
        <w:rPr>
          <w:rStyle w:val="affb"/>
          <w:rFonts w:eastAsia="Calibri"/>
          <w:i w:val="0"/>
          <w:iCs w:val="0"/>
          <w:sz w:val="24"/>
          <w:szCs w:val="24"/>
          <w:lang w:val="uk-UA"/>
        </w:rPr>
      </w:pPr>
      <w:r w:rsidRPr="00073081">
        <w:rPr>
          <w:rStyle w:val="affb"/>
          <w:rFonts w:eastAsia="Calibri"/>
          <w:i w:val="0"/>
          <w:iCs w:val="0"/>
          <w:sz w:val="24"/>
          <w:szCs w:val="24"/>
          <w:lang w:val="uk-UA"/>
        </w:rPr>
        <w:t>територіальними межами у відповідній концентрації є територія:</w:t>
      </w:r>
    </w:p>
    <w:p w:rsidR="007D24AD" w:rsidRPr="00073081" w:rsidRDefault="007D24AD" w:rsidP="00E07C2B">
      <w:pPr>
        <w:tabs>
          <w:tab w:val="left" w:pos="284"/>
          <w:tab w:val="left" w:pos="709"/>
        </w:tabs>
        <w:ind w:left="709" w:firstLine="425"/>
        <w:contextualSpacing/>
        <w:jc w:val="both"/>
        <w:rPr>
          <w:rStyle w:val="affb"/>
          <w:rFonts w:eastAsia="Calibri"/>
          <w:i w:val="0"/>
          <w:iCs w:val="0"/>
          <w:sz w:val="24"/>
          <w:szCs w:val="24"/>
          <w:lang w:val="uk-UA"/>
        </w:rPr>
      </w:pPr>
      <w:r w:rsidRPr="00073081">
        <w:rPr>
          <w:rStyle w:val="affb"/>
          <w:rFonts w:eastAsia="Calibri"/>
          <w:i w:val="0"/>
          <w:iCs w:val="0"/>
          <w:sz w:val="24"/>
          <w:szCs w:val="24"/>
          <w:lang w:val="uk-UA"/>
        </w:rPr>
        <w:t xml:space="preserve">навколо м. Херсон, де розташовані Нафтобаза </w:t>
      </w:r>
      <w:r w:rsidR="00E43641">
        <w:rPr>
          <w:rStyle w:val="affb"/>
          <w:rFonts w:eastAsia="Calibri"/>
          <w:i w:val="0"/>
          <w:iCs w:val="0"/>
          <w:sz w:val="24"/>
          <w:szCs w:val="24"/>
          <w:lang w:val="uk-UA"/>
        </w:rPr>
        <w:t>й</w:t>
      </w:r>
      <w:r w:rsidRPr="00073081">
        <w:rPr>
          <w:rStyle w:val="affb"/>
          <w:rFonts w:eastAsia="Calibri"/>
          <w:i w:val="0"/>
          <w:iCs w:val="0"/>
          <w:sz w:val="24"/>
          <w:szCs w:val="24"/>
          <w:lang w:val="uk-UA"/>
        </w:rPr>
        <w:t xml:space="preserve"> </w:t>
      </w:r>
      <w:proofErr w:type="spellStart"/>
      <w:r w:rsidRPr="00073081">
        <w:rPr>
          <w:rStyle w:val="affb"/>
          <w:rFonts w:eastAsia="Calibri"/>
          <w:i w:val="0"/>
          <w:iCs w:val="0"/>
          <w:sz w:val="24"/>
          <w:szCs w:val="24"/>
          <w:lang w:val="uk-UA"/>
        </w:rPr>
        <w:t>Нафтоперевалка</w:t>
      </w:r>
      <w:proofErr w:type="spellEnd"/>
      <w:r w:rsidRPr="00073081">
        <w:rPr>
          <w:rStyle w:val="affb"/>
          <w:rFonts w:eastAsia="Calibri"/>
          <w:i w:val="0"/>
          <w:iCs w:val="0"/>
          <w:sz w:val="24"/>
          <w:szCs w:val="24"/>
          <w:lang w:val="uk-UA"/>
        </w:rPr>
        <w:t>, тобто територі</w:t>
      </w:r>
      <w:r w:rsidR="00073081" w:rsidRPr="00073081">
        <w:rPr>
          <w:rStyle w:val="affb"/>
          <w:rFonts w:eastAsia="Calibri"/>
          <w:i w:val="0"/>
          <w:iCs w:val="0"/>
          <w:sz w:val="24"/>
          <w:szCs w:val="24"/>
          <w:lang w:val="uk-UA"/>
        </w:rPr>
        <w:t>я</w:t>
      </w:r>
      <w:r w:rsidRPr="00073081">
        <w:rPr>
          <w:rStyle w:val="affb"/>
          <w:rFonts w:eastAsia="Calibri"/>
          <w:i w:val="0"/>
          <w:iCs w:val="0"/>
          <w:sz w:val="24"/>
          <w:szCs w:val="24"/>
          <w:lang w:val="uk-UA"/>
        </w:rPr>
        <w:t xml:space="preserve"> Херсонської області;</w:t>
      </w:r>
    </w:p>
    <w:p w:rsidR="007D24AD" w:rsidRPr="00073081" w:rsidRDefault="007D24AD" w:rsidP="00E07C2B">
      <w:pPr>
        <w:tabs>
          <w:tab w:val="left" w:pos="284"/>
          <w:tab w:val="left" w:pos="709"/>
        </w:tabs>
        <w:ind w:left="709" w:firstLine="425"/>
        <w:contextualSpacing/>
        <w:jc w:val="both"/>
        <w:rPr>
          <w:rStyle w:val="affb"/>
          <w:rFonts w:eastAsia="Calibri"/>
          <w:i w:val="0"/>
          <w:iCs w:val="0"/>
          <w:sz w:val="24"/>
          <w:szCs w:val="24"/>
          <w:lang w:val="uk-UA"/>
        </w:rPr>
      </w:pPr>
      <w:r w:rsidRPr="00073081">
        <w:rPr>
          <w:rStyle w:val="affb"/>
          <w:rFonts w:eastAsia="Calibri"/>
          <w:i w:val="0"/>
          <w:iCs w:val="0"/>
          <w:sz w:val="24"/>
          <w:szCs w:val="24"/>
          <w:lang w:val="uk-UA"/>
        </w:rPr>
        <w:t>сусідніх областей чи їх частин, зокрема: Миколаївська область, північна частина Одеської області (від Дністровського лиману), Кіровоградська область, західна частина Запорізької області;</w:t>
      </w:r>
    </w:p>
    <w:p w:rsidR="00243993" w:rsidRPr="00073081" w:rsidRDefault="00243993" w:rsidP="00E07C2B">
      <w:pPr>
        <w:tabs>
          <w:tab w:val="left" w:pos="284"/>
          <w:tab w:val="left" w:pos="709"/>
        </w:tabs>
        <w:ind w:left="709" w:firstLine="425"/>
        <w:contextualSpacing/>
        <w:jc w:val="both"/>
        <w:rPr>
          <w:rStyle w:val="affb"/>
          <w:rFonts w:eastAsia="Calibri"/>
          <w:i w:val="0"/>
          <w:iCs w:val="0"/>
          <w:sz w:val="24"/>
          <w:szCs w:val="24"/>
          <w:lang w:val="uk-UA"/>
        </w:rPr>
      </w:pPr>
    </w:p>
    <w:p w:rsidR="007D24AD" w:rsidRPr="00073081" w:rsidRDefault="007D24AD" w:rsidP="00E07C2B">
      <w:pPr>
        <w:tabs>
          <w:tab w:val="left" w:pos="284"/>
          <w:tab w:val="left" w:pos="709"/>
        </w:tabs>
        <w:ind w:left="709" w:firstLine="425"/>
        <w:contextualSpacing/>
        <w:jc w:val="both"/>
        <w:rPr>
          <w:rStyle w:val="affb"/>
          <w:rFonts w:eastAsia="Calibri"/>
          <w:i w:val="0"/>
          <w:iCs w:val="0"/>
          <w:sz w:val="24"/>
          <w:szCs w:val="24"/>
          <w:lang w:val="uk-UA"/>
        </w:rPr>
      </w:pPr>
      <w:r w:rsidRPr="00073081">
        <w:rPr>
          <w:rStyle w:val="affb"/>
          <w:rFonts w:eastAsia="Calibri"/>
          <w:i w:val="0"/>
          <w:iCs w:val="0"/>
          <w:sz w:val="24"/>
          <w:szCs w:val="24"/>
          <w:lang w:val="uk-UA"/>
        </w:rPr>
        <w:t xml:space="preserve">група «ОККО» не здійснює господарської діяльності </w:t>
      </w:r>
      <w:r w:rsidR="00E43641">
        <w:rPr>
          <w:rStyle w:val="affb"/>
          <w:rFonts w:eastAsia="Calibri"/>
          <w:i w:val="0"/>
          <w:iCs w:val="0"/>
          <w:sz w:val="24"/>
          <w:szCs w:val="24"/>
          <w:lang w:val="uk-UA"/>
        </w:rPr>
        <w:t>зі</w:t>
      </w:r>
      <w:r w:rsidRPr="00073081">
        <w:rPr>
          <w:rStyle w:val="affb"/>
          <w:rFonts w:eastAsia="Calibri"/>
          <w:i w:val="0"/>
          <w:iCs w:val="0"/>
          <w:sz w:val="24"/>
          <w:szCs w:val="24"/>
          <w:lang w:val="uk-UA"/>
        </w:rPr>
        <w:t xml:space="preserve"> зберігання нафтопродуктів у територіальних межах, в яких відбувається концентрація;</w:t>
      </w:r>
    </w:p>
    <w:p w:rsidR="00243993" w:rsidRPr="00073081" w:rsidRDefault="00243993" w:rsidP="00E07C2B">
      <w:pPr>
        <w:tabs>
          <w:tab w:val="left" w:pos="284"/>
          <w:tab w:val="left" w:pos="709"/>
        </w:tabs>
        <w:ind w:left="709" w:firstLine="425"/>
        <w:contextualSpacing/>
        <w:jc w:val="both"/>
        <w:rPr>
          <w:rStyle w:val="affb"/>
          <w:rFonts w:eastAsia="Calibri"/>
          <w:i w:val="0"/>
          <w:iCs w:val="0"/>
          <w:sz w:val="24"/>
          <w:szCs w:val="24"/>
          <w:lang w:val="uk-UA"/>
        </w:rPr>
      </w:pPr>
    </w:p>
    <w:p w:rsidR="007D24AD" w:rsidRPr="00073081" w:rsidRDefault="007D24AD" w:rsidP="00E07C2B">
      <w:pPr>
        <w:tabs>
          <w:tab w:val="left" w:pos="284"/>
          <w:tab w:val="left" w:pos="709"/>
        </w:tabs>
        <w:ind w:left="709" w:firstLine="425"/>
        <w:contextualSpacing/>
        <w:jc w:val="both"/>
        <w:rPr>
          <w:rStyle w:val="affb"/>
          <w:rFonts w:eastAsia="Calibri"/>
          <w:i w:val="0"/>
          <w:iCs w:val="0"/>
          <w:sz w:val="24"/>
          <w:szCs w:val="24"/>
          <w:lang w:val="uk-UA"/>
        </w:rPr>
      </w:pPr>
      <w:r w:rsidRPr="00073081">
        <w:rPr>
          <w:rStyle w:val="affb"/>
          <w:rFonts w:eastAsia="Calibri"/>
          <w:i w:val="0"/>
          <w:iCs w:val="0"/>
          <w:sz w:val="24"/>
          <w:szCs w:val="24"/>
          <w:lang w:val="uk-UA"/>
        </w:rPr>
        <w:t xml:space="preserve">у розглянутих територіальних межах здійснюють господарську діяльність </w:t>
      </w:r>
      <w:r w:rsidR="00E43641">
        <w:rPr>
          <w:rStyle w:val="affb"/>
          <w:rFonts w:eastAsia="Calibri"/>
          <w:i w:val="0"/>
          <w:iCs w:val="0"/>
          <w:sz w:val="24"/>
          <w:szCs w:val="24"/>
          <w:lang w:val="uk-UA"/>
        </w:rPr>
        <w:t>зі</w:t>
      </w:r>
      <w:r w:rsidRPr="00073081">
        <w:rPr>
          <w:rStyle w:val="affb"/>
          <w:rFonts w:eastAsia="Calibri"/>
          <w:i w:val="0"/>
          <w:iCs w:val="0"/>
          <w:sz w:val="24"/>
          <w:szCs w:val="24"/>
          <w:lang w:val="uk-UA"/>
        </w:rPr>
        <w:t xml:space="preserve"> зберігання нафтопродуктів понад 200 суб’єктів господарювання;</w:t>
      </w:r>
    </w:p>
    <w:p w:rsidR="00243993" w:rsidRPr="00073081" w:rsidRDefault="00243993" w:rsidP="00E07C2B">
      <w:pPr>
        <w:tabs>
          <w:tab w:val="left" w:pos="284"/>
          <w:tab w:val="left" w:pos="709"/>
        </w:tabs>
        <w:ind w:left="709" w:firstLine="425"/>
        <w:contextualSpacing/>
        <w:jc w:val="both"/>
        <w:rPr>
          <w:rStyle w:val="affb"/>
          <w:rFonts w:eastAsia="Calibri"/>
          <w:i w:val="0"/>
          <w:iCs w:val="0"/>
          <w:sz w:val="24"/>
          <w:szCs w:val="24"/>
          <w:lang w:val="uk-UA"/>
        </w:rPr>
      </w:pPr>
    </w:p>
    <w:p w:rsidR="007D24AD" w:rsidRPr="00073081" w:rsidRDefault="007D24AD" w:rsidP="00E07C2B">
      <w:pPr>
        <w:tabs>
          <w:tab w:val="left" w:pos="284"/>
          <w:tab w:val="left" w:pos="709"/>
        </w:tabs>
        <w:ind w:left="709" w:firstLine="425"/>
        <w:contextualSpacing/>
        <w:jc w:val="both"/>
        <w:rPr>
          <w:rStyle w:val="affb"/>
          <w:rFonts w:eastAsia="Calibri"/>
          <w:i w:val="0"/>
          <w:iCs w:val="0"/>
          <w:sz w:val="24"/>
          <w:szCs w:val="24"/>
          <w:lang w:val="uk-UA"/>
        </w:rPr>
      </w:pPr>
      <w:r w:rsidRPr="00073081">
        <w:rPr>
          <w:rStyle w:val="affb"/>
          <w:rFonts w:eastAsia="Calibri"/>
          <w:i w:val="0"/>
          <w:iCs w:val="0"/>
          <w:sz w:val="24"/>
          <w:szCs w:val="24"/>
          <w:lang w:val="uk-UA"/>
        </w:rPr>
        <w:t>частка потужностей комплексу Херсонської нафтоперевалки зі зберігання нафтопродуктів у загальному об</w:t>
      </w:r>
      <w:r w:rsidR="00F64BFD">
        <w:rPr>
          <w:rStyle w:val="affb"/>
          <w:rFonts w:eastAsia="Calibri"/>
          <w:i w:val="0"/>
          <w:iCs w:val="0"/>
          <w:sz w:val="24"/>
          <w:szCs w:val="24"/>
          <w:lang w:val="uk-UA"/>
        </w:rPr>
        <w:t>сязі</w:t>
      </w:r>
      <w:r w:rsidRPr="00073081">
        <w:rPr>
          <w:rStyle w:val="affb"/>
          <w:rFonts w:eastAsia="Calibri"/>
          <w:i w:val="0"/>
          <w:iCs w:val="0"/>
          <w:sz w:val="24"/>
          <w:szCs w:val="24"/>
          <w:lang w:val="uk-UA"/>
        </w:rPr>
        <w:t xml:space="preserve"> морських </w:t>
      </w:r>
      <w:proofErr w:type="spellStart"/>
      <w:r w:rsidRPr="00073081">
        <w:rPr>
          <w:rStyle w:val="affb"/>
          <w:rFonts w:eastAsia="Calibri"/>
          <w:i w:val="0"/>
          <w:iCs w:val="0"/>
          <w:sz w:val="24"/>
          <w:szCs w:val="24"/>
          <w:lang w:val="uk-UA"/>
        </w:rPr>
        <w:t>нафтоперевальних</w:t>
      </w:r>
      <w:proofErr w:type="spellEnd"/>
      <w:r w:rsidRPr="00073081">
        <w:rPr>
          <w:rStyle w:val="affb"/>
          <w:rFonts w:eastAsia="Calibri"/>
          <w:i w:val="0"/>
          <w:iCs w:val="0"/>
          <w:sz w:val="24"/>
          <w:szCs w:val="24"/>
          <w:lang w:val="uk-UA"/>
        </w:rPr>
        <w:t xml:space="preserve"> комплексів </w:t>
      </w:r>
      <w:r w:rsidR="00F64BFD">
        <w:rPr>
          <w:rStyle w:val="affb"/>
          <w:rFonts w:eastAsia="Calibri"/>
          <w:i w:val="0"/>
          <w:iCs w:val="0"/>
          <w:sz w:val="24"/>
          <w:szCs w:val="24"/>
          <w:lang w:val="uk-UA"/>
        </w:rPr>
        <w:t>становить</w:t>
      </w:r>
      <w:r w:rsidRPr="00073081">
        <w:rPr>
          <w:rStyle w:val="affb"/>
          <w:rFonts w:eastAsia="Calibri"/>
          <w:i w:val="0"/>
          <w:iCs w:val="0"/>
          <w:sz w:val="24"/>
          <w:szCs w:val="24"/>
          <w:lang w:val="uk-UA"/>
        </w:rPr>
        <w:t xml:space="preserve"> близько 2 відсотків.</w:t>
      </w:r>
    </w:p>
    <w:p w:rsidR="00243993" w:rsidRPr="004868D7" w:rsidRDefault="00243993" w:rsidP="00E07C2B">
      <w:pPr>
        <w:pStyle w:val="af4"/>
        <w:tabs>
          <w:tab w:val="left" w:pos="709"/>
          <w:tab w:val="left" w:pos="851"/>
        </w:tabs>
        <w:overflowPunct/>
        <w:ind w:left="0"/>
        <w:contextualSpacing/>
        <w:jc w:val="both"/>
        <w:rPr>
          <w:iCs/>
          <w:szCs w:val="24"/>
          <w:lang w:val="uk-UA"/>
        </w:rPr>
      </w:pPr>
    </w:p>
    <w:p w:rsidR="007D24AD" w:rsidRPr="004868D7" w:rsidRDefault="007D24AD" w:rsidP="00073081">
      <w:pPr>
        <w:contextualSpacing/>
        <w:jc w:val="both"/>
        <w:rPr>
          <w:i/>
          <w:iCs/>
          <w:lang w:val="uk-UA"/>
        </w:rPr>
      </w:pPr>
      <w:r w:rsidRPr="004868D7">
        <w:rPr>
          <w:i/>
          <w:iCs/>
          <w:lang w:val="uk-UA"/>
        </w:rPr>
        <w:t>Щодо</w:t>
      </w:r>
      <w:r w:rsidR="00073081">
        <w:rPr>
          <w:i/>
          <w:iCs/>
          <w:lang w:val="uk-UA"/>
        </w:rPr>
        <w:t xml:space="preserve"> ринку</w:t>
      </w:r>
      <w:r w:rsidRPr="004868D7">
        <w:rPr>
          <w:i/>
          <w:iCs/>
          <w:lang w:val="uk-UA"/>
        </w:rPr>
        <w:t xml:space="preserve"> роздрібної торгівлі високооктанови</w:t>
      </w:r>
      <w:r w:rsidR="00073081">
        <w:rPr>
          <w:i/>
          <w:iCs/>
          <w:lang w:val="uk-UA"/>
        </w:rPr>
        <w:t>ми</w:t>
      </w:r>
      <w:r w:rsidRPr="004868D7">
        <w:rPr>
          <w:i/>
          <w:iCs/>
          <w:lang w:val="uk-UA"/>
        </w:rPr>
        <w:t xml:space="preserve"> </w:t>
      </w:r>
      <w:r w:rsidR="00073081">
        <w:rPr>
          <w:i/>
          <w:iCs/>
          <w:lang w:val="uk-UA"/>
        </w:rPr>
        <w:t xml:space="preserve">моторними бензинами та дизельним </w:t>
      </w:r>
      <w:r w:rsidRPr="004868D7">
        <w:rPr>
          <w:i/>
          <w:iCs/>
          <w:lang w:val="uk-UA"/>
        </w:rPr>
        <w:t>пальн</w:t>
      </w:r>
      <w:r w:rsidR="00073081">
        <w:rPr>
          <w:i/>
          <w:iCs/>
          <w:lang w:val="uk-UA"/>
        </w:rPr>
        <w:t>им</w:t>
      </w:r>
    </w:p>
    <w:p w:rsidR="007D24AD" w:rsidRPr="004868D7" w:rsidRDefault="007D24AD" w:rsidP="00E07C2B">
      <w:pPr>
        <w:ind w:left="709" w:hanging="709"/>
        <w:contextualSpacing/>
        <w:jc w:val="both"/>
        <w:rPr>
          <w:lang w:val="uk-UA"/>
        </w:rPr>
      </w:pPr>
    </w:p>
    <w:p w:rsidR="007D24AD" w:rsidRPr="004868D7" w:rsidRDefault="007D24AD" w:rsidP="00E07C2B">
      <w:pPr>
        <w:pStyle w:val="af4"/>
        <w:numPr>
          <w:ilvl w:val="0"/>
          <w:numId w:val="7"/>
        </w:numPr>
        <w:tabs>
          <w:tab w:val="left" w:pos="709"/>
          <w:tab w:val="left" w:pos="851"/>
        </w:tabs>
        <w:overflowPunct/>
        <w:ind w:left="709" w:hanging="709"/>
        <w:contextualSpacing/>
        <w:jc w:val="both"/>
        <w:rPr>
          <w:iCs/>
          <w:szCs w:val="24"/>
          <w:lang w:val="uk-UA"/>
        </w:rPr>
      </w:pPr>
      <w:r w:rsidRPr="004868D7">
        <w:rPr>
          <w:iCs/>
          <w:szCs w:val="24"/>
          <w:lang w:val="uk-UA"/>
        </w:rPr>
        <w:t>За інформацією заявників:</w:t>
      </w:r>
    </w:p>
    <w:p w:rsidR="004868D7" w:rsidRPr="004868D7" w:rsidRDefault="004868D7" w:rsidP="004868D7">
      <w:pPr>
        <w:pStyle w:val="af4"/>
        <w:tabs>
          <w:tab w:val="left" w:pos="709"/>
          <w:tab w:val="left" w:pos="851"/>
        </w:tabs>
        <w:overflowPunct/>
        <w:ind w:left="709"/>
        <w:contextualSpacing/>
        <w:jc w:val="both"/>
        <w:rPr>
          <w:iCs/>
          <w:szCs w:val="24"/>
          <w:lang w:val="uk-UA"/>
        </w:rPr>
      </w:pPr>
    </w:p>
    <w:p w:rsidR="004868D7" w:rsidRDefault="00140681" w:rsidP="004868D7">
      <w:pPr>
        <w:pStyle w:val="af4"/>
        <w:numPr>
          <w:ilvl w:val="0"/>
          <w:numId w:val="7"/>
        </w:numPr>
        <w:tabs>
          <w:tab w:val="left" w:pos="709"/>
          <w:tab w:val="left" w:pos="851"/>
        </w:tabs>
        <w:overflowPunct/>
        <w:ind w:left="709" w:hanging="709"/>
        <w:contextualSpacing/>
        <w:jc w:val="both"/>
        <w:rPr>
          <w:iCs/>
          <w:szCs w:val="24"/>
          <w:lang w:val="uk-UA"/>
        </w:rPr>
      </w:pPr>
      <w:r w:rsidRPr="004868D7">
        <w:rPr>
          <w:iCs/>
          <w:szCs w:val="24"/>
          <w:lang w:val="uk-UA"/>
        </w:rPr>
        <w:t>Частка групи ОККО на суміжних ринк</w:t>
      </w:r>
      <w:r w:rsidR="00073081">
        <w:rPr>
          <w:iCs/>
          <w:szCs w:val="24"/>
          <w:lang w:val="uk-UA"/>
        </w:rPr>
        <w:t>ах</w:t>
      </w:r>
      <w:r w:rsidRPr="004868D7">
        <w:rPr>
          <w:iCs/>
          <w:szCs w:val="24"/>
          <w:lang w:val="uk-UA"/>
        </w:rPr>
        <w:t xml:space="preserve"> до</w:t>
      </w:r>
      <w:r w:rsidR="00073081">
        <w:rPr>
          <w:iCs/>
          <w:szCs w:val="24"/>
          <w:lang w:val="uk-UA"/>
        </w:rPr>
        <w:t xml:space="preserve"> ринку </w:t>
      </w:r>
      <w:r w:rsidR="00F64BFD">
        <w:rPr>
          <w:iCs/>
          <w:szCs w:val="24"/>
          <w:lang w:val="uk-UA"/>
        </w:rPr>
        <w:t>в</w:t>
      </w:r>
      <w:r w:rsidRPr="004868D7">
        <w:rPr>
          <w:iCs/>
          <w:szCs w:val="24"/>
          <w:lang w:val="uk-UA"/>
        </w:rPr>
        <w:t xml:space="preserve"> заявлен</w:t>
      </w:r>
      <w:r w:rsidR="00073081">
        <w:rPr>
          <w:iCs/>
          <w:szCs w:val="24"/>
          <w:lang w:val="uk-UA"/>
        </w:rPr>
        <w:t>ій</w:t>
      </w:r>
      <w:r w:rsidRPr="004868D7">
        <w:rPr>
          <w:iCs/>
          <w:szCs w:val="24"/>
          <w:lang w:val="uk-UA"/>
        </w:rPr>
        <w:t xml:space="preserve"> концент</w:t>
      </w:r>
      <w:r w:rsidR="00F64BFD">
        <w:rPr>
          <w:iCs/>
          <w:szCs w:val="24"/>
          <w:lang w:val="uk-UA"/>
        </w:rPr>
        <w:t>рації</w:t>
      </w:r>
      <w:r w:rsidRPr="004868D7">
        <w:rPr>
          <w:iCs/>
          <w:szCs w:val="24"/>
          <w:lang w:val="uk-UA"/>
        </w:rPr>
        <w:t xml:space="preserve"> з роздрібної реалізації високооктанових моторних бензинів у визначених територіальних межах концентрації за 2018, 2019 та перше півріччя 2020 року не перевищувала 18 відсотків.</w:t>
      </w:r>
    </w:p>
    <w:p w:rsidR="00243993" w:rsidRPr="004868D7" w:rsidRDefault="00243993" w:rsidP="00243993">
      <w:pPr>
        <w:pStyle w:val="af4"/>
        <w:tabs>
          <w:tab w:val="left" w:pos="709"/>
          <w:tab w:val="left" w:pos="851"/>
        </w:tabs>
        <w:overflowPunct/>
        <w:ind w:left="0"/>
        <w:contextualSpacing/>
        <w:jc w:val="both"/>
        <w:rPr>
          <w:iCs/>
          <w:szCs w:val="24"/>
          <w:lang w:val="uk-UA"/>
        </w:rPr>
      </w:pPr>
    </w:p>
    <w:p w:rsidR="007D24AD" w:rsidRDefault="00140681" w:rsidP="00E07C2B">
      <w:pPr>
        <w:pStyle w:val="af4"/>
        <w:numPr>
          <w:ilvl w:val="0"/>
          <w:numId w:val="7"/>
        </w:numPr>
        <w:tabs>
          <w:tab w:val="left" w:pos="709"/>
          <w:tab w:val="left" w:pos="851"/>
        </w:tabs>
        <w:overflowPunct/>
        <w:ind w:left="709" w:hanging="709"/>
        <w:contextualSpacing/>
        <w:jc w:val="both"/>
        <w:rPr>
          <w:iCs/>
          <w:szCs w:val="24"/>
          <w:lang w:val="uk-UA"/>
        </w:rPr>
      </w:pPr>
      <w:r w:rsidRPr="004868D7">
        <w:rPr>
          <w:iCs/>
          <w:szCs w:val="24"/>
          <w:lang w:val="uk-UA"/>
        </w:rPr>
        <w:t>Частка групи ОККО на суміжних ринк</w:t>
      </w:r>
      <w:r w:rsidR="00073081">
        <w:rPr>
          <w:iCs/>
          <w:szCs w:val="24"/>
          <w:lang w:val="uk-UA"/>
        </w:rPr>
        <w:t>ах</w:t>
      </w:r>
      <w:r w:rsidRPr="004868D7">
        <w:rPr>
          <w:iCs/>
          <w:szCs w:val="24"/>
          <w:lang w:val="uk-UA"/>
        </w:rPr>
        <w:t xml:space="preserve"> до</w:t>
      </w:r>
      <w:r w:rsidR="00073081">
        <w:rPr>
          <w:iCs/>
          <w:szCs w:val="24"/>
          <w:lang w:val="uk-UA"/>
        </w:rPr>
        <w:t xml:space="preserve"> ринку </w:t>
      </w:r>
      <w:r w:rsidR="00F64BFD">
        <w:rPr>
          <w:iCs/>
          <w:szCs w:val="24"/>
          <w:lang w:val="uk-UA"/>
        </w:rPr>
        <w:t>в</w:t>
      </w:r>
      <w:r w:rsidRPr="004868D7">
        <w:rPr>
          <w:iCs/>
          <w:szCs w:val="24"/>
          <w:lang w:val="uk-UA"/>
        </w:rPr>
        <w:t xml:space="preserve"> заявлен</w:t>
      </w:r>
      <w:r w:rsidR="00073081">
        <w:rPr>
          <w:iCs/>
          <w:szCs w:val="24"/>
          <w:lang w:val="uk-UA"/>
        </w:rPr>
        <w:t>ій</w:t>
      </w:r>
      <w:r w:rsidR="00F64BFD">
        <w:rPr>
          <w:iCs/>
          <w:szCs w:val="24"/>
          <w:lang w:val="uk-UA"/>
        </w:rPr>
        <w:t xml:space="preserve"> концентрації</w:t>
      </w:r>
      <w:r w:rsidRPr="004868D7">
        <w:rPr>
          <w:iCs/>
          <w:szCs w:val="24"/>
          <w:lang w:val="uk-UA"/>
        </w:rPr>
        <w:t xml:space="preserve"> з роздрібної реалізації дизельного пального у визначених територіальних межах концентрації за 2018, 2019 та перше півріччя 2020 року не перевищувала 21 відсотка.</w:t>
      </w:r>
    </w:p>
    <w:p w:rsidR="004868D7" w:rsidRPr="004868D7" w:rsidRDefault="004868D7" w:rsidP="004868D7">
      <w:pPr>
        <w:pStyle w:val="af4"/>
        <w:tabs>
          <w:tab w:val="left" w:pos="709"/>
          <w:tab w:val="left" w:pos="851"/>
        </w:tabs>
        <w:overflowPunct/>
        <w:ind w:left="709"/>
        <w:contextualSpacing/>
        <w:jc w:val="both"/>
        <w:rPr>
          <w:iCs/>
          <w:szCs w:val="24"/>
          <w:lang w:val="uk-UA"/>
        </w:rPr>
      </w:pPr>
    </w:p>
    <w:p w:rsidR="007D24AD" w:rsidRPr="004868D7" w:rsidRDefault="007D24AD" w:rsidP="00E07C2B">
      <w:pPr>
        <w:pStyle w:val="af4"/>
        <w:numPr>
          <w:ilvl w:val="0"/>
          <w:numId w:val="7"/>
        </w:numPr>
        <w:tabs>
          <w:tab w:val="left" w:pos="709"/>
          <w:tab w:val="left" w:pos="851"/>
        </w:tabs>
        <w:overflowPunct/>
        <w:ind w:left="709" w:hanging="709"/>
        <w:contextualSpacing/>
        <w:jc w:val="both"/>
        <w:rPr>
          <w:iCs/>
          <w:szCs w:val="24"/>
          <w:lang w:val="uk-UA"/>
        </w:rPr>
      </w:pPr>
      <w:r w:rsidRPr="004868D7">
        <w:rPr>
          <w:iCs/>
          <w:szCs w:val="24"/>
          <w:lang w:val="uk-UA"/>
        </w:rPr>
        <w:t>Найбільшими конкурентами Групи «ОККО» на ринку роздрібної торгівлі нафтопродуктами в зазначених регіональних межах є Група WOG, Група AMIC, Група SHELL, Група SUN OIL, Група БРСМ-Нафта, Група SOCAR.</w:t>
      </w:r>
    </w:p>
    <w:p w:rsidR="004868D7" w:rsidRPr="004868D7" w:rsidRDefault="004868D7" w:rsidP="00073081">
      <w:pPr>
        <w:pStyle w:val="af4"/>
        <w:tabs>
          <w:tab w:val="left" w:pos="709"/>
          <w:tab w:val="left" w:pos="851"/>
        </w:tabs>
        <w:overflowPunct/>
        <w:ind w:left="0"/>
        <w:contextualSpacing/>
        <w:jc w:val="both"/>
        <w:rPr>
          <w:iCs/>
          <w:szCs w:val="24"/>
          <w:lang w:val="uk-UA"/>
        </w:rPr>
      </w:pPr>
    </w:p>
    <w:p w:rsidR="00A3102E" w:rsidRDefault="00A3102E" w:rsidP="00E07C2B">
      <w:pPr>
        <w:tabs>
          <w:tab w:val="left" w:pos="993"/>
        </w:tabs>
        <w:contextualSpacing/>
        <w:jc w:val="both"/>
        <w:rPr>
          <w:b/>
          <w:lang w:val="uk-UA"/>
        </w:rPr>
      </w:pPr>
      <w:r w:rsidRPr="004868D7">
        <w:rPr>
          <w:b/>
          <w:lang w:val="uk-UA"/>
        </w:rPr>
        <w:t xml:space="preserve">ВИСНОВКИ </w:t>
      </w:r>
    </w:p>
    <w:p w:rsidR="004868D7" w:rsidRPr="004868D7" w:rsidRDefault="004868D7" w:rsidP="00E07C2B">
      <w:pPr>
        <w:tabs>
          <w:tab w:val="left" w:pos="993"/>
        </w:tabs>
        <w:contextualSpacing/>
        <w:jc w:val="both"/>
        <w:rPr>
          <w:b/>
          <w:lang w:val="uk-UA"/>
        </w:rPr>
      </w:pPr>
    </w:p>
    <w:p w:rsidR="00A3102E" w:rsidRDefault="00A3102E" w:rsidP="00E07C2B">
      <w:pPr>
        <w:pStyle w:val="aff8"/>
        <w:numPr>
          <w:ilvl w:val="0"/>
          <w:numId w:val="7"/>
        </w:numPr>
        <w:tabs>
          <w:tab w:val="left" w:pos="709"/>
          <w:tab w:val="left" w:pos="851"/>
        </w:tabs>
        <w:autoSpaceDE w:val="0"/>
        <w:autoSpaceDN w:val="0"/>
        <w:adjustRightInd w:val="0"/>
        <w:ind w:left="709" w:hanging="709"/>
        <w:contextualSpacing/>
        <w:jc w:val="both"/>
        <w:rPr>
          <w:lang w:val="uk-UA"/>
        </w:rPr>
      </w:pPr>
      <w:r w:rsidRPr="004868D7">
        <w:rPr>
          <w:rFonts w:eastAsia="Calibri"/>
          <w:lang w:val="uk-UA"/>
        </w:rPr>
        <w:t>З урахуванням інформації</w:t>
      </w:r>
      <w:r w:rsidR="00073081">
        <w:rPr>
          <w:rFonts w:eastAsia="Calibri"/>
          <w:lang w:val="uk-UA"/>
        </w:rPr>
        <w:t>,</w:t>
      </w:r>
      <w:r w:rsidRPr="004868D7">
        <w:rPr>
          <w:rFonts w:eastAsia="Calibri"/>
          <w:lang w:val="uk-UA"/>
        </w:rPr>
        <w:t xml:space="preserve"> викладеної </w:t>
      </w:r>
      <w:r w:rsidR="00F64BFD">
        <w:rPr>
          <w:rFonts w:eastAsia="Calibri"/>
          <w:lang w:val="uk-UA"/>
        </w:rPr>
        <w:t>в</w:t>
      </w:r>
      <w:r w:rsidRPr="004868D7">
        <w:rPr>
          <w:rFonts w:eastAsia="Calibri"/>
          <w:lang w:val="uk-UA"/>
        </w:rPr>
        <w:t xml:space="preserve"> цьому </w:t>
      </w:r>
      <w:r w:rsidR="00610F0B" w:rsidRPr="004868D7">
        <w:rPr>
          <w:rFonts w:eastAsia="Calibri"/>
          <w:lang w:val="uk-UA"/>
        </w:rPr>
        <w:t>рішенні</w:t>
      </w:r>
      <w:r w:rsidRPr="004868D7">
        <w:rPr>
          <w:lang w:val="uk-UA"/>
        </w:rPr>
        <w:t>:</w:t>
      </w:r>
    </w:p>
    <w:p w:rsidR="00140681" w:rsidRDefault="00140681" w:rsidP="00E07C2B">
      <w:pPr>
        <w:pStyle w:val="af4"/>
        <w:numPr>
          <w:ilvl w:val="0"/>
          <w:numId w:val="7"/>
        </w:numPr>
        <w:tabs>
          <w:tab w:val="left" w:pos="709"/>
          <w:tab w:val="left" w:pos="851"/>
        </w:tabs>
        <w:overflowPunct/>
        <w:ind w:left="709" w:hanging="709"/>
        <w:contextualSpacing/>
        <w:jc w:val="both"/>
        <w:rPr>
          <w:iCs/>
          <w:szCs w:val="24"/>
          <w:lang w:val="uk-UA"/>
        </w:rPr>
      </w:pPr>
      <w:r w:rsidRPr="004868D7">
        <w:rPr>
          <w:iCs/>
          <w:szCs w:val="24"/>
          <w:lang w:val="uk-UA"/>
        </w:rPr>
        <w:lastRenderedPageBreak/>
        <w:t>Постачання в Україну високооктанових моторних бензинів та дизельного пального здійснюється за рахунок власного виробництва та імпорту, який забезпечується залізничним, морським та трубопровідним транспортом.</w:t>
      </w:r>
    </w:p>
    <w:p w:rsidR="004868D7" w:rsidRPr="00A13789" w:rsidRDefault="004868D7" w:rsidP="004868D7">
      <w:pPr>
        <w:pStyle w:val="af4"/>
        <w:tabs>
          <w:tab w:val="left" w:pos="709"/>
          <w:tab w:val="left" w:pos="851"/>
        </w:tabs>
        <w:overflowPunct/>
        <w:ind w:left="0"/>
        <w:contextualSpacing/>
        <w:jc w:val="both"/>
        <w:rPr>
          <w:iCs/>
          <w:sz w:val="16"/>
          <w:szCs w:val="16"/>
          <w:lang w:val="uk-UA"/>
        </w:rPr>
      </w:pPr>
    </w:p>
    <w:p w:rsidR="00140681" w:rsidRDefault="00140681" w:rsidP="00E07C2B">
      <w:pPr>
        <w:pStyle w:val="af4"/>
        <w:numPr>
          <w:ilvl w:val="0"/>
          <w:numId w:val="7"/>
        </w:numPr>
        <w:tabs>
          <w:tab w:val="left" w:pos="709"/>
          <w:tab w:val="left" w:pos="851"/>
        </w:tabs>
        <w:overflowPunct/>
        <w:ind w:left="709" w:hanging="709"/>
        <w:contextualSpacing/>
        <w:jc w:val="both"/>
        <w:rPr>
          <w:iCs/>
          <w:szCs w:val="24"/>
          <w:lang w:val="uk-UA"/>
        </w:rPr>
      </w:pPr>
      <w:r w:rsidRPr="004868D7">
        <w:rPr>
          <w:iCs/>
          <w:szCs w:val="24"/>
          <w:lang w:val="uk-UA"/>
        </w:rPr>
        <w:t xml:space="preserve">Частка </w:t>
      </w:r>
      <w:r w:rsidR="00F64BFD">
        <w:rPr>
          <w:iCs/>
          <w:szCs w:val="24"/>
          <w:lang w:val="uk-UA"/>
        </w:rPr>
        <w:t>в</w:t>
      </w:r>
      <w:r w:rsidRPr="004868D7">
        <w:rPr>
          <w:iCs/>
          <w:szCs w:val="24"/>
          <w:lang w:val="uk-UA"/>
        </w:rPr>
        <w:t xml:space="preserve"> загальному балансі високооктанових моторних бензинів та дизельного пального, яка забезпечується морським транспортом</w:t>
      </w:r>
      <w:r w:rsidR="00F64BFD">
        <w:rPr>
          <w:iCs/>
          <w:szCs w:val="24"/>
          <w:lang w:val="uk-UA"/>
        </w:rPr>
        <w:t>,</w:t>
      </w:r>
      <w:r w:rsidRPr="004868D7">
        <w:rPr>
          <w:iCs/>
          <w:szCs w:val="24"/>
          <w:lang w:val="uk-UA"/>
        </w:rPr>
        <w:t xml:space="preserve"> за 2018, 2019 та перше півріччя 2020 року не перевищувала 28 відсотків, 27 відсотків та 13 відсотків відповідно.</w:t>
      </w:r>
    </w:p>
    <w:p w:rsidR="00140681" w:rsidRDefault="00140681" w:rsidP="00E07C2B">
      <w:pPr>
        <w:pStyle w:val="af4"/>
        <w:numPr>
          <w:ilvl w:val="0"/>
          <w:numId w:val="7"/>
        </w:numPr>
        <w:tabs>
          <w:tab w:val="left" w:pos="709"/>
          <w:tab w:val="left" w:pos="851"/>
        </w:tabs>
        <w:overflowPunct/>
        <w:ind w:left="709" w:hanging="709"/>
        <w:contextualSpacing/>
        <w:jc w:val="both"/>
        <w:rPr>
          <w:iCs/>
          <w:szCs w:val="24"/>
          <w:lang w:val="uk-UA"/>
        </w:rPr>
      </w:pPr>
      <w:r w:rsidRPr="004868D7">
        <w:rPr>
          <w:iCs/>
          <w:szCs w:val="24"/>
          <w:lang w:val="uk-UA"/>
        </w:rPr>
        <w:t xml:space="preserve">Частка групи ОККО </w:t>
      </w:r>
      <w:r w:rsidR="00F64BFD">
        <w:rPr>
          <w:iCs/>
          <w:szCs w:val="24"/>
          <w:lang w:val="uk-UA"/>
        </w:rPr>
        <w:t>в</w:t>
      </w:r>
      <w:r w:rsidRPr="004868D7">
        <w:rPr>
          <w:iCs/>
          <w:szCs w:val="24"/>
          <w:lang w:val="uk-UA"/>
        </w:rPr>
        <w:t xml:space="preserve"> загальному обсязі високооктанових моторних бензинів в Україні за 2018, 2019 та перше півріччя 2020 року не перевищувала 2 відсотк</w:t>
      </w:r>
      <w:r w:rsidR="00F64BFD">
        <w:rPr>
          <w:iCs/>
          <w:szCs w:val="24"/>
          <w:lang w:val="uk-UA"/>
        </w:rPr>
        <w:t>ів</w:t>
      </w:r>
      <w:r w:rsidRPr="004868D7">
        <w:rPr>
          <w:iCs/>
          <w:szCs w:val="24"/>
          <w:lang w:val="uk-UA"/>
        </w:rPr>
        <w:t>.</w:t>
      </w:r>
    </w:p>
    <w:p w:rsidR="00140681" w:rsidRDefault="00140681" w:rsidP="00E07C2B">
      <w:pPr>
        <w:pStyle w:val="af4"/>
        <w:numPr>
          <w:ilvl w:val="0"/>
          <w:numId w:val="7"/>
        </w:numPr>
        <w:tabs>
          <w:tab w:val="left" w:pos="709"/>
          <w:tab w:val="left" w:pos="851"/>
        </w:tabs>
        <w:overflowPunct/>
        <w:ind w:left="709" w:hanging="709"/>
        <w:contextualSpacing/>
        <w:jc w:val="both"/>
        <w:rPr>
          <w:iCs/>
          <w:szCs w:val="24"/>
          <w:lang w:val="uk-UA"/>
        </w:rPr>
      </w:pPr>
      <w:r w:rsidRPr="004868D7">
        <w:rPr>
          <w:iCs/>
          <w:szCs w:val="24"/>
          <w:lang w:val="uk-UA"/>
        </w:rPr>
        <w:t xml:space="preserve">Частка групи ОККО </w:t>
      </w:r>
      <w:r w:rsidR="00F64BFD">
        <w:rPr>
          <w:iCs/>
          <w:szCs w:val="24"/>
          <w:lang w:val="uk-UA"/>
        </w:rPr>
        <w:t>в</w:t>
      </w:r>
      <w:r w:rsidRPr="004868D7">
        <w:rPr>
          <w:iCs/>
          <w:szCs w:val="24"/>
          <w:lang w:val="uk-UA"/>
        </w:rPr>
        <w:t xml:space="preserve"> загальному обсязі дизельного пального в Україні за 2018, 2019 та перше півріччя 2020 року не перевищувала 3,5 відсотка.</w:t>
      </w:r>
    </w:p>
    <w:p w:rsidR="004868D7" w:rsidRPr="00A13789" w:rsidRDefault="004868D7" w:rsidP="004868D7">
      <w:pPr>
        <w:pStyle w:val="af4"/>
        <w:tabs>
          <w:tab w:val="left" w:pos="709"/>
          <w:tab w:val="left" w:pos="851"/>
        </w:tabs>
        <w:overflowPunct/>
        <w:ind w:left="0"/>
        <w:contextualSpacing/>
        <w:jc w:val="both"/>
        <w:rPr>
          <w:iCs/>
          <w:sz w:val="16"/>
          <w:szCs w:val="16"/>
          <w:lang w:val="uk-UA"/>
        </w:rPr>
      </w:pPr>
    </w:p>
    <w:p w:rsidR="00140681" w:rsidRDefault="00140681" w:rsidP="00E07C2B">
      <w:pPr>
        <w:pStyle w:val="af4"/>
        <w:numPr>
          <w:ilvl w:val="0"/>
          <w:numId w:val="7"/>
        </w:numPr>
        <w:tabs>
          <w:tab w:val="left" w:pos="709"/>
          <w:tab w:val="left" w:pos="851"/>
        </w:tabs>
        <w:overflowPunct/>
        <w:ind w:left="709" w:hanging="709"/>
        <w:contextualSpacing/>
        <w:jc w:val="both"/>
        <w:rPr>
          <w:iCs/>
          <w:szCs w:val="24"/>
          <w:lang w:val="uk-UA"/>
        </w:rPr>
      </w:pPr>
      <w:r w:rsidRPr="004868D7">
        <w:rPr>
          <w:iCs/>
          <w:szCs w:val="24"/>
          <w:lang w:val="uk-UA"/>
        </w:rPr>
        <w:t xml:space="preserve">Частка перевалки нафтопродуктів, яка забезпечувалась комплексом Херсонської </w:t>
      </w:r>
      <w:proofErr w:type="spellStart"/>
      <w:r w:rsidR="00F64BFD">
        <w:rPr>
          <w:iCs/>
          <w:szCs w:val="24"/>
          <w:lang w:val="uk-UA"/>
        </w:rPr>
        <w:t>нафтоперевалки</w:t>
      </w:r>
      <w:proofErr w:type="spellEnd"/>
      <w:r w:rsidR="00F64BFD">
        <w:rPr>
          <w:iCs/>
          <w:szCs w:val="24"/>
          <w:lang w:val="uk-UA"/>
        </w:rPr>
        <w:t>,</w:t>
      </w:r>
      <w:r w:rsidRPr="004868D7">
        <w:rPr>
          <w:iCs/>
          <w:szCs w:val="24"/>
          <w:lang w:val="uk-UA"/>
        </w:rPr>
        <w:t xml:space="preserve"> за 2018 та 2019 рок</w:t>
      </w:r>
      <w:r w:rsidR="00F64BFD">
        <w:rPr>
          <w:iCs/>
          <w:szCs w:val="24"/>
          <w:lang w:val="uk-UA"/>
        </w:rPr>
        <w:t>и</w:t>
      </w:r>
      <w:r w:rsidRPr="004868D7">
        <w:rPr>
          <w:iCs/>
          <w:szCs w:val="24"/>
          <w:lang w:val="uk-UA"/>
        </w:rPr>
        <w:t xml:space="preserve"> не перевищувала 9 та 12 відсотків відповідно (протягом 2020 року нафтоперевалка не здійснювалась). Відповідна частка, яка забезпечувалась комплексом Херсонської нафтоперевалки за 2018 та 2019 рок</w:t>
      </w:r>
      <w:r w:rsidR="00F64BFD">
        <w:rPr>
          <w:iCs/>
          <w:szCs w:val="24"/>
          <w:lang w:val="uk-UA"/>
        </w:rPr>
        <w:t>и</w:t>
      </w:r>
      <w:r w:rsidRPr="004868D7">
        <w:rPr>
          <w:iCs/>
          <w:szCs w:val="24"/>
          <w:lang w:val="uk-UA"/>
        </w:rPr>
        <w:t>, у загальному балансі первинної реалізації високооктанових моторних бензинів та дизельного пального не перевищувала 2 відсотків.</w:t>
      </w:r>
    </w:p>
    <w:p w:rsidR="004868D7" w:rsidRPr="00A13789" w:rsidRDefault="004868D7" w:rsidP="004868D7">
      <w:pPr>
        <w:pStyle w:val="af4"/>
        <w:tabs>
          <w:tab w:val="left" w:pos="709"/>
          <w:tab w:val="left" w:pos="851"/>
        </w:tabs>
        <w:overflowPunct/>
        <w:ind w:left="0"/>
        <w:contextualSpacing/>
        <w:jc w:val="both"/>
        <w:rPr>
          <w:iCs/>
          <w:sz w:val="16"/>
          <w:szCs w:val="16"/>
          <w:lang w:val="uk-UA"/>
        </w:rPr>
      </w:pPr>
    </w:p>
    <w:p w:rsidR="00140681" w:rsidRDefault="00140681" w:rsidP="00E07C2B">
      <w:pPr>
        <w:pStyle w:val="af4"/>
        <w:numPr>
          <w:ilvl w:val="0"/>
          <w:numId w:val="7"/>
        </w:numPr>
        <w:tabs>
          <w:tab w:val="left" w:pos="709"/>
          <w:tab w:val="left" w:pos="851"/>
        </w:tabs>
        <w:overflowPunct/>
        <w:ind w:left="709" w:hanging="709"/>
        <w:contextualSpacing/>
        <w:jc w:val="both"/>
        <w:rPr>
          <w:iCs/>
          <w:szCs w:val="24"/>
          <w:lang w:val="uk-UA"/>
        </w:rPr>
      </w:pPr>
      <w:r w:rsidRPr="004868D7">
        <w:rPr>
          <w:iCs/>
          <w:szCs w:val="24"/>
          <w:lang w:val="uk-UA"/>
        </w:rPr>
        <w:t>Територіальними межами зі зберігання високооктанових моторних бензинів та дизельного пального у відповідній концентрації є територія:</w:t>
      </w:r>
    </w:p>
    <w:p w:rsidR="00140681" w:rsidRDefault="00140681" w:rsidP="00E07C2B">
      <w:pPr>
        <w:tabs>
          <w:tab w:val="left" w:pos="284"/>
          <w:tab w:val="left" w:pos="709"/>
        </w:tabs>
        <w:ind w:left="709" w:firstLine="425"/>
        <w:contextualSpacing/>
        <w:jc w:val="both"/>
        <w:rPr>
          <w:rStyle w:val="affb"/>
          <w:rFonts w:eastAsia="Calibri"/>
          <w:i w:val="0"/>
          <w:sz w:val="24"/>
          <w:szCs w:val="24"/>
          <w:lang w:val="uk-UA"/>
        </w:rPr>
      </w:pPr>
      <w:r w:rsidRPr="004868D7">
        <w:rPr>
          <w:rStyle w:val="affb"/>
          <w:rFonts w:eastAsia="Calibri"/>
          <w:i w:val="0"/>
          <w:sz w:val="24"/>
          <w:szCs w:val="24"/>
          <w:lang w:val="uk-UA"/>
        </w:rPr>
        <w:t xml:space="preserve">навколо м. Херсон, де розташовані Нафтобаза </w:t>
      </w:r>
      <w:r w:rsidR="00F64BFD">
        <w:rPr>
          <w:rStyle w:val="affb"/>
          <w:rFonts w:eastAsia="Calibri"/>
          <w:i w:val="0"/>
          <w:sz w:val="24"/>
          <w:szCs w:val="24"/>
          <w:lang w:val="uk-UA"/>
        </w:rPr>
        <w:t>й</w:t>
      </w:r>
      <w:r w:rsidRPr="004868D7">
        <w:rPr>
          <w:rStyle w:val="affb"/>
          <w:rFonts w:eastAsia="Calibri"/>
          <w:i w:val="0"/>
          <w:sz w:val="24"/>
          <w:szCs w:val="24"/>
          <w:lang w:val="uk-UA"/>
        </w:rPr>
        <w:t xml:space="preserve"> </w:t>
      </w:r>
      <w:proofErr w:type="spellStart"/>
      <w:r w:rsidRPr="004868D7">
        <w:rPr>
          <w:rStyle w:val="affb"/>
          <w:rFonts w:eastAsia="Calibri"/>
          <w:i w:val="0"/>
          <w:sz w:val="24"/>
          <w:szCs w:val="24"/>
          <w:lang w:val="uk-UA"/>
        </w:rPr>
        <w:t>Нафтоперевалка</w:t>
      </w:r>
      <w:proofErr w:type="spellEnd"/>
      <w:r w:rsidRPr="004868D7">
        <w:rPr>
          <w:rStyle w:val="affb"/>
          <w:rFonts w:eastAsia="Calibri"/>
          <w:i w:val="0"/>
          <w:sz w:val="24"/>
          <w:szCs w:val="24"/>
          <w:lang w:val="uk-UA"/>
        </w:rPr>
        <w:t>, тобто територі</w:t>
      </w:r>
      <w:r w:rsidR="00F64BFD">
        <w:rPr>
          <w:rStyle w:val="affb"/>
          <w:rFonts w:eastAsia="Calibri"/>
          <w:i w:val="0"/>
          <w:sz w:val="24"/>
          <w:szCs w:val="24"/>
          <w:lang w:val="uk-UA"/>
        </w:rPr>
        <w:t>я</w:t>
      </w:r>
      <w:r w:rsidRPr="004868D7">
        <w:rPr>
          <w:rStyle w:val="affb"/>
          <w:rFonts w:eastAsia="Calibri"/>
          <w:i w:val="0"/>
          <w:sz w:val="24"/>
          <w:szCs w:val="24"/>
          <w:lang w:val="uk-UA"/>
        </w:rPr>
        <w:t xml:space="preserve"> Херсонської області;</w:t>
      </w:r>
    </w:p>
    <w:p w:rsidR="004868D7" w:rsidRDefault="00140681" w:rsidP="004868D7">
      <w:pPr>
        <w:tabs>
          <w:tab w:val="left" w:pos="284"/>
          <w:tab w:val="left" w:pos="709"/>
        </w:tabs>
        <w:ind w:left="709" w:firstLine="425"/>
        <w:contextualSpacing/>
        <w:jc w:val="both"/>
        <w:rPr>
          <w:rStyle w:val="affb"/>
          <w:rFonts w:eastAsia="Calibri"/>
          <w:i w:val="0"/>
          <w:sz w:val="24"/>
          <w:szCs w:val="24"/>
          <w:lang w:val="uk-UA"/>
        </w:rPr>
      </w:pPr>
      <w:r w:rsidRPr="004868D7">
        <w:rPr>
          <w:rStyle w:val="affb"/>
          <w:rFonts w:eastAsia="Calibri"/>
          <w:i w:val="0"/>
          <w:sz w:val="24"/>
          <w:szCs w:val="24"/>
          <w:lang w:val="uk-UA"/>
        </w:rPr>
        <w:t>сусідніх областей чи їх частин, зокрема: Миколаївська область, північна частина Одеської області (від Дністровського лиману), Кіровоградська область, західна (правобережна), західна частина Запорізької області.</w:t>
      </w:r>
    </w:p>
    <w:p w:rsidR="004868D7" w:rsidRPr="00A13789" w:rsidRDefault="004868D7" w:rsidP="004868D7">
      <w:pPr>
        <w:tabs>
          <w:tab w:val="left" w:pos="284"/>
          <w:tab w:val="left" w:pos="709"/>
        </w:tabs>
        <w:ind w:left="709" w:firstLine="425"/>
        <w:contextualSpacing/>
        <w:jc w:val="both"/>
        <w:rPr>
          <w:rStyle w:val="affb"/>
          <w:rFonts w:eastAsia="Calibri"/>
          <w:i w:val="0"/>
          <w:sz w:val="16"/>
          <w:szCs w:val="16"/>
          <w:lang w:val="uk-UA"/>
        </w:rPr>
      </w:pPr>
    </w:p>
    <w:p w:rsidR="00140681" w:rsidRDefault="00140681" w:rsidP="00E07C2B">
      <w:pPr>
        <w:pStyle w:val="af4"/>
        <w:numPr>
          <w:ilvl w:val="0"/>
          <w:numId w:val="7"/>
        </w:numPr>
        <w:tabs>
          <w:tab w:val="left" w:pos="709"/>
          <w:tab w:val="left" w:pos="851"/>
        </w:tabs>
        <w:overflowPunct/>
        <w:ind w:left="709" w:hanging="709"/>
        <w:contextualSpacing/>
        <w:jc w:val="both"/>
        <w:rPr>
          <w:iCs/>
          <w:szCs w:val="24"/>
          <w:lang w:val="uk-UA"/>
        </w:rPr>
      </w:pPr>
      <w:r w:rsidRPr="004868D7">
        <w:rPr>
          <w:iCs/>
          <w:szCs w:val="24"/>
          <w:lang w:val="uk-UA"/>
        </w:rPr>
        <w:t xml:space="preserve">У визначених територіальних межах діяльність </w:t>
      </w:r>
      <w:r w:rsidR="00F64BFD">
        <w:rPr>
          <w:iCs/>
          <w:szCs w:val="24"/>
          <w:lang w:val="uk-UA"/>
        </w:rPr>
        <w:t>зі</w:t>
      </w:r>
      <w:r w:rsidRPr="004868D7">
        <w:rPr>
          <w:iCs/>
          <w:szCs w:val="24"/>
          <w:lang w:val="uk-UA"/>
        </w:rPr>
        <w:t xml:space="preserve"> зберігання нафтопродуктів здійснюють більше 200 суб’єктів господарювання.</w:t>
      </w:r>
    </w:p>
    <w:p w:rsidR="004868D7" w:rsidRPr="00A13789" w:rsidRDefault="004868D7" w:rsidP="004868D7">
      <w:pPr>
        <w:pStyle w:val="af4"/>
        <w:tabs>
          <w:tab w:val="left" w:pos="709"/>
          <w:tab w:val="left" w:pos="851"/>
        </w:tabs>
        <w:overflowPunct/>
        <w:ind w:left="709"/>
        <w:contextualSpacing/>
        <w:jc w:val="both"/>
        <w:rPr>
          <w:iCs/>
          <w:sz w:val="16"/>
          <w:szCs w:val="16"/>
          <w:lang w:val="uk-UA"/>
        </w:rPr>
      </w:pPr>
    </w:p>
    <w:p w:rsidR="00140681" w:rsidRDefault="00140681" w:rsidP="00E07C2B">
      <w:pPr>
        <w:pStyle w:val="af4"/>
        <w:numPr>
          <w:ilvl w:val="0"/>
          <w:numId w:val="7"/>
        </w:numPr>
        <w:tabs>
          <w:tab w:val="left" w:pos="709"/>
          <w:tab w:val="left" w:pos="851"/>
        </w:tabs>
        <w:overflowPunct/>
        <w:ind w:left="709" w:hanging="709"/>
        <w:contextualSpacing/>
        <w:jc w:val="both"/>
        <w:rPr>
          <w:iCs/>
          <w:szCs w:val="24"/>
          <w:lang w:val="uk-UA"/>
        </w:rPr>
      </w:pPr>
      <w:r w:rsidRPr="004868D7">
        <w:rPr>
          <w:iCs/>
          <w:szCs w:val="24"/>
          <w:lang w:val="uk-UA"/>
        </w:rPr>
        <w:t>Група ОККО у визначених територіальних межах не здійснює діяльн</w:t>
      </w:r>
      <w:r w:rsidR="00F64BFD">
        <w:rPr>
          <w:iCs/>
          <w:szCs w:val="24"/>
          <w:lang w:val="uk-UA"/>
        </w:rPr>
        <w:t>ості зі</w:t>
      </w:r>
      <w:r w:rsidRPr="004868D7">
        <w:rPr>
          <w:iCs/>
          <w:szCs w:val="24"/>
          <w:lang w:val="uk-UA"/>
        </w:rPr>
        <w:t xml:space="preserve"> зберігання нафтопродуктів.</w:t>
      </w:r>
    </w:p>
    <w:p w:rsidR="004868D7" w:rsidRPr="00A13789" w:rsidRDefault="004868D7" w:rsidP="004868D7">
      <w:pPr>
        <w:pStyle w:val="af4"/>
        <w:tabs>
          <w:tab w:val="left" w:pos="709"/>
          <w:tab w:val="left" w:pos="851"/>
        </w:tabs>
        <w:overflowPunct/>
        <w:ind w:left="0"/>
        <w:contextualSpacing/>
        <w:jc w:val="both"/>
        <w:rPr>
          <w:iCs/>
          <w:sz w:val="16"/>
          <w:szCs w:val="16"/>
          <w:lang w:val="uk-UA"/>
        </w:rPr>
      </w:pPr>
    </w:p>
    <w:p w:rsidR="00140681" w:rsidRDefault="00140681" w:rsidP="00E07C2B">
      <w:pPr>
        <w:pStyle w:val="af4"/>
        <w:numPr>
          <w:ilvl w:val="0"/>
          <w:numId w:val="7"/>
        </w:numPr>
        <w:tabs>
          <w:tab w:val="left" w:pos="709"/>
          <w:tab w:val="left" w:pos="851"/>
        </w:tabs>
        <w:overflowPunct/>
        <w:ind w:left="709" w:hanging="709"/>
        <w:contextualSpacing/>
        <w:jc w:val="both"/>
        <w:rPr>
          <w:iCs/>
          <w:szCs w:val="24"/>
          <w:lang w:val="uk-UA"/>
        </w:rPr>
      </w:pPr>
      <w:r w:rsidRPr="004868D7">
        <w:rPr>
          <w:iCs/>
          <w:szCs w:val="24"/>
          <w:lang w:val="uk-UA"/>
        </w:rPr>
        <w:t>За оцінкою учасників концентрації</w:t>
      </w:r>
      <w:r w:rsidR="00F64BFD">
        <w:rPr>
          <w:iCs/>
          <w:szCs w:val="24"/>
          <w:lang w:val="uk-UA"/>
        </w:rPr>
        <w:t>,</w:t>
      </w:r>
      <w:r w:rsidRPr="004868D7">
        <w:rPr>
          <w:iCs/>
          <w:szCs w:val="24"/>
          <w:lang w:val="uk-UA"/>
        </w:rPr>
        <w:t xml:space="preserve"> у визначених територіальних межах частка учасників концентрації </w:t>
      </w:r>
      <w:r w:rsidR="00F64BFD">
        <w:rPr>
          <w:iCs/>
          <w:szCs w:val="24"/>
          <w:lang w:val="uk-UA"/>
        </w:rPr>
        <w:t>зі</w:t>
      </w:r>
      <w:r w:rsidRPr="004868D7">
        <w:rPr>
          <w:iCs/>
          <w:szCs w:val="24"/>
          <w:lang w:val="uk-UA"/>
        </w:rPr>
        <w:t xml:space="preserve"> зберігання нафтопродуктів не перевищуватиме 1</w:t>
      </w:r>
      <w:r w:rsidR="00675949">
        <w:rPr>
          <w:iCs/>
          <w:szCs w:val="24"/>
          <w:lang w:val="uk-UA"/>
        </w:rPr>
        <w:t>4</w:t>
      </w:r>
      <w:r w:rsidR="00F64BFD">
        <w:rPr>
          <w:iCs/>
          <w:szCs w:val="24"/>
          <w:lang w:val="uk-UA"/>
        </w:rPr>
        <w:t xml:space="preserve"> відсотків. При цьому</w:t>
      </w:r>
      <w:r w:rsidRPr="004868D7">
        <w:rPr>
          <w:iCs/>
          <w:szCs w:val="24"/>
          <w:lang w:val="uk-UA"/>
        </w:rPr>
        <w:t xml:space="preserve"> частка комплексу Херсонської нафтоперевалки зі зберігання нафтопродуктів у загальному об</w:t>
      </w:r>
      <w:r w:rsidR="00F64BFD">
        <w:rPr>
          <w:iCs/>
          <w:szCs w:val="24"/>
          <w:lang w:val="uk-UA"/>
        </w:rPr>
        <w:t>сязі</w:t>
      </w:r>
      <w:r w:rsidRPr="004868D7">
        <w:rPr>
          <w:iCs/>
          <w:szCs w:val="24"/>
          <w:lang w:val="uk-UA"/>
        </w:rPr>
        <w:t xml:space="preserve"> морських </w:t>
      </w:r>
      <w:proofErr w:type="spellStart"/>
      <w:r w:rsidRPr="004868D7">
        <w:rPr>
          <w:iCs/>
          <w:szCs w:val="24"/>
          <w:lang w:val="uk-UA"/>
        </w:rPr>
        <w:t>нафтоперевальних</w:t>
      </w:r>
      <w:proofErr w:type="spellEnd"/>
      <w:r w:rsidRPr="004868D7">
        <w:rPr>
          <w:iCs/>
          <w:szCs w:val="24"/>
          <w:lang w:val="uk-UA"/>
        </w:rPr>
        <w:t xml:space="preserve"> комплексів </w:t>
      </w:r>
      <w:r w:rsidR="00F64BFD">
        <w:rPr>
          <w:iCs/>
          <w:szCs w:val="24"/>
          <w:lang w:val="uk-UA"/>
        </w:rPr>
        <w:t>становить</w:t>
      </w:r>
      <w:r w:rsidRPr="004868D7">
        <w:rPr>
          <w:iCs/>
          <w:szCs w:val="24"/>
          <w:lang w:val="uk-UA"/>
        </w:rPr>
        <w:t xml:space="preserve"> близько 2 відсотків.</w:t>
      </w:r>
    </w:p>
    <w:p w:rsidR="00243993" w:rsidRPr="00A13789" w:rsidRDefault="00243993" w:rsidP="00243993">
      <w:pPr>
        <w:pStyle w:val="af4"/>
        <w:tabs>
          <w:tab w:val="left" w:pos="709"/>
          <w:tab w:val="left" w:pos="851"/>
        </w:tabs>
        <w:overflowPunct/>
        <w:ind w:left="0"/>
        <w:contextualSpacing/>
        <w:jc w:val="both"/>
        <w:rPr>
          <w:iCs/>
          <w:sz w:val="16"/>
          <w:szCs w:val="16"/>
          <w:lang w:val="uk-UA"/>
        </w:rPr>
      </w:pPr>
    </w:p>
    <w:p w:rsidR="00140681" w:rsidRPr="004868D7" w:rsidRDefault="00140681" w:rsidP="00E07C2B">
      <w:pPr>
        <w:pStyle w:val="af4"/>
        <w:numPr>
          <w:ilvl w:val="0"/>
          <w:numId w:val="7"/>
        </w:numPr>
        <w:tabs>
          <w:tab w:val="left" w:pos="709"/>
          <w:tab w:val="left" w:pos="851"/>
        </w:tabs>
        <w:overflowPunct/>
        <w:ind w:left="709" w:hanging="709"/>
        <w:contextualSpacing/>
        <w:jc w:val="both"/>
        <w:rPr>
          <w:iCs/>
          <w:szCs w:val="24"/>
          <w:lang w:val="uk-UA"/>
        </w:rPr>
      </w:pPr>
      <w:r w:rsidRPr="004868D7">
        <w:rPr>
          <w:iCs/>
          <w:szCs w:val="24"/>
          <w:lang w:val="uk-UA"/>
        </w:rPr>
        <w:t>Частка групи ОККО на суміжних ринк</w:t>
      </w:r>
      <w:r w:rsidR="00073081">
        <w:rPr>
          <w:iCs/>
          <w:szCs w:val="24"/>
          <w:lang w:val="uk-UA"/>
        </w:rPr>
        <w:t>ах</w:t>
      </w:r>
      <w:r w:rsidRPr="004868D7">
        <w:rPr>
          <w:iCs/>
          <w:szCs w:val="24"/>
          <w:lang w:val="uk-UA"/>
        </w:rPr>
        <w:t xml:space="preserve"> до</w:t>
      </w:r>
      <w:r w:rsidR="00073081">
        <w:rPr>
          <w:iCs/>
          <w:szCs w:val="24"/>
          <w:lang w:val="uk-UA"/>
        </w:rPr>
        <w:t xml:space="preserve"> ринку </w:t>
      </w:r>
      <w:r w:rsidR="00F64BFD">
        <w:rPr>
          <w:iCs/>
          <w:szCs w:val="24"/>
          <w:lang w:val="uk-UA"/>
        </w:rPr>
        <w:t>в</w:t>
      </w:r>
      <w:r w:rsidRPr="004868D7">
        <w:rPr>
          <w:iCs/>
          <w:szCs w:val="24"/>
          <w:lang w:val="uk-UA"/>
        </w:rPr>
        <w:t xml:space="preserve"> заявлен</w:t>
      </w:r>
      <w:r w:rsidR="00073081">
        <w:rPr>
          <w:iCs/>
          <w:szCs w:val="24"/>
          <w:lang w:val="uk-UA"/>
        </w:rPr>
        <w:t>ій</w:t>
      </w:r>
      <w:r w:rsidR="00F64BFD">
        <w:rPr>
          <w:iCs/>
          <w:szCs w:val="24"/>
          <w:lang w:val="uk-UA"/>
        </w:rPr>
        <w:t xml:space="preserve"> концентрації</w:t>
      </w:r>
      <w:r w:rsidRPr="004868D7">
        <w:rPr>
          <w:iCs/>
          <w:szCs w:val="24"/>
          <w:lang w:val="uk-UA"/>
        </w:rPr>
        <w:t xml:space="preserve"> з роздрібної реалізації високооктанових моторних бензинів у визначених територіальних межах концентрації за 2018, 2019 та перше півріччя 2020 року не перевищувала 18 відсотків.</w:t>
      </w:r>
    </w:p>
    <w:p w:rsidR="00140681" w:rsidRPr="004868D7" w:rsidRDefault="00140681" w:rsidP="00E07C2B">
      <w:pPr>
        <w:pStyle w:val="af4"/>
        <w:tabs>
          <w:tab w:val="left" w:pos="709"/>
          <w:tab w:val="left" w:pos="851"/>
        </w:tabs>
        <w:overflowPunct/>
        <w:ind w:left="709"/>
        <w:contextualSpacing/>
        <w:jc w:val="both"/>
        <w:rPr>
          <w:iCs/>
          <w:szCs w:val="24"/>
          <w:lang w:val="uk-UA"/>
        </w:rPr>
      </w:pPr>
      <w:r w:rsidRPr="004868D7">
        <w:rPr>
          <w:iCs/>
          <w:szCs w:val="24"/>
          <w:lang w:val="uk-UA"/>
        </w:rPr>
        <w:t>Частка групи ОККО на суміжних ринк</w:t>
      </w:r>
      <w:r w:rsidR="00073081">
        <w:rPr>
          <w:iCs/>
          <w:szCs w:val="24"/>
          <w:lang w:val="uk-UA"/>
        </w:rPr>
        <w:t>ах</w:t>
      </w:r>
      <w:r w:rsidRPr="004868D7">
        <w:rPr>
          <w:iCs/>
          <w:szCs w:val="24"/>
          <w:lang w:val="uk-UA"/>
        </w:rPr>
        <w:t xml:space="preserve"> до</w:t>
      </w:r>
      <w:r w:rsidR="00073081">
        <w:rPr>
          <w:iCs/>
          <w:szCs w:val="24"/>
          <w:lang w:val="uk-UA"/>
        </w:rPr>
        <w:t xml:space="preserve"> ринку </w:t>
      </w:r>
      <w:r w:rsidR="00F64BFD">
        <w:rPr>
          <w:iCs/>
          <w:szCs w:val="24"/>
          <w:lang w:val="uk-UA"/>
        </w:rPr>
        <w:t>в</w:t>
      </w:r>
      <w:r w:rsidRPr="004868D7">
        <w:rPr>
          <w:iCs/>
          <w:szCs w:val="24"/>
          <w:lang w:val="uk-UA"/>
        </w:rPr>
        <w:t xml:space="preserve"> заявлен</w:t>
      </w:r>
      <w:r w:rsidR="00073081">
        <w:rPr>
          <w:iCs/>
          <w:szCs w:val="24"/>
          <w:lang w:val="uk-UA"/>
        </w:rPr>
        <w:t>ій</w:t>
      </w:r>
      <w:r w:rsidR="00F64BFD">
        <w:rPr>
          <w:iCs/>
          <w:szCs w:val="24"/>
          <w:lang w:val="uk-UA"/>
        </w:rPr>
        <w:t xml:space="preserve"> концентрації</w:t>
      </w:r>
      <w:r w:rsidRPr="004868D7">
        <w:rPr>
          <w:iCs/>
          <w:szCs w:val="24"/>
          <w:lang w:val="uk-UA"/>
        </w:rPr>
        <w:t xml:space="preserve"> з роздрібної реалізації дизельного пального у визначених територіальних межах концентрації за 2018, 2019 та перше півріччя 2020 року не перевищувала 21 відсотка.</w:t>
      </w:r>
    </w:p>
    <w:p w:rsidR="00140681" w:rsidRPr="00A13789" w:rsidRDefault="00140681" w:rsidP="00E07C2B">
      <w:pPr>
        <w:pStyle w:val="af4"/>
        <w:tabs>
          <w:tab w:val="left" w:pos="709"/>
          <w:tab w:val="left" w:pos="851"/>
        </w:tabs>
        <w:overflowPunct/>
        <w:ind w:left="709"/>
        <w:contextualSpacing/>
        <w:jc w:val="both"/>
        <w:rPr>
          <w:iCs/>
          <w:sz w:val="16"/>
          <w:szCs w:val="16"/>
          <w:lang w:val="uk-UA"/>
        </w:rPr>
      </w:pPr>
    </w:p>
    <w:p w:rsidR="00140681" w:rsidRPr="004868D7" w:rsidRDefault="00140681" w:rsidP="00E07C2B">
      <w:pPr>
        <w:pStyle w:val="af4"/>
        <w:numPr>
          <w:ilvl w:val="0"/>
          <w:numId w:val="7"/>
        </w:numPr>
        <w:tabs>
          <w:tab w:val="left" w:pos="709"/>
          <w:tab w:val="left" w:pos="851"/>
        </w:tabs>
        <w:overflowPunct/>
        <w:ind w:left="709" w:hanging="709"/>
        <w:contextualSpacing/>
        <w:jc w:val="both"/>
        <w:rPr>
          <w:iCs/>
          <w:szCs w:val="24"/>
          <w:lang w:val="uk-UA"/>
        </w:rPr>
      </w:pPr>
      <w:r w:rsidRPr="004868D7">
        <w:rPr>
          <w:iCs/>
          <w:szCs w:val="24"/>
          <w:lang w:val="uk-UA"/>
        </w:rPr>
        <w:t>Отже, заявлена концентрація не призводить до монополізації чи суттєвого обмеження конкуренції на задіяних товарних ринках України та суміжних товарних ринках.</w:t>
      </w:r>
    </w:p>
    <w:p w:rsidR="00FE266D" w:rsidRPr="00A13789" w:rsidRDefault="00FE266D" w:rsidP="00E07C2B">
      <w:pPr>
        <w:pStyle w:val="aff8"/>
        <w:tabs>
          <w:tab w:val="left" w:pos="709"/>
          <w:tab w:val="left" w:pos="851"/>
        </w:tabs>
        <w:autoSpaceDE w:val="0"/>
        <w:autoSpaceDN w:val="0"/>
        <w:adjustRightInd w:val="0"/>
        <w:ind w:left="0"/>
        <w:contextualSpacing/>
        <w:jc w:val="both"/>
        <w:rPr>
          <w:sz w:val="16"/>
          <w:szCs w:val="16"/>
          <w:lang w:val="uk-UA"/>
        </w:rPr>
      </w:pPr>
    </w:p>
    <w:p w:rsidR="00262106" w:rsidRPr="00073081" w:rsidRDefault="00F64BFD" w:rsidP="00F64BFD">
      <w:pPr>
        <w:tabs>
          <w:tab w:val="left" w:pos="709"/>
          <w:tab w:val="left" w:pos="851"/>
        </w:tabs>
        <w:autoSpaceDE w:val="0"/>
        <w:autoSpaceDN w:val="0"/>
        <w:adjustRightInd w:val="0"/>
        <w:contextualSpacing/>
        <w:jc w:val="both"/>
        <w:rPr>
          <w:lang w:val="uk-UA"/>
        </w:rPr>
      </w:pPr>
      <w:r>
        <w:rPr>
          <w:lang w:val="uk-UA"/>
        </w:rPr>
        <w:tab/>
        <w:t>Враховуючи викладене, к</w:t>
      </w:r>
      <w:r w:rsidR="00262106" w:rsidRPr="00073081">
        <w:rPr>
          <w:lang w:val="uk-UA"/>
        </w:rPr>
        <w:t xml:space="preserve">еруючись статтею 7 Закону України </w:t>
      </w:r>
      <w:r w:rsidR="00D155C1" w:rsidRPr="00073081">
        <w:rPr>
          <w:lang w:val="uk-UA"/>
        </w:rPr>
        <w:t>«</w:t>
      </w:r>
      <w:r w:rsidR="00262106" w:rsidRPr="00073081">
        <w:rPr>
          <w:lang w:val="uk-UA"/>
        </w:rPr>
        <w:t>Про Антимонопольний комітет України</w:t>
      </w:r>
      <w:r w:rsidR="00D155C1" w:rsidRPr="00073081">
        <w:rPr>
          <w:lang w:val="uk-UA"/>
        </w:rPr>
        <w:t>»</w:t>
      </w:r>
      <w:r w:rsidR="00262106" w:rsidRPr="00073081">
        <w:rPr>
          <w:lang w:val="uk-UA"/>
        </w:rPr>
        <w:t xml:space="preserve">, статтями 25 і 31 Закону України </w:t>
      </w:r>
      <w:r w:rsidR="00D155C1" w:rsidRPr="00073081">
        <w:rPr>
          <w:lang w:val="uk-UA"/>
        </w:rPr>
        <w:t>«</w:t>
      </w:r>
      <w:r w:rsidR="00262106" w:rsidRPr="00073081">
        <w:rPr>
          <w:lang w:val="uk-UA"/>
        </w:rPr>
        <w:t>Про  захист економічної  конкуренції</w:t>
      </w:r>
      <w:r w:rsidR="00D155C1" w:rsidRPr="00073081">
        <w:rPr>
          <w:lang w:val="uk-UA"/>
        </w:rPr>
        <w:t>»</w:t>
      </w:r>
      <w:r w:rsidR="00262106" w:rsidRPr="00073081">
        <w:rPr>
          <w:lang w:val="uk-UA"/>
        </w:rPr>
        <w:t xml:space="preserve"> та підпунктом 1 пункту 9 розділу ХІІ Положення про порядок подання та розгляду заяв про попереднє отримання дозволу Антимонопольного комітету України на концентрацію суб’єктів господарювання, затвердженого розпорядженням Антимонопольного комітету </w:t>
      </w:r>
      <w:r w:rsidR="00262106" w:rsidRPr="00073081">
        <w:rPr>
          <w:lang w:val="uk-UA"/>
        </w:rPr>
        <w:lastRenderedPageBreak/>
        <w:t xml:space="preserve">України від 19 лютого 2002 року № 33-р, зареєстрованого в Міністерстві юстиції України </w:t>
      </w:r>
      <w:r w:rsidR="003F4C3C">
        <w:rPr>
          <w:lang w:val="uk-UA"/>
        </w:rPr>
        <w:t xml:space="preserve">           </w:t>
      </w:r>
      <w:r w:rsidR="00262106" w:rsidRPr="00073081">
        <w:rPr>
          <w:lang w:val="uk-UA"/>
        </w:rPr>
        <w:t>21 березня 2002 року за № 284/6572 (у редакції розпорядження Антимонопольного комітету України від 21.06.2016 № 14-рп), Антимонопольний комітет України</w:t>
      </w:r>
    </w:p>
    <w:p w:rsidR="00012950" w:rsidRPr="00073081" w:rsidRDefault="00012950" w:rsidP="00E07C2B">
      <w:pPr>
        <w:tabs>
          <w:tab w:val="left" w:pos="709"/>
          <w:tab w:val="left" w:pos="851"/>
        </w:tabs>
        <w:autoSpaceDE w:val="0"/>
        <w:autoSpaceDN w:val="0"/>
        <w:adjustRightInd w:val="0"/>
        <w:ind w:left="709"/>
        <w:contextualSpacing/>
        <w:jc w:val="both"/>
        <w:rPr>
          <w:lang w:val="uk-UA"/>
        </w:rPr>
      </w:pPr>
    </w:p>
    <w:p w:rsidR="0012711C" w:rsidRPr="00073081" w:rsidRDefault="0012711C" w:rsidP="00E07C2B">
      <w:pPr>
        <w:shd w:val="clear" w:color="auto" w:fill="FFFFFF"/>
        <w:tabs>
          <w:tab w:val="left" w:pos="0"/>
          <w:tab w:val="left" w:pos="720"/>
        </w:tabs>
        <w:contextualSpacing/>
        <w:jc w:val="center"/>
        <w:outlineLvl w:val="0"/>
        <w:rPr>
          <w:lang w:val="uk-UA" w:eastAsia="en-US"/>
        </w:rPr>
      </w:pPr>
      <w:r w:rsidRPr="00073081">
        <w:rPr>
          <w:lang w:val="uk-UA" w:eastAsia="en-US"/>
        </w:rPr>
        <w:t>ПОСТАНОВИВ:</w:t>
      </w:r>
    </w:p>
    <w:p w:rsidR="00DC6B80" w:rsidRPr="00073081" w:rsidRDefault="00DC6B80" w:rsidP="00E07C2B">
      <w:pPr>
        <w:shd w:val="clear" w:color="auto" w:fill="FFFFFF"/>
        <w:tabs>
          <w:tab w:val="left" w:pos="0"/>
          <w:tab w:val="left" w:pos="720"/>
        </w:tabs>
        <w:contextualSpacing/>
        <w:jc w:val="center"/>
        <w:outlineLvl w:val="0"/>
        <w:rPr>
          <w:lang w:val="uk-UA" w:eastAsia="en-US"/>
        </w:rPr>
      </w:pPr>
    </w:p>
    <w:p w:rsidR="00125098" w:rsidRPr="00073081" w:rsidRDefault="00140681" w:rsidP="00E07C2B">
      <w:pPr>
        <w:tabs>
          <w:tab w:val="left" w:pos="567"/>
        </w:tabs>
        <w:ind w:firstLine="709"/>
        <w:contextualSpacing/>
        <w:jc w:val="both"/>
        <w:rPr>
          <w:lang w:val="uk-UA"/>
        </w:rPr>
      </w:pPr>
      <w:r w:rsidRPr="00073081">
        <w:rPr>
          <w:lang w:val="uk-UA"/>
        </w:rPr>
        <w:t>Надати дозвіл акціонерному товариству «КОНЦЕРН ГАЛНАФТОГАЗ»                         (м. Київ, ідентифікаційний код юридичної особи 31729918) на придбання</w:t>
      </w:r>
      <w:r w:rsidR="00AA7703">
        <w:rPr>
          <w:lang w:val="uk-UA"/>
        </w:rPr>
        <w:t xml:space="preserve"> </w:t>
      </w:r>
      <w:r w:rsidRPr="00073081">
        <w:rPr>
          <w:lang w:val="uk-UA"/>
        </w:rPr>
        <w:t>частки в статутному капіталі товариства з обмеженою відповідальністю</w:t>
      </w:r>
      <w:r w:rsidR="00AA7703">
        <w:rPr>
          <w:lang w:val="uk-UA"/>
        </w:rPr>
        <w:t xml:space="preserve"> </w:t>
      </w:r>
      <w:r w:rsidRPr="00073081">
        <w:rPr>
          <w:lang w:val="uk-UA"/>
        </w:rPr>
        <w:t>«НАФТА-ТРАНСШИПМЕНТ»» (м. Львів, ідентифікаційний код юридичної</w:t>
      </w:r>
      <w:r w:rsidR="00AA7703">
        <w:rPr>
          <w:lang w:val="uk-UA"/>
        </w:rPr>
        <w:t xml:space="preserve"> </w:t>
      </w:r>
      <w:r w:rsidRPr="00073081">
        <w:rPr>
          <w:lang w:val="uk-UA"/>
        </w:rPr>
        <w:t>особи 36997462),  що забезпечує перевищення 50 відсотків голосів у вищому органі управління товариства</w:t>
      </w:r>
      <w:r w:rsidR="00C71BC9">
        <w:rPr>
          <w:lang w:val="uk-UA"/>
        </w:rPr>
        <w:t>.</w:t>
      </w:r>
    </w:p>
    <w:p w:rsidR="003850B7" w:rsidRPr="00610F0B" w:rsidRDefault="003850B7" w:rsidP="00E07C2B">
      <w:pPr>
        <w:tabs>
          <w:tab w:val="left" w:pos="567"/>
        </w:tabs>
        <w:contextualSpacing/>
        <w:jc w:val="both"/>
        <w:rPr>
          <w:b/>
          <w:lang w:val="uk-UA"/>
        </w:rPr>
      </w:pPr>
    </w:p>
    <w:p w:rsidR="00125098" w:rsidRPr="00610F0B" w:rsidRDefault="00125098" w:rsidP="00261174">
      <w:pPr>
        <w:tabs>
          <w:tab w:val="left" w:pos="567"/>
        </w:tabs>
        <w:contextualSpacing/>
        <w:jc w:val="both"/>
        <w:rPr>
          <w:b/>
          <w:lang w:val="uk-UA"/>
        </w:rPr>
      </w:pPr>
    </w:p>
    <w:p w:rsidR="005D2421" w:rsidRPr="00610F0B" w:rsidRDefault="005D2421" w:rsidP="00261174">
      <w:pPr>
        <w:tabs>
          <w:tab w:val="left" w:pos="567"/>
        </w:tabs>
        <w:contextualSpacing/>
        <w:jc w:val="both"/>
        <w:rPr>
          <w:b/>
          <w:lang w:val="uk-UA"/>
        </w:rPr>
      </w:pPr>
    </w:p>
    <w:p w:rsidR="005E4924" w:rsidRPr="00610F0B" w:rsidRDefault="00EF5E6E" w:rsidP="00261174">
      <w:pPr>
        <w:tabs>
          <w:tab w:val="left" w:pos="993"/>
        </w:tabs>
        <w:contextualSpacing/>
        <w:jc w:val="both"/>
        <w:rPr>
          <w:lang w:val="uk-UA"/>
        </w:rPr>
      </w:pPr>
      <w:r w:rsidRPr="00610F0B">
        <w:rPr>
          <w:lang w:val="uk-UA" w:eastAsia="en-US"/>
        </w:rPr>
        <w:t>Голов</w:t>
      </w:r>
      <w:r w:rsidR="0049638B" w:rsidRPr="00610F0B">
        <w:rPr>
          <w:lang w:val="uk-UA" w:eastAsia="en-US"/>
        </w:rPr>
        <w:t>а</w:t>
      </w:r>
      <w:r w:rsidRPr="00610F0B">
        <w:rPr>
          <w:lang w:val="uk-UA" w:eastAsia="en-US"/>
        </w:rPr>
        <w:t xml:space="preserve"> Комітету                                                                      </w:t>
      </w:r>
      <w:r w:rsidR="0049638B" w:rsidRPr="00610F0B">
        <w:rPr>
          <w:lang w:val="uk-UA" w:eastAsia="en-US"/>
        </w:rPr>
        <w:t xml:space="preserve">     </w:t>
      </w:r>
      <w:r w:rsidRPr="00610F0B">
        <w:rPr>
          <w:lang w:val="uk-UA" w:eastAsia="en-US"/>
        </w:rPr>
        <w:t xml:space="preserve">         </w:t>
      </w:r>
      <w:r w:rsidR="0049638B" w:rsidRPr="00610F0B">
        <w:rPr>
          <w:lang w:val="uk-UA" w:eastAsia="en-US"/>
        </w:rPr>
        <w:t>О</w:t>
      </w:r>
      <w:r w:rsidRPr="00610F0B">
        <w:rPr>
          <w:lang w:val="uk-UA" w:eastAsia="en-US"/>
        </w:rPr>
        <w:t xml:space="preserve">. </w:t>
      </w:r>
      <w:r w:rsidR="0049638B" w:rsidRPr="00610F0B">
        <w:rPr>
          <w:lang w:val="uk-UA" w:eastAsia="en-US"/>
        </w:rPr>
        <w:t>ПІЩАНСЬКА</w:t>
      </w:r>
    </w:p>
    <w:sectPr w:rsidR="005E4924" w:rsidRPr="00610F0B" w:rsidSect="000B11F6">
      <w:headerReference w:type="even" r:id="rId13"/>
      <w:headerReference w:type="default" r:id="rId14"/>
      <w:pgSz w:w="11907" w:h="16840"/>
      <w:pgMar w:top="1134" w:right="567" w:bottom="1134" w:left="1701" w:header="709" w:footer="70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1D9A" w:rsidRDefault="00AB1D9A">
      <w:r>
        <w:separator/>
      </w:r>
    </w:p>
  </w:endnote>
  <w:endnote w:type="continuationSeparator" w:id="0">
    <w:p w:rsidR="00AB1D9A" w:rsidRDefault="00AB1D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Bold">
    <w:altName w:val="Times New Roman"/>
    <w:charset w:val="00"/>
    <w:family w:val="roman"/>
    <w:pitch w:val="variable"/>
    <w:sig w:usb0="00000000"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1D9A" w:rsidRDefault="00AB1D9A">
      <w:r>
        <w:separator/>
      </w:r>
    </w:p>
  </w:footnote>
  <w:footnote w:type="continuationSeparator" w:id="0">
    <w:p w:rsidR="00AB1D9A" w:rsidRDefault="00AB1D9A">
      <w:r>
        <w:continuationSeparator/>
      </w:r>
    </w:p>
  </w:footnote>
  <w:footnote w:id="1">
    <w:p w:rsidR="003E5E46" w:rsidRPr="00A94E66" w:rsidRDefault="003E5E46" w:rsidP="003E5E46">
      <w:pPr>
        <w:pStyle w:val="26"/>
        <w:shd w:val="clear" w:color="auto" w:fill="auto"/>
        <w:tabs>
          <w:tab w:val="left" w:pos="145"/>
        </w:tabs>
        <w:ind w:left="20" w:right="20"/>
        <w:rPr>
          <w:b w:val="0"/>
          <w:sz w:val="16"/>
          <w:szCs w:val="16"/>
        </w:rPr>
      </w:pPr>
      <w:r w:rsidRPr="00A94E66">
        <w:rPr>
          <w:color w:val="000000"/>
          <w:sz w:val="16"/>
          <w:szCs w:val="16"/>
          <w:vertAlign w:val="superscript"/>
          <w:lang w:val="uk-UA"/>
        </w:rPr>
        <w:footnoteRef/>
      </w:r>
      <w:r w:rsidRPr="00A94E66">
        <w:rPr>
          <w:color w:val="000000"/>
          <w:sz w:val="16"/>
          <w:szCs w:val="16"/>
          <w:lang w:val="uk-UA"/>
        </w:rPr>
        <w:tab/>
      </w:r>
      <w:proofErr w:type="spellStart"/>
      <w:r w:rsidRPr="00A94E66">
        <w:rPr>
          <w:b w:val="0"/>
          <w:color w:val="000000"/>
          <w:sz w:val="16"/>
          <w:szCs w:val="16"/>
          <w:lang w:val="uk-UA"/>
        </w:rPr>
        <w:t>Гурський</w:t>
      </w:r>
      <w:proofErr w:type="spellEnd"/>
      <w:r w:rsidRPr="00A94E66">
        <w:rPr>
          <w:b w:val="0"/>
          <w:color w:val="000000"/>
          <w:sz w:val="16"/>
          <w:szCs w:val="16"/>
          <w:lang w:val="uk-UA"/>
        </w:rPr>
        <w:t xml:space="preserve"> А.М. (власник частки в розмірі 25</w:t>
      </w:r>
      <w:r w:rsidR="00507E01">
        <w:rPr>
          <w:b w:val="0"/>
          <w:color w:val="000000"/>
          <w:sz w:val="16"/>
          <w:szCs w:val="16"/>
          <w:lang w:val="uk-UA"/>
        </w:rPr>
        <w:t xml:space="preserve"> </w:t>
      </w:r>
      <w:r w:rsidRPr="00A94E66">
        <w:rPr>
          <w:b w:val="0"/>
          <w:color w:val="000000"/>
          <w:sz w:val="16"/>
          <w:szCs w:val="16"/>
          <w:lang w:val="uk-UA"/>
        </w:rPr>
        <w:t xml:space="preserve">% статутного капіталу ТОВ </w:t>
      </w:r>
      <w:r w:rsidR="00507E01">
        <w:rPr>
          <w:b w:val="0"/>
          <w:color w:val="000000"/>
          <w:sz w:val="16"/>
          <w:szCs w:val="16"/>
          <w:lang w:val="uk-UA"/>
        </w:rPr>
        <w:t>«</w:t>
      </w:r>
      <w:r w:rsidRPr="00A94E66">
        <w:rPr>
          <w:b w:val="0"/>
          <w:color w:val="000000"/>
          <w:sz w:val="16"/>
          <w:szCs w:val="16"/>
          <w:lang w:val="uk-UA"/>
        </w:rPr>
        <w:t xml:space="preserve">КУА </w:t>
      </w:r>
      <w:r w:rsidR="00507E01">
        <w:rPr>
          <w:b w:val="0"/>
          <w:color w:val="000000"/>
          <w:sz w:val="16"/>
          <w:szCs w:val="16"/>
          <w:lang w:val="uk-UA"/>
        </w:rPr>
        <w:t>«</w:t>
      </w:r>
      <w:r w:rsidRPr="00A94E66">
        <w:rPr>
          <w:b w:val="0"/>
          <w:color w:val="000000"/>
          <w:sz w:val="16"/>
          <w:szCs w:val="16"/>
          <w:lang w:val="uk-UA"/>
        </w:rPr>
        <w:t>Актив</w:t>
      </w:r>
      <w:r w:rsidR="00507E01">
        <w:rPr>
          <w:b w:val="0"/>
          <w:color w:val="000000"/>
          <w:sz w:val="16"/>
          <w:szCs w:val="16"/>
          <w:lang w:val="uk-UA"/>
        </w:rPr>
        <w:t>») помер 29.06.2019.</w:t>
      </w:r>
      <w:r w:rsidRPr="00A94E66">
        <w:rPr>
          <w:b w:val="0"/>
          <w:color w:val="000000"/>
          <w:sz w:val="16"/>
          <w:szCs w:val="16"/>
          <w:lang w:val="uk-UA"/>
        </w:rPr>
        <w:t xml:space="preserve"> Належна йому частка в статутному капіталі ТОВ </w:t>
      </w:r>
      <w:r w:rsidR="00507E01">
        <w:rPr>
          <w:b w:val="0"/>
          <w:color w:val="000000"/>
          <w:sz w:val="16"/>
          <w:szCs w:val="16"/>
          <w:lang w:val="uk-UA"/>
        </w:rPr>
        <w:t>«</w:t>
      </w:r>
      <w:r w:rsidRPr="00A94E66">
        <w:rPr>
          <w:b w:val="0"/>
          <w:color w:val="000000"/>
          <w:sz w:val="16"/>
          <w:szCs w:val="16"/>
          <w:lang w:val="uk-UA"/>
        </w:rPr>
        <w:t xml:space="preserve">КУА </w:t>
      </w:r>
      <w:r w:rsidR="00507E01">
        <w:rPr>
          <w:b w:val="0"/>
          <w:color w:val="000000"/>
          <w:sz w:val="16"/>
          <w:szCs w:val="16"/>
          <w:lang w:val="uk-UA"/>
        </w:rPr>
        <w:t>«</w:t>
      </w:r>
      <w:r w:rsidRPr="00A94E66">
        <w:rPr>
          <w:b w:val="0"/>
          <w:color w:val="000000"/>
          <w:sz w:val="16"/>
          <w:szCs w:val="16"/>
          <w:lang w:val="uk-UA"/>
        </w:rPr>
        <w:t>Актив</w:t>
      </w:r>
      <w:r w:rsidR="00507E01">
        <w:rPr>
          <w:b w:val="0"/>
          <w:color w:val="000000"/>
          <w:sz w:val="16"/>
          <w:szCs w:val="16"/>
          <w:lang w:val="uk-UA"/>
        </w:rPr>
        <w:t>»</w:t>
      </w:r>
      <w:r w:rsidRPr="00A94E66">
        <w:rPr>
          <w:b w:val="0"/>
          <w:color w:val="000000"/>
          <w:sz w:val="16"/>
          <w:szCs w:val="16"/>
          <w:lang w:val="uk-UA"/>
        </w:rPr>
        <w:t xml:space="preserve"> до спадкоємців на дату подання заяви не перейшла (відповідні зміни в ЄДР не вносились).</w:t>
      </w:r>
    </w:p>
  </w:footnote>
  <w:footnote w:id="2">
    <w:p w:rsidR="007D24AD" w:rsidRDefault="007D24AD" w:rsidP="007D24AD">
      <w:pPr>
        <w:pStyle w:val="af1"/>
      </w:pPr>
      <w:r>
        <w:rPr>
          <w:rStyle w:val="af3"/>
        </w:rPr>
        <w:footnoteRef/>
      </w:r>
      <w:r>
        <w:t xml:space="preserve"> </w:t>
      </w:r>
      <w:hyperlink r:id="rId1" w:history="1">
        <w:r w:rsidRPr="0064086B">
          <w:rPr>
            <w:rStyle w:val="af8"/>
          </w:rPr>
          <w:t>http://www.ukrstat.gov.ua/operativ/menu/menu_u/zed.htm</w:t>
        </w:r>
      </w:hyperlink>
    </w:p>
  </w:footnote>
  <w:footnote w:id="3">
    <w:p w:rsidR="007D24AD" w:rsidRDefault="007D24AD" w:rsidP="007D24AD">
      <w:pPr>
        <w:pStyle w:val="af1"/>
      </w:pPr>
      <w:r>
        <w:rPr>
          <w:rStyle w:val="af3"/>
        </w:rPr>
        <w:footnoteRef/>
      </w:r>
      <w:r>
        <w:t xml:space="preserve"> </w:t>
      </w:r>
      <w:hyperlink r:id="rId2" w:history="1">
        <w:r w:rsidRPr="0064086B">
          <w:rPr>
            <w:rStyle w:val="af8"/>
          </w:rPr>
          <w:t>https://bi.customs.gov.ua/trade/#/turnoverhs</w:t>
        </w:r>
      </w:hyperlink>
    </w:p>
    <w:p w:rsidR="007D24AD" w:rsidRDefault="007D24AD" w:rsidP="007D24AD">
      <w:pPr>
        <w:pStyle w:val="af1"/>
      </w:pPr>
    </w:p>
  </w:footnote>
  <w:footnote w:id="4">
    <w:p w:rsidR="007D24AD" w:rsidRDefault="007D24AD" w:rsidP="007D24AD">
      <w:pPr>
        <w:pStyle w:val="af1"/>
      </w:pPr>
      <w:r>
        <w:rPr>
          <w:rStyle w:val="af3"/>
        </w:rPr>
        <w:footnoteRef/>
      </w:r>
      <w:r>
        <w:t xml:space="preserve"> </w:t>
      </w:r>
      <w:r w:rsidRPr="00324BEF">
        <w:t>https://tax.gov.ua/dovidniki--</w:t>
      </w:r>
      <w:proofErr w:type="spellStart"/>
      <w:r w:rsidRPr="00324BEF">
        <w:t>reestri</w:t>
      </w:r>
      <w:proofErr w:type="spellEnd"/>
      <w:r w:rsidRPr="00324BEF">
        <w:t>--</w:t>
      </w:r>
      <w:proofErr w:type="spellStart"/>
      <w:r w:rsidRPr="00324BEF">
        <w:t>perelik</w:t>
      </w:r>
      <w:proofErr w:type="spellEnd"/>
      <w:r w:rsidRPr="00324BEF">
        <w:t>/</w:t>
      </w:r>
      <w:proofErr w:type="spellStart"/>
      <w:r w:rsidRPr="00324BEF">
        <w:t>reestri</w:t>
      </w:r>
      <w:proofErr w:type="spellEnd"/>
      <w:r w:rsidRPr="00324BEF">
        <w:t>/383525.html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5C1" w:rsidRDefault="00D155C1">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155C1" w:rsidRDefault="00D155C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5C1" w:rsidRDefault="00D155C1">
    <w:pPr>
      <w:pStyle w:val="a4"/>
      <w:framePr w:wrap="around" w:vAnchor="text" w:hAnchor="page" w:x="6377" w:y="-209"/>
      <w:rPr>
        <w:rStyle w:val="a6"/>
      </w:rPr>
    </w:pPr>
    <w:r>
      <w:rPr>
        <w:rStyle w:val="a6"/>
      </w:rPr>
      <w:fldChar w:fldCharType="begin"/>
    </w:r>
    <w:r>
      <w:rPr>
        <w:rStyle w:val="a6"/>
      </w:rPr>
      <w:instrText xml:space="preserve">PAGE  </w:instrText>
    </w:r>
    <w:r>
      <w:rPr>
        <w:rStyle w:val="a6"/>
      </w:rPr>
      <w:fldChar w:fldCharType="separate"/>
    </w:r>
    <w:r w:rsidR="009F6371">
      <w:rPr>
        <w:rStyle w:val="a6"/>
        <w:noProof/>
      </w:rPr>
      <w:t>10</w:t>
    </w:r>
    <w:r>
      <w:rPr>
        <w:rStyle w:val="a6"/>
      </w:rPr>
      <w:fldChar w:fldCharType="end"/>
    </w:r>
  </w:p>
  <w:p w:rsidR="00D155C1" w:rsidRPr="00046F80" w:rsidRDefault="00D155C1">
    <w:pPr>
      <w:pStyle w:val="a4"/>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D222A0A"/>
    <w:name w:val="HeadingStyles||Heading|3|3|0|1|0|33||1|0|33||1|0|33||1|0|33||1|0|35||1|0|33||1|0|32||1|0|34||1|0|32||"/>
    <w:lvl w:ilvl="0">
      <w:start w:val="1"/>
      <w:numFmt w:val="none"/>
      <w:suff w:val="nothing"/>
      <w:lvlText w:val=""/>
      <w:lvlJc w:val="left"/>
      <w:pPr>
        <w:tabs>
          <w:tab w:val="num" w:pos="420"/>
        </w:tabs>
        <w:ind w:left="420" w:firstLine="0"/>
      </w:pPr>
    </w:lvl>
    <w:lvl w:ilvl="1">
      <w:start w:val="1"/>
      <w:numFmt w:val="none"/>
      <w:pStyle w:val="2"/>
      <w:suff w:val="nothing"/>
      <w:lvlText w:val=""/>
      <w:lvlJc w:val="left"/>
      <w:pPr>
        <w:tabs>
          <w:tab w:val="num" w:pos="420"/>
        </w:tabs>
        <w:ind w:left="420" w:firstLine="0"/>
      </w:pPr>
    </w:lvl>
    <w:lvl w:ilvl="2">
      <w:start w:val="1"/>
      <w:numFmt w:val="none"/>
      <w:suff w:val="nothing"/>
      <w:lvlText w:val=""/>
      <w:lvlJc w:val="left"/>
      <w:pPr>
        <w:tabs>
          <w:tab w:val="num" w:pos="420"/>
        </w:tabs>
        <w:ind w:left="420" w:firstLine="0"/>
      </w:pPr>
    </w:lvl>
    <w:lvl w:ilvl="3">
      <w:start w:val="1"/>
      <w:numFmt w:val="none"/>
      <w:suff w:val="nothing"/>
      <w:lvlText w:val=""/>
      <w:lvlJc w:val="left"/>
      <w:pPr>
        <w:tabs>
          <w:tab w:val="num" w:pos="420"/>
        </w:tabs>
        <w:ind w:left="420" w:firstLine="0"/>
      </w:pPr>
    </w:lvl>
    <w:lvl w:ilvl="4">
      <w:start w:val="1"/>
      <w:numFmt w:val="none"/>
      <w:suff w:val="nothing"/>
      <w:lvlText w:val=""/>
      <w:lvlJc w:val="left"/>
      <w:pPr>
        <w:tabs>
          <w:tab w:val="num" w:pos="420"/>
        </w:tabs>
        <w:ind w:left="420" w:firstLine="0"/>
      </w:pPr>
    </w:lvl>
    <w:lvl w:ilvl="5">
      <w:start w:val="1"/>
      <w:numFmt w:val="none"/>
      <w:suff w:val="nothing"/>
      <w:lvlText w:val=""/>
      <w:lvlJc w:val="left"/>
      <w:pPr>
        <w:tabs>
          <w:tab w:val="num" w:pos="420"/>
        </w:tabs>
        <w:ind w:left="420" w:firstLine="0"/>
      </w:pPr>
    </w:lvl>
    <w:lvl w:ilvl="6">
      <w:start w:val="1"/>
      <w:numFmt w:val="none"/>
      <w:suff w:val="nothing"/>
      <w:lvlText w:val=""/>
      <w:lvlJc w:val="left"/>
      <w:pPr>
        <w:tabs>
          <w:tab w:val="num" w:pos="420"/>
        </w:tabs>
        <w:ind w:left="420" w:firstLine="0"/>
      </w:pPr>
    </w:lvl>
    <w:lvl w:ilvl="7">
      <w:start w:val="1"/>
      <w:numFmt w:val="none"/>
      <w:suff w:val="nothing"/>
      <w:lvlText w:val=""/>
      <w:lvlJc w:val="left"/>
      <w:pPr>
        <w:tabs>
          <w:tab w:val="num" w:pos="420"/>
        </w:tabs>
        <w:ind w:left="420" w:firstLine="0"/>
      </w:pPr>
    </w:lvl>
    <w:lvl w:ilvl="8">
      <w:start w:val="1"/>
      <w:numFmt w:val="none"/>
      <w:suff w:val="nothing"/>
      <w:lvlText w:val=""/>
      <w:lvlJc w:val="left"/>
      <w:pPr>
        <w:tabs>
          <w:tab w:val="num" w:pos="420"/>
        </w:tabs>
        <w:ind w:left="420" w:firstLine="0"/>
      </w:pPr>
    </w:lvl>
  </w:abstractNum>
  <w:abstractNum w:abstractNumId="1">
    <w:nsid w:val="00491DB4"/>
    <w:multiLevelType w:val="multilevel"/>
    <w:tmpl w:val="95FA29A4"/>
    <w:lvl w:ilvl="0">
      <w:start w:val="1"/>
      <w:numFmt w:val="decimal"/>
      <w:pStyle w:val="a"/>
      <w:lvlText w:val="%1."/>
      <w:lvlJc w:val="left"/>
      <w:pPr>
        <w:ind w:left="3117" w:hanging="850"/>
      </w:pPr>
      <w:rPr>
        <w:rFonts w:hint="default"/>
        <w:b w:val="0"/>
        <w:i w:val="0"/>
        <w:strike w:val="0"/>
        <w:color w:val="auto"/>
      </w:rPr>
    </w:lvl>
    <w:lvl w:ilvl="1">
      <w:start w:val="1"/>
      <w:numFmt w:val="lowerLetter"/>
      <w:lvlText w:val="%2)"/>
      <w:lvlJc w:val="left"/>
      <w:pPr>
        <w:ind w:left="3968" w:hanging="851"/>
      </w:pPr>
      <w:rPr>
        <w:rFonts w:hint="default"/>
      </w:rPr>
    </w:lvl>
    <w:lvl w:ilvl="2">
      <w:start w:val="1"/>
      <w:numFmt w:val="lowerRoman"/>
      <w:lvlText w:val="%3."/>
      <w:lvlJc w:val="right"/>
      <w:pPr>
        <w:ind w:left="5277" w:hanging="180"/>
      </w:pPr>
      <w:rPr>
        <w:rFonts w:hint="default"/>
      </w:rPr>
    </w:lvl>
    <w:lvl w:ilvl="3">
      <w:start w:val="1"/>
      <w:numFmt w:val="decimal"/>
      <w:lvlText w:val="%4."/>
      <w:lvlJc w:val="left"/>
      <w:pPr>
        <w:ind w:left="5997" w:hanging="360"/>
      </w:pPr>
      <w:rPr>
        <w:rFonts w:hint="default"/>
      </w:rPr>
    </w:lvl>
    <w:lvl w:ilvl="4">
      <w:start w:val="1"/>
      <w:numFmt w:val="lowerLetter"/>
      <w:lvlText w:val="%5."/>
      <w:lvlJc w:val="left"/>
      <w:pPr>
        <w:ind w:left="6717" w:hanging="360"/>
      </w:pPr>
      <w:rPr>
        <w:rFonts w:hint="default"/>
      </w:rPr>
    </w:lvl>
    <w:lvl w:ilvl="5">
      <w:start w:val="1"/>
      <w:numFmt w:val="lowerRoman"/>
      <w:lvlText w:val="%6."/>
      <w:lvlJc w:val="right"/>
      <w:pPr>
        <w:ind w:left="7437" w:hanging="180"/>
      </w:pPr>
      <w:rPr>
        <w:rFonts w:hint="default"/>
      </w:rPr>
    </w:lvl>
    <w:lvl w:ilvl="6">
      <w:start w:val="1"/>
      <w:numFmt w:val="decimal"/>
      <w:lvlText w:val="%7."/>
      <w:lvlJc w:val="left"/>
      <w:pPr>
        <w:ind w:left="8157" w:hanging="360"/>
      </w:pPr>
      <w:rPr>
        <w:rFonts w:hint="default"/>
      </w:rPr>
    </w:lvl>
    <w:lvl w:ilvl="7">
      <w:start w:val="1"/>
      <w:numFmt w:val="lowerLetter"/>
      <w:lvlText w:val="%8."/>
      <w:lvlJc w:val="left"/>
      <w:pPr>
        <w:ind w:left="8877" w:hanging="360"/>
      </w:pPr>
      <w:rPr>
        <w:rFonts w:hint="default"/>
      </w:rPr>
    </w:lvl>
    <w:lvl w:ilvl="8">
      <w:start w:val="1"/>
      <w:numFmt w:val="lowerRoman"/>
      <w:lvlText w:val="%9."/>
      <w:lvlJc w:val="right"/>
      <w:pPr>
        <w:ind w:left="9597" w:hanging="180"/>
      </w:pPr>
      <w:rPr>
        <w:rFonts w:hint="default"/>
      </w:rPr>
    </w:lvl>
  </w:abstractNum>
  <w:abstractNum w:abstractNumId="2">
    <w:nsid w:val="10B522AF"/>
    <w:multiLevelType w:val="hybridMultilevel"/>
    <w:tmpl w:val="55B8F006"/>
    <w:lvl w:ilvl="0" w:tplc="38581082">
      <w:start w:val="1"/>
      <w:numFmt w:val="decimal"/>
      <w:lvlText w:val="(%1)"/>
      <w:lvlJc w:val="left"/>
      <w:pPr>
        <w:ind w:left="1070" w:hanging="360"/>
      </w:pPr>
      <w:rPr>
        <w:rFonts w:hint="default"/>
        <w:b w:val="0"/>
        <w:i w:val="0"/>
        <w:sz w:val="24"/>
        <w:szCs w:val="24"/>
      </w:rPr>
    </w:lvl>
    <w:lvl w:ilvl="1" w:tplc="CC94F6AC">
      <w:start w:val="1"/>
      <w:numFmt w:val="lowerLetter"/>
      <w:lvlText w:val="(%2)"/>
      <w:lvlJc w:val="left"/>
      <w:pPr>
        <w:ind w:left="1440" w:hanging="360"/>
      </w:pPr>
      <w:rPr>
        <w:rFonts w:hint="default"/>
        <w:b w:val="0"/>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A277D5B"/>
    <w:multiLevelType w:val="hybridMultilevel"/>
    <w:tmpl w:val="E41CB46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1C1170E8"/>
    <w:multiLevelType w:val="multilevel"/>
    <w:tmpl w:val="67C2087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46617BF"/>
    <w:multiLevelType w:val="multilevel"/>
    <w:tmpl w:val="BAD29D0C"/>
    <w:name w:val="zzmpAMBodyText||AM Body Text|2|3|1|1|0|49||1|0|32||1|0|32||1|0|32||1|0|32||1|0|32||1|0|32||1|0|32||mpNA||"/>
    <w:lvl w:ilvl="0">
      <w:start w:val="1"/>
      <w:numFmt w:val="decimal"/>
      <w:pStyle w:val="AMBodyTextL1"/>
      <w:lvlText w:val="%1."/>
      <w:lvlJc w:val="left"/>
      <w:pPr>
        <w:tabs>
          <w:tab w:val="num" w:pos="720"/>
        </w:tabs>
        <w:ind w:left="720" w:hanging="720"/>
      </w:pPr>
      <w:rPr>
        <w:rFonts w:ascii="Times New Roman" w:hAnsi="Times New Roman" w:cs="Times New Roman"/>
        <w:b/>
        <w:i w:val="0"/>
        <w:caps w:val="0"/>
        <w:color w:val="auto"/>
        <w:sz w:val="24"/>
        <w:u w:val="none"/>
      </w:rPr>
    </w:lvl>
    <w:lvl w:ilvl="1">
      <w:start w:val="1"/>
      <w:numFmt w:val="decimal"/>
      <w:pStyle w:val="AMBodyTextL2"/>
      <w:lvlText w:val="%1.%2"/>
      <w:lvlJc w:val="left"/>
      <w:pPr>
        <w:tabs>
          <w:tab w:val="num" w:pos="720"/>
        </w:tabs>
        <w:ind w:left="720" w:hanging="720"/>
      </w:pPr>
      <w:rPr>
        <w:rFonts w:ascii="Times New Roman" w:hAnsi="Times New Roman" w:cs="Times New Roman"/>
        <w:b w:val="0"/>
        <w:i w:val="0"/>
        <w:caps w:val="0"/>
        <w:color w:val="auto"/>
        <w:sz w:val="24"/>
        <w:u w:val="none"/>
      </w:rPr>
    </w:lvl>
    <w:lvl w:ilvl="2">
      <w:start w:val="1"/>
      <w:numFmt w:val="lowerLetter"/>
      <w:pStyle w:val="AMBodyTextL3"/>
      <w:lvlText w:val="(%3)"/>
      <w:lvlJc w:val="left"/>
      <w:pPr>
        <w:tabs>
          <w:tab w:val="num" w:pos="1411"/>
        </w:tabs>
        <w:ind w:left="1411" w:hanging="720"/>
      </w:pPr>
      <w:rPr>
        <w:rFonts w:ascii="Times New Roman" w:hAnsi="Times New Roman" w:cs="Times New Roman"/>
        <w:b w:val="0"/>
        <w:i w:val="0"/>
        <w:caps w:val="0"/>
        <w:color w:val="auto"/>
        <w:sz w:val="24"/>
        <w:u w:val="none"/>
      </w:rPr>
    </w:lvl>
    <w:lvl w:ilvl="3">
      <w:start w:val="1"/>
      <w:numFmt w:val="lowerRoman"/>
      <w:pStyle w:val="AMBodyTextL4"/>
      <w:lvlText w:val="(%4)"/>
      <w:lvlJc w:val="left"/>
      <w:pPr>
        <w:tabs>
          <w:tab w:val="num" w:pos="2102"/>
        </w:tabs>
        <w:ind w:left="2117" w:hanging="706"/>
      </w:pPr>
      <w:rPr>
        <w:rFonts w:ascii="Times New Roman" w:hAnsi="Times New Roman" w:cs="Times New Roman"/>
        <w:b w:val="0"/>
        <w:i w:val="0"/>
        <w:caps w:val="0"/>
        <w:color w:val="auto"/>
        <w:sz w:val="24"/>
        <w:u w:val="none"/>
      </w:rPr>
    </w:lvl>
    <w:lvl w:ilvl="4">
      <w:start w:val="1"/>
      <w:numFmt w:val="upperLetter"/>
      <w:pStyle w:val="AMBodyTextL5"/>
      <w:lvlText w:val="(%5)"/>
      <w:lvlJc w:val="left"/>
      <w:pPr>
        <w:tabs>
          <w:tab w:val="num" w:pos="2822"/>
        </w:tabs>
        <w:ind w:left="2837" w:hanging="720"/>
      </w:pPr>
      <w:rPr>
        <w:rFonts w:ascii="Times New Roman" w:hAnsi="Times New Roman" w:cs="Times New Roman"/>
        <w:b w:val="0"/>
        <w:i w:val="0"/>
        <w:caps w:val="0"/>
        <w:color w:val="auto"/>
        <w:sz w:val="24"/>
        <w:u w:val="none"/>
      </w:rPr>
    </w:lvl>
    <w:lvl w:ilvl="5">
      <w:start w:val="1"/>
      <w:numFmt w:val="upperRoman"/>
      <w:pStyle w:val="AMBodyTextL6"/>
      <w:lvlText w:val="(%6)"/>
      <w:lvlJc w:val="left"/>
      <w:pPr>
        <w:tabs>
          <w:tab w:val="num" w:pos="3672"/>
        </w:tabs>
        <w:ind w:left="3686" w:hanging="849"/>
      </w:pPr>
      <w:rPr>
        <w:rFonts w:ascii="Times New Roman" w:hAnsi="Times New Roman" w:cs="Times New Roman"/>
        <w:b w:val="0"/>
        <w:i w:val="0"/>
        <w:caps w:val="0"/>
        <w:color w:val="auto"/>
        <w:sz w:val="24"/>
        <w:u w:val="none"/>
      </w:rPr>
    </w:lvl>
    <w:lvl w:ilvl="6">
      <w:start w:val="27"/>
      <w:numFmt w:val="lowerLetter"/>
      <w:pStyle w:val="AMBodyTextL7"/>
      <w:lvlText w:val="(%7)"/>
      <w:lvlJc w:val="left"/>
      <w:pPr>
        <w:tabs>
          <w:tab w:val="num" w:pos="4507"/>
        </w:tabs>
        <w:ind w:left="4522" w:hanging="850"/>
      </w:pPr>
      <w:rPr>
        <w:rFonts w:ascii="Times New Roman" w:hAnsi="Times New Roman" w:cs="Times New Roman"/>
        <w:b w:val="0"/>
        <w:i w:val="0"/>
        <w:caps w:val="0"/>
        <w:color w:val="auto"/>
        <w:sz w:val="24"/>
        <w:u w:val="none"/>
      </w:rPr>
    </w:lvl>
    <w:lvl w:ilvl="7">
      <w:start w:val="1"/>
      <w:numFmt w:val="decimal"/>
      <w:pStyle w:val="AMBodyTextL8"/>
      <w:lvlText w:val="(%8)"/>
      <w:lvlJc w:val="left"/>
      <w:pPr>
        <w:tabs>
          <w:tab w:val="num" w:pos="5242"/>
        </w:tabs>
        <w:ind w:left="5242" w:hanging="720"/>
      </w:pPr>
      <w:rPr>
        <w:rFonts w:ascii="Times New Roman" w:hAnsi="Times New Roman" w:cs="Times New Roman"/>
        <w:b w:val="0"/>
        <w:i w:val="0"/>
        <w:caps w:val="0"/>
        <w:color w:val="auto"/>
        <w:sz w:val="24"/>
        <w:u w:val="none"/>
      </w:rPr>
    </w:lvl>
    <w:lvl w:ilvl="8">
      <w:start w:val="1"/>
      <w:numFmt w:val="lowerRoman"/>
      <w:lvlText w:val="%9)"/>
      <w:lvlJc w:val="left"/>
      <w:pPr>
        <w:tabs>
          <w:tab w:val="num" w:pos="5760"/>
        </w:tabs>
        <w:ind w:left="5760" w:hanging="720"/>
      </w:pPr>
      <w:rPr>
        <w:rFonts w:ascii="Times New Roman" w:hAnsi="Times New Roman" w:cs="Times New Roman"/>
        <w:b w:val="0"/>
        <w:i w:val="0"/>
        <w:caps w:val="0"/>
        <w:color w:val="auto"/>
        <w:sz w:val="24"/>
        <w:u w:val="none"/>
      </w:rPr>
    </w:lvl>
  </w:abstractNum>
  <w:abstractNum w:abstractNumId="6">
    <w:nsid w:val="253171AF"/>
    <w:multiLevelType w:val="hybridMultilevel"/>
    <w:tmpl w:val="F814C89E"/>
    <w:lvl w:ilvl="0" w:tplc="043CF248">
      <w:start w:val="1"/>
      <w:numFmt w:val="decimal"/>
      <w:pStyle w:val="StyleListParagraphAfter12pt"/>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66249A9"/>
    <w:multiLevelType w:val="hybridMultilevel"/>
    <w:tmpl w:val="09C0481C"/>
    <w:lvl w:ilvl="0" w:tplc="FD040C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E6E7D66"/>
    <w:multiLevelType w:val="multilevel"/>
    <w:tmpl w:val="CFF0AD2C"/>
    <w:name w:val="zzmpLegal1||Legal1|2|3|1|1|2|41||1|10|0||1|10|0||mpNA||mpNA||mpNA||mpNA||mpNA||mpNA||"/>
    <w:lvl w:ilvl="0">
      <w:start w:val="1"/>
      <w:numFmt w:val="decimal"/>
      <w:lvlText w:val="%1."/>
      <w:lvlJc w:val="left"/>
      <w:pPr>
        <w:tabs>
          <w:tab w:val="num" w:pos="720"/>
        </w:tabs>
        <w:ind w:left="720" w:hanging="720"/>
      </w:pPr>
      <w:rPr>
        <w:rFonts w:cs="Times New Roman"/>
        <w:b/>
        <w:i w:val="0"/>
        <w:caps/>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cs="Times New Roman"/>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1440"/>
        </w:tabs>
        <w:ind w:left="1440" w:hanging="720"/>
      </w:pPr>
      <w:rPr>
        <w:rFonts w:cs="Times New Roman"/>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30ED23EA"/>
    <w:multiLevelType w:val="hybridMultilevel"/>
    <w:tmpl w:val="69AA120A"/>
    <w:lvl w:ilvl="0" w:tplc="A7ACDA04">
      <w:start w:val="1"/>
      <w:numFmt w:val="decimal"/>
      <w:lvlText w:val="%1."/>
      <w:lvlJc w:val="left"/>
      <w:pPr>
        <w:ind w:left="786" w:hanging="360"/>
      </w:pPr>
      <w:rPr>
        <w:b/>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313E5843"/>
    <w:multiLevelType w:val="hybridMultilevel"/>
    <w:tmpl w:val="7F4E33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C013350"/>
    <w:multiLevelType w:val="hybridMultilevel"/>
    <w:tmpl w:val="B692741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C1C2BBE"/>
    <w:multiLevelType w:val="hybridMultilevel"/>
    <w:tmpl w:val="A0E032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1093428"/>
    <w:multiLevelType w:val="multilevel"/>
    <w:tmpl w:val="6388D870"/>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5170769B"/>
    <w:multiLevelType w:val="multilevel"/>
    <w:tmpl w:val="AECC3CF2"/>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nsid w:val="5B1A3A2B"/>
    <w:multiLevelType w:val="multilevel"/>
    <w:tmpl w:val="7F82027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BBC0E7B"/>
    <w:multiLevelType w:val="hybridMultilevel"/>
    <w:tmpl w:val="4B44F5F2"/>
    <w:styleLink w:val="81"/>
    <w:lvl w:ilvl="0" w:tplc="E8DE531A">
      <w:start w:val="1"/>
      <w:numFmt w:val="bullet"/>
      <w:lvlText w:val="-"/>
      <w:lvlJc w:val="left"/>
      <w:pPr>
        <w:ind w:left="1560" w:hanging="426"/>
      </w:pPr>
      <w:rPr>
        <w:rFonts w:ascii="Symbol" w:eastAsia="Symbol" w:hAnsi="Symbol" w:cs="Symbol"/>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7DA6BE2A">
      <w:start w:val="1"/>
      <w:numFmt w:val="bullet"/>
      <w:lvlText w:val="o"/>
      <w:lvlJc w:val="left"/>
      <w:pPr>
        <w:ind w:left="2280" w:hanging="426"/>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EAD0C9B4">
      <w:start w:val="1"/>
      <w:numFmt w:val="bullet"/>
      <w:lvlText w:val="▪"/>
      <w:lvlJc w:val="left"/>
      <w:pPr>
        <w:ind w:left="3000" w:hanging="426"/>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9FA8A10C">
      <w:start w:val="1"/>
      <w:numFmt w:val="bullet"/>
      <w:lvlText w:val="·"/>
      <w:lvlJc w:val="left"/>
      <w:pPr>
        <w:ind w:left="3720" w:hanging="426"/>
      </w:pPr>
      <w:rPr>
        <w:rFonts w:ascii="Symbol" w:eastAsia="Symbol" w:hAnsi="Symbol" w:cs="Symbol"/>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D562912A">
      <w:start w:val="1"/>
      <w:numFmt w:val="bullet"/>
      <w:lvlText w:val="o"/>
      <w:lvlJc w:val="left"/>
      <w:pPr>
        <w:ind w:left="4440" w:hanging="426"/>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7692272A">
      <w:start w:val="1"/>
      <w:numFmt w:val="bullet"/>
      <w:lvlText w:val="▪"/>
      <w:lvlJc w:val="left"/>
      <w:pPr>
        <w:ind w:left="5160" w:hanging="426"/>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C8307452">
      <w:start w:val="1"/>
      <w:numFmt w:val="bullet"/>
      <w:lvlText w:val="·"/>
      <w:lvlJc w:val="left"/>
      <w:pPr>
        <w:ind w:left="5880" w:hanging="426"/>
      </w:pPr>
      <w:rPr>
        <w:rFonts w:ascii="Symbol" w:eastAsia="Symbol" w:hAnsi="Symbol" w:cs="Symbol"/>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0B7CF5B4">
      <w:start w:val="1"/>
      <w:numFmt w:val="bullet"/>
      <w:lvlText w:val="o"/>
      <w:lvlJc w:val="left"/>
      <w:pPr>
        <w:ind w:left="6600" w:hanging="426"/>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B1C2149E">
      <w:start w:val="1"/>
      <w:numFmt w:val="bullet"/>
      <w:lvlText w:val="▪"/>
      <w:lvlJc w:val="left"/>
      <w:pPr>
        <w:ind w:left="7320" w:hanging="426"/>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7">
    <w:nsid w:val="623138DF"/>
    <w:multiLevelType w:val="hybridMultilevel"/>
    <w:tmpl w:val="E18EC33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7F857FB"/>
    <w:multiLevelType w:val="hybridMultilevel"/>
    <w:tmpl w:val="0D085A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AAF7FBB"/>
    <w:multiLevelType w:val="hybridMultilevel"/>
    <w:tmpl w:val="1F7C4BF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6EC84EE4"/>
    <w:multiLevelType w:val="hybridMultilevel"/>
    <w:tmpl w:val="7838A080"/>
    <w:lvl w:ilvl="0" w:tplc="FD040C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75D95138"/>
    <w:multiLevelType w:val="hybridMultilevel"/>
    <w:tmpl w:val="3E328FDE"/>
    <w:styleLink w:val="71"/>
    <w:lvl w:ilvl="0" w:tplc="BBD6A9F4">
      <w:start w:val="1"/>
      <w:numFmt w:val="bullet"/>
      <w:lvlText w:val="·"/>
      <w:lvlJc w:val="left"/>
      <w:pPr>
        <w:ind w:left="720" w:hanging="360"/>
      </w:pPr>
      <w:rPr>
        <w:rFonts w:ascii="Symbol" w:eastAsia="Symbol" w:hAnsi="Symbol" w:cs="Symbol"/>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87D0ADFE">
      <w:start w:val="1"/>
      <w:numFmt w:val="bullet"/>
      <w:lvlText w:val="·"/>
      <w:lvlJc w:val="left"/>
      <w:pPr>
        <w:ind w:left="1080" w:hanging="360"/>
      </w:pPr>
      <w:rPr>
        <w:rFonts w:ascii="Symbol" w:eastAsia="Symbol" w:hAnsi="Symbol" w:cs="Symbol"/>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9564A4C2">
      <w:start w:val="1"/>
      <w:numFmt w:val="bullet"/>
      <w:lvlText w:val="·"/>
      <w:lvlJc w:val="left"/>
      <w:pPr>
        <w:ind w:left="1800" w:hanging="360"/>
      </w:pPr>
      <w:rPr>
        <w:rFonts w:ascii="Symbol" w:eastAsia="Symbol" w:hAnsi="Symbol" w:cs="Symbol"/>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2178814E">
      <w:start w:val="1"/>
      <w:numFmt w:val="bullet"/>
      <w:lvlText w:val="·"/>
      <w:lvlJc w:val="left"/>
      <w:pPr>
        <w:ind w:left="2520" w:hanging="360"/>
      </w:pPr>
      <w:rPr>
        <w:rFonts w:ascii="Symbol" w:eastAsia="Symbol" w:hAnsi="Symbol" w:cs="Symbol"/>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F76EC4CC">
      <w:start w:val="1"/>
      <w:numFmt w:val="bullet"/>
      <w:lvlText w:val="·"/>
      <w:lvlJc w:val="left"/>
      <w:pPr>
        <w:ind w:left="3240" w:hanging="360"/>
      </w:pPr>
      <w:rPr>
        <w:rFonts w:ascii="Symbol" w:eastAsia="Symbol" w:hAnsi="Symbol" w:cs="Symbol"/>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7A0C9F9C">
      <w:start w:val="1"/>
      <w:numFmt w:val="bullet"/>
      <w:lvlText w:val="·"/>
      <w:lvlJc w:val="left"/>
      <w:pPr>
        <w:ind w:left="3960" w:hanging="360"/>
      </w:pPr>
      <w:rPr>
        <w:rFonts w:ascii="Symbol" w:eastAsia="Symbol" w:hAnsi="Symbol" w:cs="Symbol"/>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D1E26F70">
      <w:start w:val="1"/>
      <w:numFmt w:val="bullet"/>
      <w:lvlText w:val="·"/>
      <w:lvlJc w:val="left"/>
      <w:pPr>
        <w:ind w:left="4680" w:hanging="360"/>
      </w:pPr>
      <w:rPr>
        <w:rFonts w:ascii="Symbol" w:eastAsia="Symbol" w:hAnsi="Symbol" w:cs="Symbol"/>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86087854">
      <w:start w:val="1"/>
      <w:numFmt w:val="bullet"/>
      <w:lvlText w:val="·"/>
      <w:lvlJc w:val="left"/>
      <w:pPr>
        <w:ind w:left="5400" w:hanging="360"/>
      </w:pPr>
      <w:rPr>
        <w:rFonts w:ascii="Symbol" w:eastAsia="Symbol" w:hAnsi="Symbol" w:cs="Symbol"/>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D34CC8D4">
      <w:start w:val="1"/>
      <w:numFmt w:val="bullet"/>
      <w:lvlText w:val="·"/>
      <w:lvlJc w:val="left"/>
      <w:pPr>
        <w:ind w:left="6120" w:hanging="360"/>
      </w:pPr>
      <w:rPr>
        <w:rFonts w:ascii="Symbol" w:eastAsia="Symbol" w:hAnsi="Symbol" w:cs="Symbol"/>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22">
    <w:nsid w:val="7F2A37A3"/>
    <w:multiLevelType w:val="multilevel"/>
    <w:tmpl w:val="80C220A8"/>
    <w:name w:val="zzmpLegal2||Legal2|2|3|1|1|10|33||1|10|33||1|10|33||1|10|33||1|12|0||1|12|0||1|12|2||1|12|0||1|10|0||"/>
    <w:lvl w:ilvl="0">
      <w:start w:val="1"/>
      <w:numFmt w:val="decimal"/>
      <w:pStyle w:val="Legal2L1"/>
      <w:lvlText w:val="%1."/>
      <w:lvlJc w:val="left"/>
      <w:pPr>
        <w:tabs>
          <w:tab w:val="left" w:pos="1440"/>
        </w:tabs>
        <w:ind w:hanging="720"/>
      </w:pPr>
      <w:rPr>
        <w:rFonts w:cs="Times New Roman"/>
        <w:b/>
        <w:i w:val="0"/>
        <w:caps w:val="0"/>
        <w:color w:val="auto"/>
      </w:rPr>
    </w:lvl>
    <w:lvl w:ilvl="1">
      <w:start w:val="1"/>
      <w:numFmt w:val="lowerLetter"/>
      <w:pStyle w:val="Legal2L2"/>
      <w:lvlText w:val="%2)"/>
      <w:lvlJc w:val="left"/>
      <w:pPr>
        <w:tabs>
          <w:tab w:val="left" w:pos="2160"/>
        </w:tabs>
        <w:ind w:hanging="720"/>
      </w:pPr>
      <w:rPr>
        <w:rFonts w:cs="Times New Roman"/>
        <w:b/>
        <w:i w:val="0"/>
        <w:caps w:val="0"/>
        <w:color w:val="auto"/>
      </w:rPr>
    </w:lvl>
    <w:lvl w:ilvl="2">
      <w:start w:val="1"/>
      <w:numFmt w:val="lowerRoman"/>
      <w:pStyle w:val="Legal2L3"/>
      <w:lvlText w:val="%3."/>
      <w:lvlJc w:val="right"/>
      <w:pPr>
        <w:tabs>
          <w:tab w:val="left" w:pos="3240"/>
        </w:tabs>
        <w:ind w:hanging="720"/>
      </w:pPr>
      <w:rPr>
        <w:rFonts w:cs="Times New Roman"/>
        <w:b/>
        <w:i w:val="0"/>
        <w:caps w:val="0"/>
        <w:color w:val="auto"/>
      </w:rPr>
    </w:lvl>
    <w:lvl w:ilvl="3">
      <w:start w:val="1"/>
      <w:numFmt w:val="lowerLetter"/>
      <w:pStyle w:val="Legal2L4"/>
      <w:lvlText w:val="%4."/>
      <w:lvlJc w:val="left"/>
      <w:pPr>
        <w:tabs>
          <w:tab w:val="left" w:pos="3960"/>
        </w:tabs>
        <w:ind w:hanging="720"/>
      </w:pPr>
      <w:rPr>
        <w:rFonts w:cs="Times New Roman"/>
        <w:b/>
        <w:i w:val="0"/>
        <w:caps w:val="0"/>
        <w:color w:val="auto"/>
      </w:rPr>
    </w:lvl>
    <w:lvl w:ilvl="4">
      <w:start w:val="1"/>
      <w:numFmt w:val="lowerLetter"/>
      <w:pStyle w:val="Legal2L5"/>
      <w:lvlText w:val="(%5)"/>
      <w:lvlJc w:val="left"/>
      <w:pPr>
        <w:tabs>
          <w:tab w:val="left" w:pos="720"/>
        </w:tabs>
        <w:ind w:hanging="720"/>
      </w:pPr>
      <w:rPr>
        <w:rFonts w:cs="Times New Roman"/>
        <w:b w:val="0"/>
        <w:i w:val="0"/>
        <w:caps w:val="0"/>
        <w:color w:val="auto"/>
      </w:rPr>
    </w:lvl>
    <w:lvl w:ilvl="5">
      <w:start w:val="1"/>
      <w:numFmt w:val="lowerRoman"/>
      <w:pStyle w:val="Legal2L6"/>
      <w:lvlText w:val="(%6)"/>
      <w:lvlJc w:val="left"/>
      <w:pPr>
        <w:tabs>
          <w:tab w:val="left" w:pos="720"/>
        </w:tabs>
        <w:ind w:hanging="720"/>
      </w:pPr>
      <w:rPr>
        <w:rFonts w:cs="Times New Roman"/>
        <w:b w:val="0"/>
        <w:i w:val="0"/>
        <w:caps w:val="0"/>
        <w:color w:val="auto"/>
      </w:rPr>
    </w:lvl>
    <w:lvl w:ilvl="6">
      <w:start w:val="1"/>
      <w:numFmt w:val="upperLetter"/>
      <w:pStyle w:val="Legal2L7"/>
      <w:lvlText w:val="(%7)"/>
      <w:lvlJc w:val="left"/>
      <w:pPr>
        <w:tabs>
          <w:tab w:val="left" w:pos="1440"/>
        </w:tabs>
        <w:ind w:hanging="720"/>
      </w:pPr>
      <w:rPr>
        <w:rFonts w:cs="Times New Roman"/>
        <w:b w:val="0"/>
        <w:i w:val="0"/>
        <w:caps w:val="0"/>
        <w:color w:val="auto"/>
      </w:rPr>
    </w:lvl>
    <w:lvl w:ilvl="7">
      <w:start w:val="1"/>
      <w:numFmt w:val="decimal"/>
      <w:lvlText w:val="%8."/>
      <w:lvlJc w:val="left"/>
      <w:pPr>
        <w:tabs>
          <w:tab w:val="left" w:pos="720"/>
        </w:tabs>
      </w:pPr>
      <w:rPr>
        <w:rFonts w:cs="Times New Roman"/>
        <w:b w:val="0"/>
        <w:i w:val="0"/>
        <w:caps w:val="0"/>
        <w:color w:val="auto"/>
      </w:rPr>
    </w:lvl>
    <w:lvl w:ilvl="8">
      <w:start w:val="1"/>
      <w:numFmt w:val="decimal"/>
      <w:pStyle w:val="Legal2L9"/>
      <w:lvlText w:val="%1.%9"/>
      <w:lvlJc w:val="left"/>
      <w:pPr>
        <w:tabs>
          <w:tab w:val="left" w:pos="720"/>
        </w:tabs>
        <w:ind w:hanging="720"/>
      </w:pPr>
      <w:rPr>
        <w:rFonts w:cs="Times New Roman"/>
        <w:b w:val="0"/>
        <w:i w:val="0"/>
        <w:caps w:val="0"/>
        <w:color w:val="auto"/>
      </w:rPr>
    </w:lvl>
  </w:abstractNum>
  <w:abstractNum w:abstractNumId="23">
    <w:nsid w:val="7F355920"/>
    <w:multiLevelType w:val="hybridMultilevel"/>
    <w:tmpl w:val="2D6E61C0"/>
    <w:lvl w:ilvl="0" w:tplc="FD040CC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5"/>
  </w:num>
  <w:num w:numId="2">
    <w:abstractNumId w:val="9"/>
  </w:num>
  <w:num w:numId="3">
    <w:abstractNumId w:val="1"/>
  </w:num>
  <w:num w:numId="4">
    <w:abstractNumId w:val="6"/>
  </w:num>
  <w:num w:numId="5">
    <w:abstractNumId w:val="16"/>
  </w:num>
  <w:num w:numId="6">
    <w:abstractNumId w:val="21"/>
  </w:num>
  <w:num w:numId="7">
    <w:abstractNumId w:val="2"/>
  </w:num>
  <w:num w:numId="8">
    <w:abstractNumId w:val="9"/>
    <w:lvlOverride w:ilvl="0"/>
    <w:lvlOverride w:ilvl="1"/>
    <w:lvlOverride w:ilvl="2"/>
    <w:lvlOverride w:ilvl="3"/>
    <w:lvlOverride w:ilvl="4"/>
    <w:lvlOverride w:ilvl="5"/>
    <w:lvlOverride w:ilvl="6"/>
    <w:lvlOverride w:ilvl="7"/>
    <w:lvlOverride w:ilvl="8"/>
  </w:num>
  <w:num w:numId="9">
    <w:abstractNumId w:val="22"/>
  </w:num>
  <w:num w:numId="10">
    <w:abstractNumId w:val="11"/>
  </w:num>
  <w:num w:numId="11">
    <w:abstractNumId w:val="3"/>
  </w:num>
  <w:num w:numId="12">
    <w:abstractNumId w:val="7"/>
  </w:num>
  <w:num w:numId="13">
    <w:abstractNumId w:val="23"/>
  </w:num>
  <w:num w:numId="14">
    <w:abstractNumId w:val="19"/>
  </w:num>
  <w:num w:numId="15">
    <w:abstractNumId w:val="13"/>
  </w:num>
  <w:num w:numId="16">
    <w:abstractNumId w:val="14"/>
  </w:num>
  <w:num w:numId="17">
    <w:abstractNumId w:val="10"/>
  </w:num>
  <w:num w:numId="18">
    <w:abstractNumId w:val="12"/>
  </w:num>
  <w:num w:numId="19">
    <w:abstractNumId w:val="20"/>
  </w:num>
  <w:num w:numId="20">
    <w:abstractNumId w:val="15"/>
  </w:num>
  <w:num w:numId="21">
    <w:abstractNumId w:val="18"/>
  </w:num>
  <w:num w:numId="22">
    <w:abstractNumId w:val="4"/>
  </w:num>
  <w:num w:numId="23">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87"/>
  <w:drawingGridVerticalSpacing w:val="127"/>
  <w:displayVerticalDrawingGridEvery w:val="2"/>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AE0"/>
    <w:rsid w:val="00001186"/>
    <w:rsid w:val="00001771"/>
    <w:rsid w:val="00001F2A"/>
    <w:rsid w:val="00002A88"/>
    <w:rsid w:val="00003065"/>
    <w:rsid w:val="00003E02"/>
    <w:rsid w:val="00004079"/>
    <w:rsid w:val="00006685"/>
    <w:rsid w:val="00006F2C"/>
    <w:rsid w:val="00006F70"/>
    <w:rsid w:val="00010B31"/>
    <w:rsid w:val="00010C84"/>
    <w:rsid w:val="00011B51"/>
    <w:rsid w:val="00012950"/>
    <w:rsid w:val="00013C48"/>
    <w:rsid w:val="0001479B"/>
    <w:rsid w:val="00015BF6"/>
    <w:rsid w:val="0001605F"/>
    <w:rsid w:val="000164F3"/>
    <w:rsid w:val="000169F6"/>
    <w:rsid w:val="00016A79"/>
    <w:rsid w:val="000173CC"/>
    <w:rsid w:val="00021972"/>
    <w:rsid w:val="00021BE3"/>
    <w:rsid w:val="00022944"/>
    <w:rsid w:val="000238E0"/>
    <w:rsid w:val="00023C5E"/>
    <w:rsid w:val="00023E38"/>
    <w:rsid w:val="00024AE1"/>
    <w:rsid w:val="00026412"/>
    <w:rsid w:val="00027039"/>
    <w:rsid w:val="00027393"/>
    <w:rsid w:val="000305C0"/>
    <w:rsid w:val="00031291"/>
    <w:rsid w:val="00032909"/>
    <w:rsid w:val="000341CB"/>
    <w:rsid w:val="0003528E"/>
    <w:rsid w:val="000353BF"/>
    <w:rsid w:val="00035B0B"/>
    <w:rsid w:val="0003648B"/>
    <w:rsid w:val="00036ACC"/>
    <w:rsid w:val="00036CED"/>
    <w:rsid w:val="000371AF"/>
    <w:rsid w:val="00040728"/>
    <w:rsid w:val="00040A12"/>
    <w:rsid w:val="00040BC5"/>
    <w:rsid w:val="000424E5"/>
    <w:rsid w:val="00042B03"/>
    <w:rsid w:val="000436AC"/>
    <w:rsid w:val="000449DB"/>
    <w:rsid w:val="00044F2A"/>
    <w:rsid w:val="00045173"/>
    <w:rsid w:val="0004546A"/>
    <w:rsid w:val="000459A6"/>
    <w:rsid w:val="00045D6B"/>
    <w:rsid w:val="00046209"/>
    <w:rsid w:val="00046F80"/>
    <w:rsid w:val="00047211"/>
    <w:rsid w:val="000477C2"/>
    <w:rsid w:val="00050976"/>
    <w:rsid w:val="0005186F"/>
    <w:rsid w:val="000523B1"/>
    <w:rsid w:val="00052732"/>
    <w:rsid w:val="00052B8A"/>
    <w:rsid w:val="000534DF"/>
    <w:rsid w:val="00053894"/>
    <w:rsid w:val="0005467E"/>
    <w:rsid w:val="00056BBE"/>
    <w:rsid w:val="0005712D"/>
    <w:rsid w:val="000576DB"/>
    <w:rsid w:val="000613E7"/>
    <w:rsid w:val="00061AC4"/>
    <w:rsid w:val="00061BB0"/>
    <w:rsid w:val="00062936"/>
    <w:rsid w:val="00064EFC"/>
    <w:rsid w:val="00065108"/>
    <w:rsid w:val="00065BA9"/>
    <w:rsid w:val="00065D6F"/>
    <w:rsid w:val="00066ECF"/>
    <w:rsid w:val="00067089"/>
    <w:rsid w:val="00067638"/>
    <w:rsid w:val="00067896"/>
    <w:rsid w:val="000701C6"/>
    <w:rsid w:val="00070B31"/>
    <w:rsid w:val="00070EA6"/>
    <w:rsid w:val="00073081"/>
    <w:rsid w:val="000733AA"/>
    <w:rsid w:val="00073454"/>
    <w:rsid w:val="00073D4B"/>
    <w:rsid w:val="00074FFB"/>
    <w:rsid w:val="00075866"/>
    <w:rsid w:val="00076F02"/>
    <w:rsid w:val="000772A9"/>
    <w:rsid w:val="000773DF"/>
    <w:rsid w:val="0007788D"/>
    <w:rsid w:val="00077ADD"/>
    <w:rsid w:val="00077C9B"/>
    <w:rsid w:val="000809EA"/>
    <w:rsid w:val="00082DAC"/>
    <w:rsid w:val="000832C9"/>
    <w:rsid w:val="000835B0"/>
    <w:rsid w:val="00085CA7"/>
    <w:rsid w:val="00085EFD"/>
    <w:rsid w:val="00086F4F"/>
    <w:rsid w:val="0009158B"/>
    <w:rsid w:val="000924E0"/>
    <w:rsid w:val="00092C57"/>
    <w:rsid w:val="000937A8"/>
    <w:rsid w:val="00093D49"/>
    <w:rsid w:val="000941D0"/>
    <w:rsid w:val="00096511"/>
    <w:rsid w:val="000968AA"/>
    <w:rsid w:val="00096BF5"/>
    <w:rsid w:val="000973FD"/>
    <w:rsid w:val="000A0365"/>
    <w:rsid w:val="000A097A"/>
    <w:rsid w:val="000A0A9D"/>
    <w:rsid w:val="000A0B6A"/>
    <w:rsid w:val="000A240B"/>
    <w:rsid w:val="000A2F8B"/>
    <w:rsid w:val="000A397C"/>
    <w:rsid w:val="000A3D07"/>
    <w:rsid w:val="000A4598"/>
    <w:rsid w:val="000A5E34"/>
    <w:rsid w:val="000A684F"/>
    <w:rsid w:val="000A7116"/>
    <w:rsid w:val="000A7ED5"/>
    <w:rsid w:val="000B0FBE"/>
    <w:rsid w:val="000B11F6"/>
    <w:rsid w:val="000B2843"/>
    <w:rsid w:val="000B2844"/>
    <w:rsid w:val="000B2B0F"/>
    <w:rsid w:val="000B2F4F"/>
    <w:rsid w:val="000B309C"/>
    <w:rsid w:val="000B362F"/>
    <w:rsid w:val="000B38A4"/>
    <w:rsid w:val="000B44C8"/>
    <w:rsid w:val="000B4729"/>
    <w:rsid w:val="000B5608"/>
    <w:rsid w:val="000B5833"/>
    <w:rsid w:val="000B5C9F"/>
    <w:rsid w:val="000B5E75"/>
    <w:rsid w:val="000B6C1D"/>
    <w:rsid w:val="000B713B"/>
    <w:rsid w:val="000B7B2F"/>
    <w:rsid w:val="000C0A59"/>
    <w:rsid w:val="000C1232"/>
    <w:rsid w:val="000C3450"/>
    <w:rsid w:val="000C39F3"/>
    <w:rsid w:val="000C3C94"/>
    <w:rsid w:val="000C3E1E"/>
    <w:rsid w:val="000C3E63"/>
    <w:rsid w:val="000C43C6"/>
    <w:rsid w:val="000C49D9"/>
    <w:rsid w:val="000C4D0B"/>
    <w:rsid w:val="000C60C3"/>
    <w:rsid w:val="000C6A81"/>
    <w:rsid w:val="000C6D9C"/>
    <w:rsid w:val="000C7C98"/>
    <w:rsid w:val="000D010E"/>
    <w:rsid w:val="000D07EA"/>
    <w:rsid w:val="000D0873"/>
    <w:rsid w:val="000D08D5"/>
    <w:rsid w:val="000D0D03"/>
    <w:rsid w:val="000D1AC4"/>
    <w:rsid w:val="000D1AD7"/>
    <w:rsid w:val="000D3F4C"/>
    <w:rsid w:val="000D42C4"/>
    <w:rsid w:val="000D5168"/>
    <w:rsid w:val="000D5D3C"/>
    <w:rsid w:val="000E0A5B"/>
    <w:rsid w:val="000E1F84"/>
    <w:rsid w:val="000E3197"/>
    <w:rsid w:val="000E3281"/>
    <w:rsid w:val="000E3751"/>
    <w:rsid w:val="000E3ADF"/>
    <w:rsid w:val="000E3E66"/>
    <w:rsid w:val="000E3FC7"/>
    <w:rsid w:val="000E40E3"/>
    <w:rsid w:val="000E4603"/>
    <w:rsid w:val="000E522D"/>
    <w:rsid w:val="000E527C"/>
    <w:rsid w:val="000E55DA"/>
    <w:rsid w:val="000E5C40"/>
    <w:rsid w:val="000E5C6D"/>
    <w:rsid w:val="000F064B"/>
    <w:rsid w:val="000F0EBA"/>
    <w:rsid w:val="000F0FC2"/>
    <w:rsid w:val="000F104E"/>
    <w:rsid w:val="000F1755"/>
    <w:rsid w:val="000F1C18"/>
    <w:rsid w:val="000F1FA9"/>
    <w:rsid w:val="000F2811"/>
    <w:rsid w:val="000F3388"/>
    <w:rsid w:val="000F5A25"/>
    <w:rsid w:val="000F5DCC"/>
    <w:rsid w:val="000F5DE1"/>
    <w:rsid w:val="001003FC"/>
    <w:rsid w:val="0010064C"/>
    <w:rsid w:val="00100D93"/>
    <w:rsid w:val="00100E17"/>
    <w:rsid w:val="00101E8D"/>
    <w:rsid w:val="0010328E"/>
    <w:rsid w:val="001041E2"/>
    <w:rsid w:val="00104B04"/>
    <w:rsid w:val="00104BBC"/>
    <w:rsid w:val="0010539C"/>
    <w:rsid w:val="0010539E"/>
    <w:rsid w:val="00106055"/>
    <w:rsid w:val="0010766C"/>
    <w:rsid w:val="001111FD"/>
    <w:rsid w:val="00111DE6"/>
    <w:rsid w:val="00111E09"/>
    <w:rsid w:val="001124D6"/>
    <w:rsid w:val="001139F0"/>
    <w:rsid w:val="001155A6"/>
    <w:rsid w:val="001162D4"/>
    <w:rsid w:val="001162DF"/>
    <w:rsid w:val="00116458"/>
    <w:rsid w:val="00116B55"/>
    <w:rsid w:val="001170BB"/>
    <w:rsid w:val="00117BF0"/>
    <w:rsid w:val="00121148"/>
    <w:rsid w:val="00123221"/>
    <w:rsid w:val="0012398B"/>
    <w:rsid w:val="00123A07"/>
    <w:rsid w:val="001241A9"/>
    <w:rsid w:val="00125098"/>
    <w:rsid w:val="00126B02"/>
    <w:rsid w:val="0012711C"/>
    <w:rsid w:val="0012739B"/>
    <w:rsid w:val="001278AD"/>
    <w:rsid w:val="00127CAE"/>
    <w:rsid w:val="00130ED9"/>
    <w:rsid w:val="00131352"/>
    <w:rsid w:val="00131A76"/>
    <w:rsid w:val="0013201D"/>
    <w:rsid w:val="001324B6"/>
    <w:rsid w:val="001325BF"/>
    <w:rsid w:val="00133CA7"/>
    <w:rsid w:val="0013409C"/>
    <w:rsid w:val="00134A1B"/>
    <w:rsid w:val="001351C0"/>
    <w:rsid w:val="001359AF"/>
    <w:rsid w:val="00135F65"/>
    <w:rsid w:val="001361A1"/>
    <w:rsid w:val="0013665D"/>
    <w:rsid w:val="00137E63"/>
    <w:rsid w:val="00140006"/>
    <w:rsid w:val="00140681"/>
    <w:rsid w:val="0014100D"/>
    <w:rsid w:val="00141ECE"/>
    <w:rsid w:val="00141F9C"/>
    <w:rsid w:val="00142788"/>
    <w:rsid w:val="00143928"/>
    <w:rsid w:val="001449F4"/>
    <w:rsid w:val="0014527F"/>
    <w:rsid w:val="00145A7C"/>
    <w:rsid w:val="001507C2"/>
    <w:rsid w:val="00150D02"/>
    <w:rsid w:val="00151BD2"/>
    <w:rsid w:val="00152284"/>
    <w:rsid w:val="001526DA"/>
    <w:rsid w:val="001539D7"/>
    <w:rsid w:val="00155896"/>
    <w:rsid w:val="00156778"/>
    <w:rsid w:val="00156D8C"/>
    <w:rsid w:val="00157D4A"/>
    <w:rsid w:val="00160678"/>
    <w:rsid w:val="001632B4"/>
    <w:rsid w:val="00164D94"/>
    <w:rsid w:val="00165519"/>
    <w:rsid w:val="00165C79"/>
    <w:rsid w:val="00165DE6"/>
    <w:rsid w:val="00166323"/>
    <w:rsid w:val="0016662E"/>
    <w:rsid w:val="001669AC"/>
    <w:rsid w:val="001669B9"/>
    <w:rsid w:val="00167EC3"/>
    <w:rsid w:val="001705DE"/>
    <w:rsid w:val="00170EA8"/>
    <w:rsid w:val="00171E81"/>
    <w:rsid w:val="00172752"/>
    <w:rsid w:val="00172E6D"/>
    <w:rsid w:val="00173606"/>
    <w:rsid w:val="00173DA0"/>
    <w:rsid w:val="001747F8"/>
    <w:rsid w:val="00175592"/>
    <w:rsid w:val="00175D95"/>
    <w:rsid w:val="0017625C"/>
    <w:rsid w:val="001765FD"/>
    <w:rsid w:val="00176B7C"/>
    <w:rsid w:val="00176D95"/>
    <w:rsid w:val="00176DC7"/>
    <w:rsid w:val="00183752"/>
    <w:rsid w:val="00183C0F"/>
    <w:rsid w:val="00185BDB"/>
    <w:rsid w:val="001864E6"/>
    <w:rsid w:val="00187A5C"/>
    <w:rsid w:val="00187C67"/>
    <w:rsid w:val="00190F2F"/>
    <w:rsid w:val="0019246C"/>
    <w:rsid w:val="00193E85"/>
    <w:rsid w:val="00194D76"/>
    <w:rsid w:val="0019545D"/>
    <w:rsid w:val="00195A65"/>
    <w:rsid w:val="00195F81"/>
    <w:rsid w:val="001968B9"/>
    <w:rsid w:val="001968E5"/>
    <w:rsid w:val="00196D57"/>
    <w:rsid w:val="001A03B9"/>
    <w:rsid w:val="001A0577"/>
    <w:rsid w:val="001A07D4"/>
    <w:rsid w:val="001A18A7"/>
    <w:rsid w:val="001A298A"/>
    <w:rsid w:val="001A2B6D"/>
    <w:rsid w:val="001A2C14"/>
    <w:rsid w:val="001A33C2"/>
    <w:rsid w:val="001A3A6E"/>
    <w:rsid w:val="001A3C4A"/>
    <w:rsid w:val="001A53BF"/>
    <w:rsid w:val="001A5827"/>
    <w:rsid w:val="001A5F48"/>
    <w:rsid w:val="001A7474"/>
    <w:rsid w:val="001A751A"/>
    <w:rsid w:val="001B01B8"/>
    <w:rsid w:val="001B102F"/>
    <w:rsid w:val="001B1A60"/>
    <w:rsid w:val="001B2B5B"/>
    <w:rsid w:val="001B337A"/>
    <w:rsid w:val="001B548A"/>
    <w:rsid w:val="001B55E8"/>
    <w:rsid w:val="001B5619"/>
    <w:rsid w:val="001B56A1"/>
    <w:rsid w:val="001B6E01"/>
    <w:rsid w:val="001C07F9"/>
    <w:rsid w:val="001C17F2"/>
    <w:rsid w:val="001C1811"/>
    <w:rsid w:val="001C193F"/>
    <w:rsid w:val="001C1C8F"/>
    <w:rsid w:val="001C28AF"/>
    <w:rsid w:val="001C3948"/>
    <w:rsid w:val="001C41D1"/>
    <w:rsid w:val="001C4736"/>
    <w:rsid w:val="001C4E31"/>
    <w:rsid w:val="001C635A"/>
    <w:rsid w:val="001C6616"/>
    <w:rsid w:val="001C6A8A"/>
    <w:rsid w:val="001C6C6D"/>
    <w:rsid w:val="001D00DA"/>
    <w:rsid w:val="001D07B6"/>
    <w:rsid w:val="001D1632"/>
    <w:rsid w:val="001D1806"/>
    <w:rsid w:val="001D1B6E"/>
    <w:rsid w:val="001D2472"/>
    <w:rsid w:val="001D377B"/>
    <w:rsid w:val="001D39E4"/>
    <w:rsid w:val="001D421C"/>
    <w:rsid w:val="001D4531"/>
    <w:rsid w:val="001D618F"/>
    <w:rsid w:val="001D6C00"/>
    <w:rsid w:val="001D73E3"/>
    <w:rsid w:val="001D76F1"/>
    <w:rsid w:val="001D7FEE"/>
    <w:rsid w:val="001E178A"/>
    <w:rsid w:val="001E1B5C"/>
    <w:rsid w:val="001E2BFB"/>
    <w:rsid w:val="001E2E73"/>
    <w:rsid w:val="001E3E2A"/>
    <w:rsid w:val="001E4865"/>
    <w:rsid w:val="001E4B96"/>
    <w:rsid w:val="001E57AE"/>
    <w:rsid w:val="001F161B"/>
    <w:rsid w:val="001F1CF2"/>
    <w:rsid w:val="001F36F3"/>
    <w:rsid w:val="001F684B"/>
    <w:rsid w:val="001F70C1"/>
    <w:rsid w:val="001F714F"/>
    <w:rsid w:val="001F7AFD"/>
    <w:rsid w:val="002007D0"/>
    <w:rsid w:val="002019E7"/>
    <w:rsid w:val="00201C18"/>
    <w:rsid w:val="00203EB6"/>
    <w:rsid w:val="00204075"/>
    <w:rsid w:val="00204610"/>
    <w:rsid w:val="00204E93"/>
    <w:rsid w:val="00205544"/>
    <w:rsid w:val="0020591D"/>
    <w:rsid w:val="00205CB4"/>
    <w:rsid w:val="002064CF"/>
    <w:rsid w:val="00206E17"/>
    <w:rsid w:val="00207F69"/>
    <w:rsid w:val="00207F74"/>
    <w:rsid w:val="00210F5B"/>
    <w:rsid w:val="002112AE"/>
    <w:rsid w:val="00211C45"/>
    <w:rsid w:val="00211FA6"/>
    <w:rsid w:val="00212199"/>
    <w:rsid w:val="002151B6"/>
    <w:rsid w:val="002151E6"/>
    <w:rsid w:val="00215FE4"/>
    <w:rsid w:val="00215FFB"/>
    <w:rsid w:val="00216129"/>
    <w:rsid w:val="00217B49"/>
    <w:rsid w:val="00217BC5"/>
    <w:rsid w:val="00217E3A"/>
    <w:rsid w:val="002209E2"/>
    <w:rsid w:val="002213BD"/>
    <w:rsid w:val="00221A06"/>
    <w:rsid w:val="00221E2A"/>
    <w:rsid w:val="00222282"/>
    <w:rsid w:val="00223303"/>
    <w:rsid w:val="00223DEB"/>
    <w:rsid w:val="00224409"/>
    <w:rsid w:val="00224C31"/>
    <w:rsid w:val="00224E28"/>
    <w:rsid w:val="00227D96"/>
    <w:rsid w:val="00230A2C"/>
    <w:rsid w:val="0023167B"/>
    <w:rsid w:val="002329A0"/>
    <w:rsid w:val="00232E3A"/>
    <w:rsid w:val="0023390C"/>
    <w:rsid w:val="00235ED3"/>
    <w:rsid w:val="00236DE7"/>
    <w:rsid w:val="002406C9"/>
    <w:rsid w:val="00240B50"/>
    <w:rsid w:val="0024110C"/>
    <w:rsid w:val="00241949"/>
    <w:rsid w:val="00241B81"/>
    <w:rsid w:val="0024330A"/>
    <w:rsid w:val="0024360A"/>
    <w:rsid w:val="00243993"/>
    <w:rsid w:val="00243DA4"/>
    <w:rsid w:val="0024449B"/>
    <w:rsid w:val="00244D61"/>
    <w:rsid w:val="00245286"/>
    <w:rsid w:val="00246061"/>
    <w:rsid w:val="00247726"/>
    <w:rsid w:val="00247E4D"/>
    <w:rsid w:val="00250887"/>
    <w:rsid w:val="002508A1"/>
    <w:rsid w:val="00250C04"/>
    <w:rsid w:val="00250FBA"/>
    <w:rsid w:val="002515DC"/>
    <w:rsid w:val="0025212A"/>
    <w:rsid w:val="002523B1"/>
    <w:rsid w:val="00252B8A"/>
    <w:rsid w:val="0025315F"/>
    <w:rsid w:val="00253FEA"/>
    <w:rsid w:val="00254C34"/>
    <w:rsid w:val="00254E62"/>
    <w:rsid w:val="002560AF"/>
    <w:rsid w:val="0026057D"/>
    <w:rsid w:val="00260E57"/>
    <w:rsid w:val="00261174"/>
    <w:rsid w:val="002620BB"/>
    <w:rsid w:val="00262106"/>
    <w:rsid w:val="002622CE"/>
    <w:rsid w:val="00262CB9"/>
    <w:rsid w:val="0026307E"/>
    <w:rsid w:val="00263D1A"/>
    <w:rsid w:val="00263FD4"/>
    <w:rsid w:val="00264131"/>
    <w:rsid w:val="002644F7"/>
    <w:rsid w:val="002657B5"/>
    <w:rsid w:val="00265DCF"/>
    <w:rsid w:val="00265F96"/>
    <w:rsid w:val="00266006"/>
    <w:rsid w:val="002661A1"/>
    <w:rsid w:val="0026688B"/>
    <w:rsid w:val="002700C0"/>
    <w:rsid w:val="0027031B"/>
    <w:rsid w:val="00270952"/>
    <w:rsid w:val="00271203"/>
    <w:rsid w:val="002726D8"/>
    <w:rsid w:val="0027465B"/>
    <w:rsid w:val="002749C5"/>
    <w:rsid w:val="002758B0"/>
    <w:rsid w:val="00276FA5"/>
    <w:rsid w:val="0027700D"/>
    <w:rsid w:val="00277120"/>
    <w:rsid w:val="00277254"/>
    <w:rsid w:val="00282D18"/>
    <w:rsid w:val="00283796"/>
    <w:rsid w:val="00284626"/>
    <w:rsid w:val="002849F1"/>
    <w:rsid w:val="00284FCD"/>
    <w:rsid w:val="002851A8"/>
    <w:rsid w:val="002855E8"/>
    <w:rsid w:val="00285F69"/>
    <w:rsid w:val="002861A8"/>
    <w:rsid w:val="002914BB"/>
    <w:rsid w:val="00292413"/>
    <w:rsid w:val="00293F72"/>
    <w:rsid w:val="0029448A"/>
    <w:rsid w:val="002945E4"/>
    <w:rsid w:val="00294C2E"/>
    <w:rsid w:val="0029565B"/>
    <w:rsid w:val="00295B99"/>
    <w:rsid w:val="0029699B"/>
    <w:rsid w:val="002974E2"/>
    <w:rsid w:val="00297B70"/>
    <w:rsid w:val="002A14C1"/>
    <w:rsid w:val="002A22AD"/>
    <w:rsid w:val="002A3144"/>
    <w:rsid w:val="002A3323"/>
    <w:rsid w:val="002A4148"/>
    <w:rsid w:val="002A4510"/>
    <w:rsid w:val="002A540C"/>
    <w:rsid w:val="002A5421"/>
    <w:rsid w:val="002A6C07"/>
    <w:rsid w:val="002A724D"/>
    <w:rsid w:val="002A7E00"/>
    <w:rsid w:val="002B12F1"/>
    <w:rsid w:val="002B282F"/>
    <w:rsid w:val="002B2983"/>
    <w:rsid w:val="002B29ED"/>
    <w:rsid w:val="002B2CB2"/>
    <w:rsid w:val="002B30BE"/>
    <w:rsid w:val="002B3DF4"/>
    <w:rsid w:val="002B4BAD"/>
    <w:rsid w:val="002B54D2"/>
    <w:rsid w:val="002B65EA"/>
    <w:rsid w:val="002B6EB3"/>
    <w:rsid w:val="002B7547"/>
    <w:rsid w:val="002C0DE5"/>
    <w:rsid w:val="002C1E7F"/>
    <w:rsid w:val="002C37CA"/>
    <w:rsid w:val="002C3D81"/>
    <w:rsid w:val="002C46F5"/>
    <w:rsid w:val="002C5AB0"/>
    <w:rsid w:val="002D025C"/>
    <w:rsid w:val="002D0614"/>
    <w:rsid w:val="002D0ED8"/>
    <w:rsid w:val="002D147C"/>
    <w:rsid w:val="002D183D"/>
    <w:rsid w:val="002D1842"/>
    <w:rsid w:val="002D3DFD"/>
    <w:rsid w:val="002D468C"/>
    <w:rsid w:val="002D7997"/>
    <w:rsid w:val="002E0308"/>
    <w:rsid w:val="002E096E"/>
    <w:rsid w:val="002E1587"/>
    <w:rsid w:val="002E183F"/>
    <w:rsid w:val="002E1A72"/>
    <w:rsid w:val="002E2F73"/>
    <w:rsid w:val="002E316E"/>
    <w:rsid w:val="002E3447"/>
    <w:rsid w:val="002E47D2"/>
    <w:rsid w:val="002E4E6D"/>
    <w:rsid w:val="002E501C"/>
    <w:rsid w:val="002E550A"/>
    <w:rsid w:val="002E5CAE"/>
    <w:rsid w:val="002E5D89"/>
    <w:rsid w:val="002E614C"/>
    <w:rsid w:val="002E6F82"/>
    <w:rsid w:val="002F01A0"/>
    <w:rsid w:val="002F07CC"/>
    <w:rsid w:val="002F1CB8"/>
    <w:rsid w:val="002F2A69"/>
    <w:rsid w:val="002F2CE8"/>
    <w:rsid w:val="002F4165"/>
    <w:rsid w:val="002F4BA3"/>
    <w:rsid w:val="002F51DD"/>
    <w:rsid w:val="002F6756"/>
    <w:rsid w:val="002F6DFD"/>
    <w:rsid w:val="002F7B9C"/>
    <w:rsid w:val="002F7C8B"/>
    <w:rsid w:val="003007C0"/>
    <w:rsid w:val="00300F36"/>
    <w:rsid w:val="003017DA"/>
    <w:rsid w:val="00302892"/>
    <w:rsid w:val="00302B71"/>
    <w:rsid w:val="0030431B"/>
    <w:rsid w:val="0030467E"/>
    <w:rsid w:val="0030555B"/>
    <w:rsid w:val="00305979"/>
    <w:rsid w:val="00305F0F"/>
    <w:rsid w:val="00306152"/>
    <w:rsid w:val="003074F6"/>
    <w:rsid w:val="00310C9B"/>
    <w:rsid w:val="00310FA6"/>
    <w:rsid w:val="00311804"/>
    <w:rsid w:val="00311BA3"/>
    <w:rsid w:val="0031205E"/>
    <w:rsid w:val="00312CEB"/>
    <w:rsid w:val="00313107"/>
    <w:rsid w:val="00313415"/>
    <w:rsid w:val="00313CCE"/>
    <w:rsid w:val="00313FDE"/>
    <w:rsid w:val="003157F8"/>
    <w:rsid w:val="003164EE"/>
    <w:rsid w:val="0031669D"/>
    <w:rsid w:val="003169CB"/>
    <w:rsid w:val="00316A1C"/>
    <w:rsid w:val="003174B2"/>
    <w:rsid w:val="003174D7"/>
    <w:rsid w:val="00317810"/>
    <w:rsid w:val="0032055D"/>
    <w:rsid w:val="0032063D"/>
    <w:rsid w:val="00321A36"/>
    <w:rsid w:val="00321EA7"/>
    <w:rsid w:val="00322E30"/>
    <w:rsid w:val="00323EDC"/>
    <w:rsid w:val="00327A7A"/>
    <w:rsid w:val="003303DC"/>
    <w:rsid w:val="00330C16"/>
    <w:rsid w:val="00333DAA"/>
    <w:rsid w:val="0033420F"/>
    <w:rsid w:val="0033599D"/>
    <w:rsid w:val="003359E9"/>
    <w:rsid w:val="00335AFC"/>
    <w:rsid w:val="00335C9C"/>
    <w:rsid w:val="00335CB1"/>
    <w:rsid w:val="003365D1"/>
    <w:rsid w:val="0033738E"/>
    <w:rsid w:val="00337711"/>
    <w:rsid w:val="00337980"/>
    <w:rsid w:val="00340A02"/>
    <w:rsid w:val="0034119F"/>
    <w:rsid w:val="00341339"/>
    <w:rsid w:val="00341F33"/>
    <w:rsid w:val="00341F82"/>
    <w:rsid w:val="003424BC"/>
    <w:rsid w:val="00344D63"/>
    <w:rsid w:val="003457A8"/>
    <w:rsid w:val="003462B4"/>
    <w:rsid w:val="00346DF9"/>
    <w:rsid w:val="003471FB"/>
    <w:rsid w:val="00347B69"/>
    <w:rsid w:val="003501FD"/>
    <w:rsid w:val="00350587"/>
    <w:rsid w:val="00350724"/>
    <w:rsid w:val="00350B42"/>
    <w:rsid w:val="00351570"/>
    <w:rsid w:val="003533B7"/>
    <w:rsid w:val="00353E12"/>
    <w:rsid w:val="00353FA8"/>
    <w:rsid w:val="003540A5"/>
    <w:rsid w:val="00354774"/>
    <w:rsid w:val="00355C03"/>
    <w:rsid w:val="0035605D"/>
    <w:rsid w:val="00356FA8"/>
    <w:rsid w:val="00357ED1"/>
    <w:rsid w:val="00360012"/>
    <w:rsid w:val="00362E25"/>
    <w:rsid w:val="003637D7"/>
    <w:rsid w:val="003651DB"/>
    <w:rsid w:val="003656DC"/>
    <w:rsid w:val="003664DF"/>
    <w:rsid w:val="00366597"/>
    <w:rsid w:val="003679FD"/>
    <w:rsid w:val="0037097A"/>
    <w:rsid w:val="003715A8"/>
    <w:rsid w:val="00372149"/>
    <w:rsid w:val="003723DE"/>
    <w:rsid w:val="003738D5"/>
    <w:rsid w:val="003743CB"/>
    <w:rsid w:val="003754CB"/>
    <w:rsid w:val="00375A1F"/>
    <w:rsid w:val="00375F3B"/>
    <w:rsid w:val="00376376"/>
    <w:rsid w:val="00376959"/>
    <w:rsid w:val="00376F4B"/>
    <w:rsid w:val="0037700D"/>
    <w:rsid w:val="0037743C"/>
    <w:rsid w:val="00377510"/>
    <w:rsid w:val="00377534"/>
    <w:rsid w:val="003800C9"/>
    <w:rsid w:val="003815D3"/>
    <w:rsid w:val="00381823"/>
    <w:rsid w:val="00381A54"/>
    <w:rsid w:val="00381F21"/>
    <w:rsid w:val="003820F4"/>
    <w:rsid w:val="003822B1"/>
    <w:rsid w:val="00382752"/>
    <w:rsid w:val="003829CA"/>
    <w:rsid w:val="003838D2"/>
    <w:rsid w:val="003845DC"/>
    <w:rsid w:val="00384774"/>
    <w:rsid w:val="003850B7"/>
    <w:rsid w:val="00386995"/>
    <w:rsid w:val="00386EEA"/>
    <w:rsid w:val="00390231"/>
    <w:rsid w:val="003904D2"/>
    <w:rsid w:val="003904D9"/>
    <w:rsid w:val="00390576"/>
    <w:rsid w:val="00390A75"/>
    <w:rsid w:val="00390B0C"/>
    <w:rsid w:val="003910F3"/>
    <w:rsid w:val="0039117C"/>
    <w:rsid w:val="00391586"/>
    <w:rsid w:val="00391C77"/>
    <w:rsid w:val="00391E67"/>
    <w:rsid w:val="00392C00"/>
    <w:rsid w:val="00392CE6"/>
    <w:rsid w:val="00392D12"/>
    <w:rsid w:val="00394C25"/>
    <w:rsid w:val="00396902"/>
    <w:rsid w:val="003971BB"/>
    <w:rsid w:val="00397218"/>
    <w:rsid w:val="003974E3"/>
    <w:rsid w:val="003A0181"/>
    <w:rsid w:val="003A0790"/>
    <w:rsid w:val="003A0EBC"/>
    <w:rsid w:val="003A12B9"/>
    <w:rsid w:val="003A2B03"/>
    <w:rsid w:val="003A3C8B"/>
    <w:rsid w:val="003A3E85"/>
    <w:rsid w:val="003A513E"/>
    <w:rsid w:val="003A6A1B"/>
    <w:rsid w:val="003A7949"/>
    <w:rsid w:val="003A7CDF"/>
    <w:rsid w:val="003A7ECB"/>
    <w:rsid w:val="003B1ADC"/>
    <w:rsid w:val="003B1C2C"/>
    <w:rsid w:val="003B2A78"/>
    <w:rsid w:val="003B2A99"/>
    <w:rsid w:val="003B2EA1"/>
    <w:rsid w:val="003B3B67"/>
    <w:rsid w:val="003B3FB9"/>
    <w:rsid w:val="003B4C28"/>
    <w:rsid w:val="003B4E2F"/>
    <w:rsid w:val="003B4EFB"/>
    <w:rsid w:val="003B5C4C"/>
    <w:rsid w:val="003B62F6"/>
    <w:rsid w:val="003B667C"/>
    <w:rsid w:val="003C000C"/>
    <w:rsid w:val="003C0014"/>
    <w:rsid w:val="003C005D"/>
    <w:rsid w:val="003C0424"/>
    <w:rsid w:val="003C0561"/>
    <w:rsid w:val="003C08D0"/>
    <w:rsid w:val="003C0A0D"/>
    <w:rsid w:val="003C0DAD"/>
    <w:rsid w:val="003C0E3F"/>
    <w:rsid w:val="003C197B"/>
    <w:rsid w:val="003C1BCC"/>
    <w:rsid w:val="003C2124"/>
    <w:rsid w:val="003C36E0"/>
    <w:rsid w:val="003C3CF5"/>
    <w:rsid w:val="003C40DF"/>
    <w:rsid w:val="003C44A2"/>
    <w:rsid w:val="003C5365"/>
    <w:rsid w:val="003C5511"/>
    <w:rsid w:val="003C5D9F"/>
    <w:rsid w:val="003C68B5"/>
    <w:rsid w:val="003C6D95"/>
    <w:rsid w:val="003C79C5"/>
    <w:rsid w:val="003C7A05"/>
    <w:rsid w:val="003D12E1"/>
    <w:rsid w:val="003D1779"/>
    <w:rsid w:val="003D1E0F"/>
    <w:rsid w:val="003D20FF"/>
    <w:rsid w:val="003D223C"/>
    <w:rsid w:val="003D2A01"/>
    <w:rsid w:val="003D2EF7"/>
    <w:rsid w:val="003D42DA"/>
    <w:rsid w:val="003D4792"/>
    <w:rsid w:val="003D48A5"/>
    <w:rsid w:val="003D54A8"/>
    <w:rsid w:val="003D6607"/>
    <w:rsid w:val="003D6B5F"/>
    <w:rsid w:val="003E0FD9"/>
    <w:rsid w:val="003E1609"/>
    <w:rsid w:val="003E1735"/>
    <w:rsid w:val="003E20EE"/>
    <w:rsid w:val="003E2F30"/>
    <w:rsid w:val="003E3916"/>
    <w:rsid w:val="003E3F6A"/>
    <w:rsid w:val="003E5104"/>
    <w:rsid w:val="003E5336"/>
    <w:rsid w:val="003E5E46"/>
    <w:rsid w:val="003E6254"/>
    <w:rsid w:val="003E6D4C"/>
    <w:rsid w:val="003E7305"/>
    <w:rsid w:val="003E7418"/>
    <w:rsid w:val="003F06DC"/>
    <w:rsid w:val="003F094C"/>
    <w:rsid w:val="003F1414"/>
    <w:rsid w:val="003F1885"/>
    <w:rsid w:val="003F267A"/>
    <w:rsid w:val="003F4C3C"/>
    <w:rsid w:val="003F4E47"/>
    <w:rsid w:val="003F5B85"/>
    <w:rsid w:val="003F5BA9"/>
    <w:rsid w:val="003F6FF5"/>
    <w:rsid w:val="003F77C2"/>
    <w:rsid w:val="00400229"/>
    <w:rsid w:val="0040072D"/>
    <w:rsid w:val="004013BC"/>
    <w:rsid w:val="0040152F"/>
    <w:rsid w:val="0040240F"/>
    <w:rsid w:val="00403F9A"/>
    <w:rsid w:val="00404A88"/>
    <w:rsid w:val="00405909"/>
    <w:rsid w:val="00405A4E"/>
    <w:rsid w:val="00405C71"/>
    <w:rsid w:val="004066EF"/>
    <w:rsid w:val="004070E0"/>
    <w:rsid w:val="00407BC2"/>
    <w:rsid w:val="00410221"/>
    <w:rsid w:val="0041053D"/>
    <w:rsid w:val="00410F33"/>
    <w:rsid w:val="0041223E"/>
    <w:rsid w:val="00414C62"/>
    <w:rsid w:val="004165B2"/>
    <w:rsid w:val="00416C41"/>
    <w:rsid w:val="0041742B"/>
    <w:rsid w:val="00417DB7"/>
    <w:rsid w:val="00420AF0"/>
    <w:rsid w:val="00420E57"/>
    <w:rsid w:val="004218C8"/>
    <w:rsid w:val="00421A2E"/>
    <w:rsid w:val="00421A42"/>
    <w:rsid w:val="00422999"/>
    <w:rsid w:val="00422AC2"/>
    <w:rsid w:val="00422F5D"/>
    <w:rsid w:val="00423C3B"/>
    <w:rsid w:val="00424051"/>
    <w:rsid w:val="00425482"/>
    <w:rsid w:val="00426203"/>
    <w:rsid w:val="0042622D"/>
    <w:rsid w:val="004264BD"/>
    <w:rsid w:val="0042674F"/>
    <w:rsid w:val="00427234"/>
    <w:rsid w:val="00427731"/>
    <w:rsid w:val="00427CFD"/>
    <w:rsid w:val="00427F67"/>
    <w:rsid w:val="00430964"/>
    <w:rsid w:val="004315CE"/>
    <w:rsid w:val="004316F0"/>
    <w:rsid w:val="00432413"/>
    <w:rsid w:val="0043245F"/>
    <w:rsid w:val="004325D5"/>
    <w:rsid w:val="0043270F"/>
    <w:rsid w:val="00433540"/>
    <w:rsid w:val="00434E6A"/>
    <w:rsid w:val="0043577D"/>
    <w:rsid w:val="00435A84"/>
    <w:rsid w:val="00435EC2"/>
    <w:rsid w:val="00436952"/>
    <w:rsid w:val="004375F4"/>
    <w:rsid w:val="00441034"/>
    <w:rsid w:val="00442615"/>
    <w:rsid w:val="00442704"/>
    <w:rsid w:val="004427EB"/>
    <w:rsid w:val="004437BE"/>
    <w:rsid w:val="0044404D"/>
    <w:rsid w:val="00444119"/>
    <w:rsid w:val="0044415C"/>
    <w:rsid w:val="004455BD"/>
    <w:rsid w:val="00445770"/>
    <w:rsid w:val="0044662B"/>
    <w:rsid w:val="00446CC2"/>
    <w:rsid w:val="004473E9"/>
    <w:rsid w:val="00447DBA"/>
    <w:rsid w:val="0045082F"/>
    <w:rsid w:val="00450F92"/>
    <w:rsid w:val="00451981"/>
    <w:rsid w:val="00452446"/>
    <w:rsid w:val="00453389"/>
    <w:rsid w:val="00454690"/>
    <w:rsid w:val="00454992"/>
    <w:rsid w:val="00454C78"/>
    <w:rsid w:val="00457609"/>
    <w:rsid w:val="004578CB"/>
    <w:rsid w:val="00457D71"/>
    <w:rsid w:val="00457DCF"/>
    <w:rsid w:val="0046080B"/>
    <w:rsid w:val="00460AEC"/>
    <w:rsid w:val="00460B37"/>
    <w:rsid w:val="00460FB2"/>
    <w:rsid w:val="00461283"/>
    <w:rsid w:val="004621B8"/>
    <w:rsid w:val="00463370"/>
    <w:rsid w:val="00463B68"/>
    <w:rsid w:val="00463F5E"/>
    <w:rsid w:val="00464DEF"/>
    <w:rsid w:val="00465E24"/>
    <w:rsid w:val="0046614E"/>
    <w:rsid w:val="00467ADA"/>
    <w:rsid w:val="004708CF"/>
    <w:rsid w:val="00470A32"/>
    <w:rsid w:val="00470FA2"/>
    <w:rsid w:val="004719E6"/>
    <w:rsid w:val="00471AE5"/>
    <w:rsid w:val="00473DD0"/>
    <w:rsid w:val="004744C6"/>
    <w:rsid w:val="00474E43"/>
    <w:rsid w:val="00475344"/>
    <w:rsid w:val="00475A53"/>
    <w:rsid w:val="00475FF0"/>
    <w:rsid w:val="004768C1"/>
    <w:rsid w:val="00476B91"/>
    <w:rsid w:val="00480079"/>
    <w:rsid w:val="00483131"/>
    <w:rsid w:val="00483245"/>
    <w:rsid w:val="00483A54"/>
    <w:rsid w:val="00484559"/>
    <w:rsid w:val="004846AE"/>
    <w:rsid w:val="00484D4B"/>
    <w:rsid w:val="00485281"/>
    <w:rsid w:val="00485904"/>
    <w:rsid w:val="0048598B"/>
    <w:rsid w:val="00485E54"/>
    <w:rsid w:val="00486239"/>
    <w:rsid w:val="004868D7"/>
    <w:rsid w:val="00486B26"/>
    <w:rsid w:val="0048751E"/>
    <w:rsid w:val="00487BEC"/>
    <w:rsid w:val="00490D11"/>
    <w:rsid w:val="00491518"/>
    <w:rsid w:val="00492172"/>
    <w:rsid w:val="0049285A"/>
    <w:rsid w:val="00492EBD"/>
    <w:rsid w:val="00494C09"/>
    <w:rsid w:val="00495235"/>
    <w:rsid w:val="0049546F"/>
    <w:rsid w:val="00495690"/>
    <w:rsid w:val="00495FA4"/>
    <w:rsid w:val="0049638B"/>
    <w:rsid w:val="004964E6"/>
    <w:rsid w:val="00496617"/>
    <w:rsid w:val="00496943"/>
    <w:rsid w:val="004A0467"/>
    <w:rsid w:val="004A3725"/>
    <w:rsid w:val="004A37BE"/>
    <w:rsid w:val="004A421C"/>
    <w:rsid w:val="004A44CA"/>
    <w:rsid w:val="004A5468"/>
    <w:rsid w:val="004B046D"/>
    <w:rsid w:val="004B1E7A"/>
    <w:rsid w:val="004B259B"/>
    <w:rsid w:val="004B29C6"/>
    <w:rsid w:val="004B4B8F"/>
    <w:rsid w:val="004B4FDE"/>
    <w:rsid w:val="004B5B15"/>
    <w:rsid w:val="004C00EE"/>
    <w:rsid w:val="004C022B"/>
    <w:rsid w:val="004C0A53"/>
    <w:rsid w:val="004C0FA2"/>
    <w:rsid w:val="004C1E30"/>
    <w:rsid w:val="004C2BA4"/>
    <w:rsid w:val="004C31FC"/>
    <w:rsid w:val="004C36C6"/>
    <w:rsid w:val="004C3C37"/>
    <w:rsid w:val="004C41C2"/>
    <w:rsid w:val="004C4A55"/>
    <w:rsid w:val="004C4C46"/>
    <w:rsid w:val="004C59E0"/>
    <w:rsid w:val="004C609F"/>
    <w:rsid w:val="004C63A1"/>
    <w:rsid w:val="004C689D"/>
    <w:rsid w:val="004C695E"/>
    <w:rsid w:val="004C7056"/>
    <w:rsid w:val="004C70C2"/>
    <w:rsid w:val="004C74C1"/>
    <w:rsid w:val="004C7956"/>
    <w:rsid w:val="004C7B76"/>
    <w:rsid w:val="004D0080"/>
    <w:rsid w:val="004D1812"/>
    <w:rsid w:val="004D21A8"/>
    <w:rsid w:val="004D2B8D"/>
    <w:rsid w:val="004D36C3"/>
    <w:rsid w:val="004D39FD"/>
    <w:rsid w:val="004D3E24"/>
    <w:rsid w:val="004D4149"/>
    <w:rsid w:val="004D495A"/>
    <w:rsid w:val="004D51C9"/>
    <w:rsid w:val="004D6C6A"/>
    <w:rsid w:val="004D7134"/>
    <w:rsid w:val="004D7E44"/>
    <w:rsid w:val="004E0B85"/>
    <w:rsid w:val="004E147F"/>
    <w:rsid w:val="004E1C1C"/>
    <w:rsid w:val="004E1C42"/>
    <w:rsid w:val="004E1E10"/>
    <w:rsid w:val="004E3A35"/>
    <w:rsid w:val="004E3B22"/>
    <w:rsid w:val="004E3E59"/>
    <w:rsid w:val="004E3F50"/>
    <w:rsid w:val="004E4135"/>
    <w:rsid w:val="004E495B"/>
    <w:rsid w:val="004E562B"/>
    <w:rsid w:val="004E6285"/>
    <w:rsid w:val="004E6399"/>
    <w:rsid w:val="004E7D14"/>
    <w:rsid w:val="004E7F1B"/>
    <w:rsid w:val="004F0A30"/>
    <w:rsid w:val="004F0AE4"/>
    <w:rsid w:val="004F142F"/>
    <w:rsid w:val="004F170D"/>
    <w:rsid w:val="004F215F"/>
    <w:rsid w:val="004F32F9"/>
    <w:rsid w:val="004F345D"/>
    <w:rsid w:val="004F4343"/>
    <w:rsid w:val="004F443A"/>
    <w:rsid w:val="004F4573"/>
    <w:rsid w:val="004F58A5"/>
    <w:rsid w:val="004F5A26"/>
    <w:rsid w:val="004F5C3A"/>
    <w:rsid w:val="004F5CA1"/>
    <w:rsid w:val="004F7025"/>
    <w:rsid w:val="004F7AB4"/>
    <w:rsid w:val="004F7E08"/>
    <w:rsid w:val="0050017C"/>
    <w:rsid w:val="0050018A"/>
    <w:rsid w:val="0050075E"/>
    <w:rsid w:val="005015AD"/>
    <w:rsid w:val="00502E95"/>
    <w:rsid w:val="0050396F"/>
    <w:rsid w:val="005043B1"/>
    <w:rsid w:val="005056A1"/>
    <w:rsid w:val="0050695E"/>
    <w:rsid w:val="00506F9A"/>
    <w:rsid w:val="00507159"/>
    <w:rsid w:val="00507E01"/>
    <w:rsid w:val="00510193"/>
    <w:rsid w:val="005101D3"/>
    <w:rsid w:val="00510895"/>
    <w:rsid w:val="00510AA5"/>
    <w:rsid w:val="005115FC"/>
    <w:rsid w:val="00512785"/>
    <w:rsid w:val="0051293D"/>
    <w:rsid w:val="0051320F"/>
    <w:rsid w:val="00513BC9"/>
    <w:rsid w:val="0051536B"/>
    <w:rsid w:val="00517621"/>
    <w:rsid w:val="005206D5"/>
    <w:rsid w:val="00521CEF"/>
    <w:rsid w:val="00521E17"/>
    <w:rsid w:val="00521E2B"/>
    <w:rsid w:val="005220B1"/>
    <w:rsid w:val="005220F0"/>
    <w:rsid w:val="00522E59"/>
    <w:rsid w:val="0052334D"/>
    <w:rsid w:val="00523B9D"/>
    <w:rsid w:val="00525840"/>
    <w:rsid w:val="005267EC"/>
    <w:rsid w:val="00527CC0"/>
    <w:rsid w:val="00530518"/>
    <w:rsid w:val="005315E1"/>
    <w:rsid w:val="005318E7"/>
    <w:rsid w:val="0053199B"/>
    <w:rsid w:val="005327EA"/>
    <w:rsid w:val="0053281E"/>
    <w:rsid w:val="00532DDD"/>
    <w:rsid w:val="005334B6"/>
    <w:rsid w:val="00533A6B"/>
    <w:rsid w:val="00533BD1"/>
    <w:rsid w:val="00535666"/>
    <w:rsid w:val="00536241"/>
    <w:rsid w:val="00536A63"/>
    <w:rsid w:val="00537DCA"/>
    <w:rsid w:val="00540B4B"/>
    <w:rsid w:val="0054116F"/>
    <w:rsid w:val="005414E5"/>
    <w:rsid w:val="00541533"/>
    <w:rsid w:val="0054257E"/>
    <w:rsid w:val="0054296B"/>
    <w:rsid w:val="005433C0"/>
    <w:rsid w:val="0054420D"/>
    <w:rsid w:val="005461B7"/>
    <w:rsid w:val="00550539"/>
    <w:rsid w:val="00550A68"/>
    <w:rsid w:val="00551892"/>
    <w:rsid w:val="00551A40"/>
    <w:rsid w:val="00551B2E"/>
    <w:rsid w:val="00551C84"/>
    <w:rsid w:val="0055295B"/>
    <w:rsid w:val="005536DF"/>
    <w:rsid w:val="00553E07"/>
    <w:rsid w:val="00555CEA"/>
    <w:rsid w:val="005560FD"/>
    <w:rsid w:val="0055632E"/>
    <w:rsid w:val="00557E0C"/>
    <w:rsid w:val="005609B9"/>
    <w:rsid w:val="005612F5"/>
    <w:rsid w:val="00561562"/>
    <w:rsid w:val="00561672"/>
    <w:rsid w:val="00561C0C"/>
    <w:rsid w:val="005654CA"/>
    <w:rsid w:val="00565F41"/>
    <w:rsid w:val="00566E22"/>
    <w:rsid w:val="005718D5"/>
    <w:rsid w:val="00571D7B"/>
    <w:rsid w:val="00571DD8"/>
    <w:rsid w:val="00573D50"/>
    <w:rsid w:val="005754B5"/>
    <w:rsid w:val="0057709E"/>
    <w:rsid w:val="005777E2"/>
    <w:rsid w:val="00581A99"/>
    <w:rsid w:val="00581BBE"/>
    <w:rsid w:val="0058290D"/>
    <w:rsid w:val="0058381C"/>
    <w:rsid w:val="00583ED9"/>
    <w:rsid w:val="00585253"/>
    <w:rsid w:val="005853ED"/>
    <w:rsid w:val="00585939"/>
    <w:rsid w:val="00586A5C"/>
    <w:rsid w:val="005902CD"/>
    <w:rsid w:val="005903D0"/>
    <w:rsid w:val="005913BC"/>
    <w:rsid w:val="005916D6"/>
    <w:rsid w:val="005919D6"/>
    <w:rsid w:val="00591A9B"/>
    <w:rsid w:val="00591F62"/>
    <w:rsid w:val="00592286"/>
    <w:rsid w:val="00592338"/>
    <w:rsid w:val="0059394D"/>
    <w:rsid w:val="00593A34"/>
    <w:rsid w:val="00594018"/>
    <w:rsid w:val="0059417C"/>
    <w:rsid w:val="00595165"/>
    <w:rsid w:val="00595668"/>
    <w:rsid w:val="00596209"/>
    <w:rsid w:val="005968CC"/>
    <w:rsid w:val="005A19A6"/>
    <w:rsid w:val="005A21B8"/>
    <w:rsid w:val="005A22E0"/>
    <w:rsid w:val="005A28BC"/>
    <w:rsid w:val="005A3A0F"/>
    <w:rsid w:val="005A3DD4"/>
    <w:rsid w:val="005A3E1B"/>
    <w:rsid w:val="005A4B38"/>
    <w:rsid w:val="005A66D6"/>
    <w:rsid w:val="005A7A2B"/>
    <w:rsid w:val="005B0120"/>
    <w:rsid w:val="005B0735"/>
    <w:rsid w:val="005B1774"/>
    <w:rsid w:val="005B1BD3"/>
    <w:rsid w:val="005B2EAE"/>
    <w:rsid w:val="005B3949"/>
    <w:rsid w:val="005B4930"/>
    <w:rsid w:val="005B4A1C"/>
    <w:rsid w:val="005B5A7F"/>
    <w:rsid w:val="005B5D1F"/>
    <w:rsid w:val="005B5F04"/>
    <w:rsid w:val="005B6505"/>
    <w:rsid w:val="005B68BB"/>
    <w:rsid w:val="005B6ECE"/>
    <w:rsid w:val="005B714A"/>
    <w:rsid w:val="005B7818"/>
    <w:rsid w:val="005C0441"/>
    <w:rsid w:val="005C0448"/>
    <w:rsid w:val="005C0838"/>
    <w:rsid w:val="005C0D6E"/>
    <w:rsid w:val="005C123B"/>
    <w:rsid w:val="005C2FA3"/>
    <w:rsid w:val="005C2FE4"/>
    <w:rsid w:val="005C353A"/>
    <w:rsid w:val="005C3579"/>
    <w:rsid w:val="005C3DB1"/>
    <w:rsid w:val="005C4ECD"/>
    <w:rsid w:val="005C5021"/>
    <w:rsid w:val="005C552E"/>
    <w:rsid w:val="005C5C19"/>
    <w:rsid w:val="005C5E8D"/>
    <w:rsid w:val="005C6B33"/>
    <w:rsid w:val="005C6EDB"/>
    <w:rsid w:val="005C7561"/>
    <w:rsid w:val="005C7739"/>
    <w:rsid w:val="005C79B2"/>
    <w:rsid w:val="005D0F64"/>
    <w:rsid w:val="005D1B14"/>
    <w:rsid w:val="005D2421"/>
    <w:rsid w:val="005D2DC1"/>
    <w:rsid w:val="005D3F26"/>
    <w:rsid w:val="005D4A3C"/>
    <w:rsid w:val="005D5460"/>
    <w:rsid w:val="005D691E"/>
    <w:rsid w:val="005E041A"/>
    <w:rsid w:val="005E0797"/>
    <w:rsid w:val="005E0F54"/>
    <w:rsid w:val="005E18F4"/>
    <w:rsid w:val="005E19DB"/>
    <w:rsid w:val="005E1BC6"/>
    <w:rsid w:val="005E23A2"/>
    <w:rsid w:val="005E3D50"/>
    <w:rsid w:val="005E4924"/>
    <w:rsid w:val="005E4C58"/>
    <w:rsid w:val="005E4E6C"/>
    <w:rsid w:val="005E5EB2"/>
    <w:rsid w:val="005E6FF6"/>
    <w:rsid w:val="005E73B4"/>
    <w:rsid w:val="005E74D0"/>
    <w:rsid w:val="005E77B9"/>
    <w:rsid w:val="005F05D0"/>
    <w:rsid w:val="005F1192"/>
    <w:rsid w:val="005F14C1"/>
    <w:rsid w:val="005F261B"/>
    <w:rsid w:val="005F2923"/>
    <w:rsid w:val="005F2A79"/>
    <w:rsid w:val="005F3F7E"/>
    <w:rsid w:val="005F5AC7"/>
    <w:rsid w:val="005F705F"/>
    <w:rsid w:val="006010BA"/>
    <w:rsid w:val="006019E2"/>
    <w:rsid w:val="00602043"/>
    <w:rsid w:val="006022F6"/>
    <w:rsid w:val="00603F6D"/>
    <w:rsid w:val="00606938"/>
    <w:rsid w:val="00606F56"/>
    <w:rsid w:val="00607452"/>
    <w:rsid w:val="006100CA"/>
    <w:rsid w:val="00610F0B"/>
    <w:rsid w:val="00611B2D"/>
    <w:rsid w:val="00612A29"/>
    <w:rsid w:val="00612DB8"/>
    <w:rsid w:val="00612E4F"/>
    <w:rsid w:val="00613D4C"/>
    <w:rsid w:val="00613EC7"/>
    <w:rsid w:val="006145B6"/>
    <w:rsid w:val="00615B5D"/>
    <w:rsid w:val="00616DDF"/>
    <w:rsid w:val="00617629"/>
    <w:rsid w:val="00617962"/>
    <w:rsid w:val="00617FE7"/>
    <w:rsid w:val="00620217"/>
    <w:rsid w:val="006205BF"/>
    <w:rsid w:val="00622382"/>
    <w:rsid w:val="006234A8"/>
    <w:rsid w:val="00624227"/>
    <w:rsid w:val="00624DA9"/>
    <w:rsid w:val="00625669"/>
    <w:rsid w:val="006267BF"/>
    <w:rsid w:val="00632696"/>
    <w:rsid w:val="00632B43"/>
    <w:rsid w:val="00632B6C"/>
    <w:rsid w:val="00632CA4"/>
    <w:rsid w:val="00634311"/>
    <w:rsid w:val="006346DA"/>
    <w:rsid w:val="00634B8F"/>
    <w:rsid w:val="00635C0F"/>
    <w:rsid w:val="0063601E"/>
    <w:rsid w:val="00636FB1"/>
    <w:rsid w:val="00637017"/>
    <w:rsid w:val="00637213"/>
    <w:rsid w:val="00637ED9"/>
    <w:rsid w:val="006402BC"/>
    <w:rsid w:val="00640422"/>
    <w:rsid w:val="00640553"/>
    <w:rsid w:val="0064063B"/>
    <w:rsid w:val="0064073A"/>
    <w:rsid w:val="00640897"/>
    <w:rsid w:val="0064290F"/>
    <w:rsid w:val="00642DC8"/>
    <w:rsid w:val="00643F67"/>
    <w:rsid w:val="00644774"/>
    <w:rsid w:val="0064497D"/>
    <w:rsid w:val="00644EA9"/>
    <w:rsid w:val="00645A6E"/>
    <w:rsid w:val="00645F34"/>
    <w:rsid w:val="00647742"/>
    <w:rsid w:val="006502B6"/>
    <w:rsid w:val="00650A09"/>
    <w:rsid w:val="00650A69"/>
    <w:rsid w:val="00651D1C"/>
    <w:rsid w:val="00653519"/>
    <w:rsid w:val="00653F6C"/>
    <w:rsid w:val="00654689"/>
    <w:rsid w:val="006548FA"/>
    <w:rsid w:val="00655088"/>
    <w:rsid w:val="00655555"/>
    <w:rsid w:val="006556C6"/>
    <w:rsid w:val="00655ABA"/>
    <w:rsid w:val="00656499"/>
    <w:rsid w:val="00656957"/>
    <w:rsid w:val="00657025"/>
    <w:rsid w:val="006571EE"/>
    <w:rsid w:val="00660180"/>
    <w:rsid w:val="00660207"/>
    <w:rsid w:val="006606C9"/>
    <w:rsid w:val="006621E1"/>
    <w:rsid w:val="006622F4"/>
    <w:rsid w:val="00662BAB"/>
    <w:rsid w:val="00662D07"/>
    <w:rsid w:val="006639D6"/>
    <w:rsid w:val="006639EA"/>
    <w:rsid w:val="00664707"/>
    <w:rsid w:val="00665C03"/>
    <w:rsid w:val="00665DE3"/>
    <w:rsid w:val="006665EE"/>
    <w:rsid w:val="00666FB1"/>
    <w:rsid w:val="00667AF0"/>
    <w:rsid w:val="00670786"/>
    <w:rsid w:val="00670E94"/>
    <w:rsid w:val="00671270"/>
    <w:rsid w:val="0067171D"/>
    <w:rsid w:val="00671E43"/>
    <w:rsid w:val="00672503"/>
    <w:rsid w:val="00673600"/>
    <w:rsid w:val="0067462D"/>
    <w:rsid w:val="00674C43"/>
    <w:rsid w:val="00674E01"/>
    <w:rsid w:val="00675409"/>
    <w:rsid w:val="00675949"/>
    <w:rsid w:val="00677EF8"/>
    <w:rsid w:val="0068016B"/>
    <w:rsid w:val="00680BE4"/>
    <w:rsid w:val="00682935"/>
    <w:rsid w:val="00683604"/>
    <w:rsid w:val="00683871"/>
    <w:rsid w:val="0068417F"/>
    <w:rsid w:val="006843A2"/>
    <w:rsid w:val="00684A78"/>
    <w:rsid w:val="00684EAD"/>
    <w:rsid w:val="00685A9F"/>
    <w:rsid w:val="0068639D"/>
    <w:rsid w:val="00686E80"/>
    <w:rsid w:val="00687FD5"/>
    <w:rsid w:val="0069070E"/>
    <w:rsid w:val="00691045"/>
    <w:rsid w:val="0069196E"/>
    <w:rsid w:val="00691CF7"/>
    <w:rsid w:val="00691F9C"/>
    <w:rsid w:val="00691FD9"/>
    <w:rsid w:val="00693151"/>
    <w:rsid w:val="006931B2"/>
    <w:rsid w:val="006942E3"/>
    <w:rsid w:val="00694E05"/>
    <w:rsid w:val="00694F88"/>
    <w:rsid w:val="00694F96"/>
    <w:rsid w:val="006953C3"/>
    <w:rsid w:val="00695977"/>
    <w:rsid w:val="00695C2D"/>
    <w:rsid w:val="0069675F"/>
    <w:rsid w:val="00696949"/>
    <w:rsid w:val="00697597"/>
    <w:rsid w:val="006A1012"/>
    <w:rsid w:val="006A1254"/>
    <w:rsid w:val="006A1AAB"/>
    <w:rsid w:val="006A1BBF"/>
    <w:rsid w:val="006A2D39"/>
    <w:rsid w:val="006A306F"/>
    <w:rsid w:val="006A3538"/>
    <w:rsid w:val="006A3B03"/>
    <w:rsid w:val="006A4C98"/>
    <w:rsid w:val="006A4C9E"/>
    <w:rsid w:val="006A543C"/>
    <w:rsid w:val="006A7521"/>
    <w:rsid w:val="006A770C"/>
    <w:rsid w:val="006A788C"/>
    <w:rsid w:val="006B0494"/>
    <w:rsid w:val="006B1688"/>
    <w:rsid w:val="006B18C7"/>
    <w:rsid w:val="006B3324"/>
    <w:rsid w:val="006B3D27"/>
    <w:rsid w:val="006B425A"/>
    <w:rsid w:val="006B4398"/>
    <w:rsid w:val="006B4D27"/>
    <w:rsid w:val="006B687D"/>
    <w:rsid w:val="006B74DE"/>
    <w:rsid w:val="006B7B0F"/>
    <w:rsid w:val="006B7FA2"/>
    <w:rsid w:val="006C0AC5"/>
    <w:rsid w:val="006C18DD"/>
    <w:rsid w:val="006C1EAA"/>
    <w:rsid w:val="006C2998"/>
    <w:rsid w:val="006C2B56"/>
    <w:rsid w:val="006C2F71"/>
    <w:rsid w:val="006C3BA7"/>
    <w:rsid w:val="006C558B"/>
    <w:rsid w:val="006C606C"/>
    <w:rsid w:val="006C7F08"/>
    <w:rsid w:val="006C7F5D"/>
    <w:rsid w:val="006D093A"/>
    <w:rsid w:val="006D0A70"/>
    <w:rsid w:val="006D187C"/>
    <w:rsid w:val="006D20AD"/>
    <w:rsid w:val="006D2DE8"/>
    <w:rsid w:val="006D2F03"/>
    <w:rsid w:val="006D4EE7"/>
    <w:rsid w:val="006D5079"/>
    <w:rsid w:val="006D60AB"/>
    <w:rsid w:val="006D61D5"/>
    <w:rsid w:val="006D6F65"/>
    <w:rsid w:val="006D75CE"/>
    <w:rsid w:val="006E0890"/>
    <w:rsid w:val="006E0A09"/>
    <w:rsid w:val="006E1721"/>
    <w:rsid w:val="006E1A44"/>
    <w:rsid w:val="006E1AF4"/>
    <w:rsid w:val="006E2692"/>
    <w:rsid w:val="006E2A30"/>
    <w:rsid w:val="006E2BF1"/>
    <w:rsid w:val="006E2C4D"/>
    <w:rsid w:val="006E39C2"/>
    <w:rsid w:val="006E3D9A"/>
    <w:rsid w:val="006E48EA"/>
    <w:rsid w:val="006E5205"/>
    <w:rsid w:val="006E57E1"/>
    <w:rsid w:val="006E5A4E"/>
    <w:rsid w:val="006E7884"/>
    <w:rsid w:val="006F1218"/>
    <w:rsid w:val="006F1F3A"/>
    <w:rsid w:val="006F3356"/>
    <w:rsid w:val="006F3F95"/>
    <w:rsid w:val="006F409E"/>
    <w:rsid w:val="006F4129"/>
    <w:rsid w:val="006F4945"/>
    <w:rsid w:val="006F51D3"/>
    <w:rsid w:val="006F5BD4"/>
    <w:rsid w:val="006F5E8F"/>
    <w:rsid w:val="006F69F4"/>
    <w:rsid w:val="0070134E"/>
    <w:rsid w:val="007018C6"/>
    <w:rsid w:val="007033B0"/>
    <w:rsid w:val="007036AF"/>
    <w:rsid w:val="007040CD"/>
    <w:rsid w:val="00704C0A"/>
    <w:rsid w:val="00705CAB"/>
    <w:rsid w:val="007075B8"/>
    <w:rsid w:val="00710196"/>
    <w:rsid w:val="00710D14"/>
    <w:rsid w:val="007120A4"/>
    <w:rsid w:val="00712B4A"/>
    <w:rsid w:val="00712BBE"/>
    <w:rsid w:val="00712E75"/>
    <w:rsid w:val="007149C9"/>
    <w:rsid w:val="00714ABD"/>
    <w:rsid w:val="00714D1F"/>
    <w:rsid w:val="00714FBB"/>
    <w:rsid w:val="00720C0F"/>
    <w:rsid w:val="00720F46"/>
    <w:rsid w:val="00721716"/>
    <w:rsid w:val="00721732"/>
    <w:rsid w:val="00721AAA"/>
    <w:rsid w:val="007228BD"/>
    <w:rsid w:val="0072293E"/>
    <w:rsid w:val="00722A7C"/>
    <w:rsid w:val="00722ABA"/>
    <w:rsid w:val="007233CA"/>
    <w:rsid w:val="0072468F"/>
    <w:rsid w:val="00724B23"/>
    <w:rsid w:val="00725868"/>
    <w:rsid w:val="007260F4"/>
    <w:rsid w:val="00730047"/>
    <w:rsid w:val="00731A46"/>
    <w:rsid w:val="00731D1A"/>
    <w:rsid w:val="0073293F"/>
    <w:rsid w:val="00732A2C"/>
    <w:rsid w:val="00733050"/>
    <w:rsid w:val="007334EE"/>
    <w:rsid w:val="0073514E"/>
    <w:rsid w:val="00735349"/>
    <w:rsid w:val="007359B0"/>
    <w:rsid w:val="0073622A"/>
    <w:rsid w:val="0073649E"/>
    <w:rsid w:val="00737062"/>
    <w:rsid w:val="00741B21"/>
    <w:rsid w:val="00742D41"/>
    <w:rsid w:val="0074320B"/>
    <w:rsid w:val="00744B77"/>
    <w:rsid w:val="0074529A"/>
    <w:rsid w:val="00745C8E"/>
    <w:rsid w:val="007472A2"/>
    <w:rsid w:val="00747D10"/>
    <w:rsid w:val="00750026"/>
    <w:rsid w:val="0075027E"/>
    <w:rsid w:val="007503E5"/>
    <w:rsid w:val="00750B85"/>
    <w:rsid w:val="00750BC6"/>
    <w:rsid w:val="00751456"/>
    <w:rsid w:val="00751F1F"/>
    <w:rsid w:val="007525F3"/>
    <w:rsid w:val="00752CDA"/>
    <w:rsid w:val="00752FA3"/>
    <w:rsid w:val="00752FAE"/>
    <w:rsid w:val="00753406"/>
    <w:rsid w:val="0075367D"/>
    <w:rsid w:val="00753DC1"/>
    <w:rsid w:val="00753F31"/>
    <w:rsid w:val="00754A11"/>
    <w:rsid w:val="00754DC9"/>
    <w:rsid w:val="0075799D"/>
    <w:rsid w:val="00760313"/>
    <w:rsid w:val="007607FE"/>
    <w:rsid w:val="00760AB6"/>
    <w:rsid w:val="00761741"/>
    <w:rsid w:val="0076243C"/>
    <w:rsid w:val="00763036"/>
    <w:rsid w:val="00763164"/>
    <w:rsid w:val="00763949"/>
    <w:rsid w:val="007657EF"/>
    <w:rsid w:val="00770AA7"/>
    <w:rsid w:val="00771214"/>
    <w:rsid w:val="00772212"/>
    <w:rsid w:val="00772409"/>
    <w:rsid w:val="0077348F"/>
    <w:rsid w:val="00774619"/>
    <w:rsid w:val="00776B44"/>
    <w:rsid w:val="00777336"/>
    <w:rsid w:val="00780457"/>
    <w:rsid w:val="007805D6"/>
    <w:rsid w:val="00781809"/>
    <w:rsid w:val="00782C8B"/>
    <w:rsid w:val="00782F6C"/>
    <w:rsid w:val="00783CD7"/>
    <w:rsid w:val="007849E9"/>
    <w:rsid w:val="0078527C"/>
    <w:rsid w:val="00785D03"/>
    <w:rsid w:val="0078635E"/>
    <w:rsid w:val="007868F9"/>
    <w:rsid w:val="00787C1E"/>
    <w:rsid w:val="00787E1C"/>
    <w:rsid w:val="007904DC"/>
    <w:rsid w:val="00791A1C"/>
    <w:rsid w:val="00791DB4"/>
    <w:rsid w:val="0079208B"/>
    <w:rsid w:val="0079219A"/>
    <w:rsid w:val="00792435"/>
    <w:rsid w:val="00792DD9"/>
    <w:rsid w:val="00793083"/>
    <w:rsid w:val="0079379A"/>
    <w:rsid w:val="00793A59"/>
    <w:rsid w:val="00793C3C"/>
    <w:rsid w:val="007943B3"/>
    <w:rsid w:val="007967EF"/>
    <w:rsid w:val="00797885"/>
    <w:rsid w:val="007A1C83"/>
    <w:rsid w:val="007A1F0C"/>
    <w:rsid w:val="007A292A"/>
    <w:rsid w:val="007A421A"/>
    <w:rsid w:val="007A5026"/>
    <w:rsid w:val="007A5861"/>
    <w:rsid w:val="007A6187"/>
    <w:rsid w:val="007A6342"/>
    <w:rsid w:val="007A66D7"/>
    <w:rsid w:val="007A76C8"/>
    <w:rsid w:val="007A7B78"/>
    <w:rsid w:val="007A7CFC"/>
    <w:rsid w:val="007B069F"/>
    <w:rsid w:val="007B0F44"/>
    <w:rsid w:val="007B1619"/>
    <w:rsid w:val="007B168E"/>
    <w:rsid w:val="007B29FE"/>
    <w:rsid w:val="007B3DE8"/>
    <w:rsid w:val="007B42C5"/>
    <w:rsid w:val="007B46D0"/>
    <w:rsid w:val="007B4801"/>
    <w:rsid w:val="007B5A58"/>
    <w:rsid w:val="007B5B8E"/>
    <w:rsid w:val="007B62C6"/>
    <w:rsid w:val="007B7424"/>
    <w:rsid w:val="007B7505"/>
    <w:rsid w:val="007B7730"/>
    <w:rsid w:val="007B77DC"/>
    <w:rsid w:val="007C005E"/>
    <w:rsid w:val="007C09E5"/>
    <w:rsid w:val="007C123F"/>
    <w:rsid w:val="007C12E6"/>
    <w:rsid w:val="007C19FC"/>
    <w:rsid w:val="007C1E23"/>
    <w:rsid w:val="007C21C3"/>
    <w:rsid w:val="007C388C"/>
    <w:rsid w:val="007C5019"/>
    <w:rsid w:val="007C55DF"/>
    <w:rsid w:val="007C6101"/>
    <w:rsid w:val="007C634C"/>
    <w:rsid w:val="007C65B0"/>
    <w:rsid w:val="007C6D5E"/>
    <w:rsid w:val="007C75E9"/>
    <w:rsid w:val="007D16E5"/>
    <w:rsid w:val="007D24AD"/>
    <w:rsid w:val="007D2794"/>
    <w:rsid w:val="007D2ECF"/>
    <w:rsid w:val="007D5DC2"/>
    <w:rsid w:val="007D5DD2"/>
    <w:rsid w:val="007D7C5A"/>
    <w:rsid w:val="007E05BF"/>
    <w:rsid w:val="007E10A5"/>
    <w:rsid w:val="007E1570"/>
    <w:rsid w:val="007E1E0F"/>
    <w:rsid w:val="007E2923"/>
    <w:rsid w:val="007E2B49"/>
    <w:rsid w:val="007E43DA"/>
    <w:rsid w:val="007E4594"/>
    <w:rsid w:val="007E4A68"/>
    <w:rsid w:val="007E6A21"/>
    <w:rsid w:val="007E6BB5"/>
    <w:rsid w:val="007E735A"/>
    <w:rsid w:val="007F12D0"/>
    <w:rsid w:val="007F13E2"/>
    <w:rsid w:val="007F1CA3"/>
    <w:rsid w:val="007F368F"/>
    <w:rsid w:val="007F3B2B"/>
    <w:rsid w:val="007F438F"/>
    <w:rsid w:val="007F5B1D"/>
    <w:rsid w:val="007F6B88"/>
    <w:rsid w:val="007F6DE9"/>
    <w:rsid w:val="007F7008"/>
    <w:rsid w:val="007F747F"/>
    <w:rsid w:val="0080063A"/>
    <w:rsid w:val="008009A3"/>
    <w:rsid w:val="008012BB"/>
    <w:rsid w:val="0080137F"/>
    <w:rsid w:val="00802D63"/>
    <w:rsid w:val="00803374"/>
    <w:rsid w:val="00803705"/>
    <w:rsid w:val="008043B2"/>
    <w:rsid w:val="00804854"/>
    <w:rsid w:val="00804AD9"/>
    <w:rsid w:val="00805D8E"/>
    <w:rsid w:val="00806906"/>
    <w:rsid w:val="00806B65"/>
    <w:rsid w:val="008078A1"/>
    <w:rsid w:val="00807999"/>
    <w:rsid w:val="00810076"/>
    <w:rsid w:val="008129D7"/>
    <w:rsid w:val="00812E20"/>
    <w:rsid w:val="00813BE6"/>
    <w:rsid w:val="008142DE"/>
    <w:rsid w:val="0081566B"/>
    <w:rsid w:val="008159D8"/>
    <w:rsid w:val="00816FA3"/>
    <w:rsid w:val="00817FBF"/>
    <w:rsid w:val="00820436"/>
    <w:rsid w:val="00820726"/>
    <w:rsid w:val="00821D8F"/>
    <w:rsid w:val="008229F1"/>
    <w:rsid w:val="00822B4B"/>
    <w:rsid w:val="00822D80"/>
    <w:rsid w:val="00823660"/>
    <w:rsid w:val="008236AD"/>
    <w:rsid w:val="00823748"/>
    <w:rsid w:val="00825549"/>
    <w:rsid w:val="00827A96"/>
    <w:rsid w:val="00830870"/>
    <w:rsid w:val="008312C8"/>
    <w:rsid w:val="008313C4"/>
    <w:rsid w:val="00832B10"/>
    <w:rsid w:val="0083355D"/>
    <w:rsid w:val="0083396A"/>
    <w:rsid w:val="008341DA"/>
    <w:rsid w:val="00834808"/>
    <w:rsid w:val="00835217"/>
    <w:rsid w:val="008356FE"/>
    <w:rsid w:val="00835C32"/>
    <w:rsid w:val="00835E26"/>
    <w:rsid w:val="00835E5D"/>
    <w:rsid w:val="00841503"/>
    <w:rsid w:val="00841EE1"/>
    <w:rsid w:val="00842101"/>
    <w:rsid w:val="00842B95"/>
    <w:rsid w:val="00842C4C"/>
    <w:rsid w:val="0084328D"/>
    <w:rsid w:val="0084503C"/>
    <w:rsid w:val="00845A0D"/>
    <w:rsid w:val="00845A70"/>
    <w:rsid w:val="0085002E"/>
    <w:rsid w:val="00850920"/>
    <w:rsid w:val="00850FFE"/>
    <w:rsid w:val="00851967"/>
    <w:rsid w:val="00851AA1"/>
    <w:rsid w:val="0085497C"/>
    <w:rsid w:val="00854E5A"/>
    <w:rsid w:val="008561E0"/>
    <w:rsid w:val="00856EBD"/>
    <w:rsid w:val="00857158"/>
    <w:rsid w:val="008600D5"/>
    <w:rsid w:val="00860A46"/>
    <w:rsid w:val="00861A1D"/>
    <w:rsid w:val="00862464"/>
    <w:rsid w:val="00863CAF"/>
    <w:rsid w:val="00865015"/>
    <w:rsid w:val="008660C4"/>
    <w:rsid w:val="00866D07"/>
    <w:rsid w:val="00867362"/>
    <w:rsid w:val="008715A0"/>
    <w:rsid w:val="008717B4"/>
    <w:rsid w:val="008722A5"/>
    <w:rsid w:val="008733D8"/>
    <w:rsid w:val="008739BA"/>
    <w:rsid w:val="00873ADB"/>
    <w:rsid w:val="00874B83"/>
    <w:rsid w:val="00874E6B"/>
    <w:rsid w:val="0087514B"/>
    <w:rsid w:val="00875B09"/>
    <w:rsid w:val="00876633"/>
    <w:rsid w:val="00876E6B"/>
    <w:rsid w:val="00877881"/>
    <w:rsid w:val="00877E45"/>
    <w:rsid w:val="00880639"/>
    <w:rsid w:val="00880AC7"/>
    <w:rsid w:val="00881127"/>
    <w:rsid w:val="00882CF8"/>
    <w:rsid w:val="00883914"/>
    <w:rsid w:val="00883F06"/>
    <w:rsid w:val="00886549"/>
    <w:rsid w:val="00887377"/>
    <w:rsid w:val="00887799"/>
    <w:rsid w:val="00887F75"/>
    <w:rsid w:val="00890783"/>
    <w:rsid w:val="008909E0"/>
    <w:rsid w:val="00890AE8"/>
    <w:rsid w:val="0089171E"/>
    <w:rsid w:val="00891D07"/>
    <w:rsid w:val="0089243C"/>
    <w:rsid w:val="008929D6"/>
    <w:rsid w:val="008935BA"/>
    <w:rsid w:val="008936C8"/>
    <w:rsid w:val="00894834"/>
    <w:rsid w:val="0089533D"/>
    <w:rsid w:val="008964EB"/>
    <w:rsid w:val="0089664C"/>
    <w:rsid w:val="00896852"/>
    <w:rsid w:val="008971F5"/>
    <w:rsid w:val="00897558"/>
    <w:rsid w:val="008A15BC"/>
    <w:rsid w:val="008A2122"/>
    <w:rsid w:val="008A221B"/>
    <w:rsid w:val="008A2349"/>
    <w:rsid w:val="008A3A2A"/>
    <w:rsid w:val="008A4012"/>
    <w:rsid w:val="008A5A8E"/>
    <w:rsid w:val="008A6000"/>
    <w:rsid w:val="008A60BE"/>
    <w:rsid w:val="008A6CDB"/>
    <w:rsid w:val="008A72D8"/>
    <w:rsid w:val="008A7B44"/>
    <w:rsid w:val="008B151E"/>
    <w:rsid w:val="008B1825"/>
    <w:rsid w:val="008B2769"/>
    <w:rsid w:val="008B3103"/>
    <w:rsid w:val="008B375D"/>
    <w:rsid w:val="008B423D"/>
    <w:rsid w:val="008B7140"/>
    <w:rsid w:val="008B7454"/>
    <w:rsid w:val="008B770E"/>
    <w:rsid w:val="008C1BA6"/>
    <w:rsid w:val="008C25BA"/>
    <w:rsid w:val="008C30E2"/>
    <w:rsid w:val="008C3A77"/>
    <w:rsid w:val="008C3B83"/>
    <w:rsid w:val="008C3C4D"/>
    <w:rsid w:val="008C43B6"/>
    <w:rsid w:val="008C4904"/>
    <w:rsid w:val="008C4D6B"/>
    <w:rsid w:val="008C4F58"/>
    <w:rsid w:val="008C58EF"/>
    <w:rsid w:val="008C67D9"/>
    <w:rsid w:val="008C6971"/>
    <w:rsid w:val="008C6AB6"/>
    <w:rsid w:val="008C75A9"/>
    <w:rsid w:val="008C75E3"/>
    <w:rsid w:val="008C7661"/>
    <w:rsid w:val="008D0C5B"/>
    <w:rsid w:val="008D192C"/>
    <w:rsid w:val="008D1989"/>
    <w:rsid w:val="008D1B19"/>
    <w:rsid w:val="008D3321"/>
    <w:rsid w:val="008D3814"/>
    <w:rsid w:val="008D4961"/>
    <w:rsid w:val="008D5650"/>
    <w:rsid w:val="008D5C6D"/>
    <w:rsid w:val="008D6194"/>
    <w:rsid w:val="008D6302"/>
    <w:rsid w:val="008D7FF9"/>
    <w:rsid w:val="008E05F5"/>
    <w:rsid w:val="008E41FA"/>
    <w:rsid w:val="008E457A"/>
    <w:rsid w:val="008E4715"/>
    <w:rsid w:val="008E47BA"/>
    <w:rsid w:val="008E4C13"/>
    <w:rsid w:val="008E4CF2"/>
    <w:rsid w:val="008E5076"/>
    <w:rsid w:val="008E559E"/>
    <w:rsid w:val="008E5B86"/>
    <w:rsid w:val="008E6912"/>
    <w:rsid w:val="008E6A08"/>
    <w:rsid w:val="008E7086"/>
    <w:rsid w:val="008E7195"/>
    <w:rsid w:val="008E77CD"/>
    <w:rsid w:val="008F0E26"/>
    <w:rsid w:val="008F293E"/>
    <w:rsid w:val="008F3C67"/>
    <w:rsid w:val="008F460E"/>
    <w:rsid w:val="008F5C8A"/>
    <w:rsid w:val="008F5D46"/>
    <w:rsid w:val="008F63E4"/>
    <w:rsid w:val="008F648B"/>
    <w:rsid w:val="008F64BE"/>
    <w:rsid w:val="008F6A32"/>
    <w:rsid w:val="008F73CB"/>
    <w:rsid w:val="009010BC"/>
    <w:rsid w:val="0090198B"/>
    <w:rsid w:val="00901B39"/>
    <w:rsid w:val="00901FB6"/>
    <w:rsid w:val="009024BA"/>
    <w:rsid w:val="009029D0"/>
    <w:rsid w:val="00902CD4"/>
    <w:rsid w:val="00902FB1"/>
    <w:rsid w:val="00903925"/>
    <w:rsid w:val="00903A28"/>
    <w:rsid w:val="00904DA7"/>
    <w:rsid w:val="00905AF6"/>
    <w:rsid w:val="009067F8"/>
    <w:rsid w:val="00906CCE"/>
    <w:rsid w:val="00907A7B"/>
    <w:rsid w:val="00912051"/>
    <w:rsid w:val="00912189"/>
    <w:rsid w:val="009129CF"/>
    <w:rsid w:val="00912FB0"/>
    <w:rsid w:val="009133CE"/>
    <w:rsid w:val="00913A90"/>
    <w:rsid w:val="009142A9"/>
    <w:rsid w:val="009155A6"/>
    <w:rsid w:val="009157E5"/>
    <w:rsid w:val="00915DDF"/>
    <w:rsid w:val="00915FF2"/>
    <w:rsid w:val="00916BFE"/>
    <w:rsid w:val="00917551"/>
    <w:rsid w:val="0092037E"/>
    <w:rsid w:val="009219F2"/>
    <w:rsid w:val="00921CB2"/>
    <w:rsid w:val="00922A09"/>
    <w:rsid w:val="00923575"/>
    <w:rsid w:val="0092750A"/>
    <w:rsid w:val="009278B5"/>
    <w:rsid w:val="00927D2D"/>
    <w:rsid w:val="0093238C"/>
    <w:rsid w:val="00932C0D"/>
    <w:rsid w:val="00933234"/>
    <w:rsid w:val="00933A1B"/>
    <w:rsid w:val="00934433"/>
    <w:rsid w:val="00934796"/>
    <w:rsid w:val="00934DB1"/>
    <w:rsid w:val="0093533E"/>
    <w:rsid w:val="00935B99"/>
    <w:rsid w:val="009370F3"/>
    <w:rsid w:val="00937CF7"/>
    <w:rsid w:val="00937F6B"/>
    <w:rsid w:val="0094080B"/>
    <w:rsid w:val="00941114"/>
    <w:rsid w:val="00941EEF"/>
    <w:rsid w:val="00942E61"/>
    <w:rsid w:val="009433F6"/>
    <w:rsid w:val="00943471"/>
    <w:rsid w:val="009435CB"/>
    <w:rsid w:val="00943D43"/>
    <w:rsid w:val="00943F5C"/>
    <w:rsid w:val="00943FAC"/>
    <w:rsid w:val="00944B04"/>
    <w:rsid w:val="00945262"/>
    <w:rsid w:val="00946EBE"/>
    <w:rsid w:val="00947DAF"/>
    <w:rsid w:val="009503E8"/>
    <w:rsid w:val="00950656"/>
    <w:rsid w:val="009535AA"/>
    <w:rsid w:val="009536A1"/>
    <w:rsid w:val="00953BBF"/>
    <w:rsid w:val="00953D41"/>
    <w:rsid w:val="0095403F"/>
    <w:rsid w:val="00955031"/>
    <w:rsid w:val="00955467"/>
    <w:rsid w:val="00956069"/>
    <w:rsid w:val="00957705"/>
    <w:rsid w:val="00957CF9"/>
    <w:rsid w:val="00957F19"/>
    <w:rsid w:val="00960C19"/>
    <w:rsid w:val="00960FAD"/>
    <w:rsid w:val="00960FE0"/>
    <w:rsid w:val="009630B7"/>
    <w:rsid w:val="00963E5B"/>
    <w:rsid w:val="00963F06"/>
    <w:rsid w:val="009640FF"/>
    <w:rsid w:val="00964CE3"/>
    <w:rsid w:val="00965405"/>
    <w:rsid w:val="00966049"/>
    <w:rsid w:val="0096644E"/>
    <w:rsid w:val="00966470"/>
    <w:rsid w:val="00966A41"/>
    <w:rsid w:val="00967FF4"/>
    <w:rsid w:val="009704E9"/>
    <w:rsid w:val="00971DC4"/>
    <w:rsid w:val="0097212D"/>
    <w:rsid w:val="009729FF"/>
    <w:rsid w:val="00973D6D"/>
    <w:rsid w:val="0097412D"/>
    <w:rsid w:val="00977932"/>
    <w:rsid w:val="00977BF6"/>
    <w:rsid w:val="00977DEC"/>
    <w:rsid w:val="00980E5B"/>
    <w:rsid w:val="00981683"/>
    <w:rsid w:val="00981C99"/>
    <w:rsid w:val="00982BCC"/>
    <w:rsid w:val="00982DCB"/>
    <w:rsid w:val="00982FFC"/>
    <w:rsid w:val="00985242"/>
    <w:rsid w:val="0098525A"/>
    <w:rsid w:val="00985844"/>
    <w:rsid w:val="0098584F"/>
    <w:rsid w:val="00985B1C"/>
    <w:rsid w:val="00986162"/>
    <w:rsid w:val="00986266"/>
    <w:rsid w:val="0098694E"/>
    <w:rsid w:val="00986AC8"/>
    <w:rsid w:val="00987262"/>
    <w:rsid w:val="00987A59"/>
    <w:rsid w:val="00990941"/>
    <w:rsid w:val="0099141F"/>
    <w:rsid w:val="00991BD0"/>
    <w:rsid w:val="009933A4"/>
    <w:rsid w:val="0099393D"/>
    <w:rsid w:val="00993EFF"/>
    <w:rsid w:val="0099410D"/>
    <w:rsid w:val="00997480"/>
    <w:rsid w:val="00997A33"/>
    <w:rsid w:val="009A05AE"/>
    <w:rsid w:val="009A0F7B"/>
    <w:rsid w:val="009A1176"/>
    <w:rsid w:val="009A2FDF"/>
    <w:rsid w:val="009A49DD"/>
    <w:rsid w:val="009A5928"/>
    <w:rsid w:val="009A59FF"/>
    <w:rsid w:val="009A5B94"/>
    <w:rsid w:val="009A6B46"/>
    <w:rsid w:val="009A799F"/>
    <w:rsid w:val="009A7C7E"/>
    <w:rsid w:val="009A7E39"/>
    <w:rsid w:val="009B09D6"/>
    <w:rsid w:val="009B0C42"/>
    <w:rsid w:val="009B0CE7"/>
    <w:rsid w:val="009B1135"/>
    <w:rsid w:val="009B1A1C"/>
    <w:rsid w:val="009B210A"/>
    <w:rsid w:val="009B2A13"/>
    <w:rsid w:val="009B3B25"/>
    <w:rsid w:val="009B4A2F"/>
    <w:rsid w:val="009B5525"/>
    <w:rsid w:val="009B5FB7"/>
    <w:rsid w:val="009B5FE6"/>
    <w:rsid w:val="009B63EC"/>
    <w:rsid w:val="009C0346"/>
    <w:rsid w:val="009C10C0"/>
    <w:rsid w:val="009C1230"/>
    <w:rsid w:val="009C1D2C"/>
    <w:rsid w:val="009C20C9"/>
    <w:rsid w:val="009C21C4"/>
    <w:rsid w:val="009C363C"/>
    <w:rsid w:val="009C36A2"/>
    <w:rsid w:val="009C5673"/>
    <w:rsid w:val="009C56AB"/>
    <w:rsid w:val="009C687B"/>
    <w:rsid w:val="009C76BF"/>
    <w:rsid w:val="009D0628"/>
    <w:rsid w:val="009D3685"/>
    <w:rsid w:val="009D3F43"/>
    <w:rsid w:val="009D4954"/>
    <w:rsid w:val="009D4F31"/>
    <w:rsid w:val="009D5887"/>
    <w:rsid w:val="009D7614"/>
    <w:rsid w:val="009D77F4"/>
    <w:rsid w:val="009D7A0F"/>
    <w:rsid w:val="009E02B6"/>
    <w:rsid w:val="009E0581"/>
    <w:rsid w:val="009E1759"/>
    <w:rsid w:val="009E1CF4"/>
    <w:rsid w:val="009E252B"/>
    <w:rsid w:val="009E2F9B"/>
    <w:rsid w:val="009E3A97"/>
    <w:rsid w:val="009E3CDB"/>
    <w:rsid w:val="009E440F"/>
    <w:rsid w:val="009E4B09"/>
    <w:rsid w:val="009E755B"/>
    <w:rsid w:val="009F18D4"/>
    <w:rsid w:val="009F2060"/>
    <w:rsid w:val="009F2557"/>
    <w:rsid w:val="009F274B"/>
    <w:rsid w:val="009F36D2"/>
    <w:rsid w:val="009F4F1B"/>
    <w:rsid w:val="009F58FB"/>
    <w:rsid w:val="009F6371"/>
    <w:rsid w:val="009F6A6F"/>
    <w:rsid w:val="009F6D22"/>
    <w:rsid w:val="009F6DB3"/>
    <w:rsid w:val="009F7A57"/>
    <w:rsid w:val="00A01075"/>
    <w:rsid w:val="00A0160A"/>
    <w:rsid w:val="00A02431"/>
    <w:rsid w:val="00A030B3"/>
    <w:rsid w:val="00A0336E"/>
    <w:rsid w:val="00A03656"/>
    <w:rsid w:val="00A03FDE"/>
    <w:rsid w:val="00A05286"/>
    <w:rsid w:val="00A062C6"/>
    <w:rsid w:val="00A0718F"/>
    <w:rsid w:val="00A105D3"/>
    <w:rsid w:val="00A13789"/>
    <w:rsid w:val="00A13E40"/>
    <w:rsid w:val="00A14262"/>
    <w:rsid w:val="00A14634"/>
    <w:rsid w:val="00A146FB"/>
    <w:rsid w:val="00A15A64"/>
    <w:rsid w:val="00A15E85"/>
    <w:rsid w:val="00A16C5D"/>
    <w:rsid w:val="00A16E6C"/>
    <w:rsid w:val="00A219DF"/>
    <w:rsid w:val="00A21DBF"/>
    <w:rsid w:val="00A224A5"/>
    <w:rsid w:val="00A226CF"/>
    <w:rsid w:val="00A24655"/>
    <w:rsid w:val="00A2499A"/>
    <w:rsid w:val="00A25D32"/>
    <w:rsid w:val="00A25E79"/>
    <w:rsid w:val="00A261ED"/>
    <w:rsid w:val="00A3042E"/>
    <w:rsid w:val="00A30513"/>
    <w:rsid w:val="00A3102E"/>
    <w:rsid w:val="00A3148A"/>
    <w:rsid w:val="00A33571"/>
    <w:rsid w:val="00A35811"/>
    <w:rsid w:val="00A35B3D"/>
    <w:rsid w:val="00A35CB6"/>
    <w:rsid w:val="00A36171"/>
    <w:rsid w:val="00A361B2"/>
    <w:rsid w:val="00A367F1"/>
    <w:rsid w:val="00A36DB6"/>
    <w:rsid w:val="00A3788B"/>
    <w:rsid w:val="00A405F6"/>
    <w:rsid w:val="00A40C3E"/>
    <w:rsid w:val="00A40DAB"/>
    <w:rsid w:val="00A40FA5"/>
    <w:rsid w:val="00A42C46"/>
    <w:rsid w:val="00A42C7E"/>
    <w:rsid w:val="00A42F45"/>
    <w:rsid w:val="00A437D8"/>
    <w:rsid w:val="00A43E75"/>
    <w:rsid w:val="00A44A47"/>
    <w:rsid w:val="00A456A1"/>
    <w:rsid w:val="00A45E2E"/>
    <w:rsid w:val="00A479FA"/>
    <w:rsid w:val="00A50182"/>
    <w:rsid w:val="00A50C23"/>
    <w:rsid w:val="00A519D5"/>
    <w:rsid w:val="00A52BF3"/>
    <w:rsid w:val="00A52CB2"/>
    <w:rsid w:val="00A552FF"/>
    <w:rsid w:val="00A55B6C"/>
    <w:rsid w:val="00A5613F"/>
    <w:rsid w:val="00A563FD"/>
    <w:rsid w:val="00A56774"/>
    <w:rsid w:val="00A56C5B"/>
    <w:rsid w:val="00A606A2"/>
    <w:rsid w:val="00A6071D"/>
    <w:rsid w:val="00A6082A"/>
    <w:rsid w:val="00A61C07"/>
    <w:rsid w:val="00A62F68"/>
    <w:rsid w:val="00A63420"/>
    <w:rsid w:val="00A6350F"/>
    <w:rsid w:val="00A64354"/>
    <w:rsid w:val="00A648C2"/>
    <w:rsid w:val="00A64F19"/>
    <w:rsid w:val="00A65EF4"/>
    <w:rsid w:val="00A6623D"/>
    <w:rsid w:val="00A6789C"/>
    <w:rsid w:val="00A70BA0"/>
    <w:rsid w:val="00A71474"/>
    <w:rsid w:val="00A714B4"/>
    <w:rsid w:val="00A715EB"/>
    <w:rsid w:val="00A751AC"/>
    <w:rsid w:val="00A7550A"/>
    <w:rsid w:val="00A75686"/>
    <w:rsid w:val="00A75D36"/>
    <w:rsid w:val="00A76D0B"/>
    <w:rsid w:val="00A7711F"/>
    <w:rsid w:val="00A77AB8"/>
    <w:rsid w:val="00A77B6A"/>
    <w:rsid w:val="00A77C35"/>
    <w:rsid w:val="00A77F3D"/>
    <w:rsid w:val="00A803E9"/>
    <w:rsid w:val="00A81421"/>
    <w:rsid w:val="00A81A66"/>
    <w:rsid w:val="00A81B1E"/>
    <w:rsid w:val="00A82B6D"/>
    <w:rsid w:val="00A83D48"/>
    <w:rsid w:val="00A83EAD"/>
    <w:rsid w:val="00A84241"/>
    <w:rsid w:val="00A84660"/>
    <w:rsid w:val="00A862AC"/>
    <w:rsid w:val="00A862E6"/>
    <w:rsid w:val="00A86529"/>
    <w:rsid w:val="00A86535"/>
    <w:rsid w:val="00A871A7"/>
    <w:rsid w:val="00A87DD6"/>
    <w:rsid w:val="00A87EAA"/>
    <w:rsid w:val="00A90474"/>
    <w:rsid w:val="00A90A69"/>
    <w:rsid w:val="00A90B8A"/>
    <w:rsid w:val="00A9107D"/>
    <w:rsid w:val="00A910A8"/>
    <w:rsid w:val="00A911CF"/>
    <w:rsid w:val="00A91679"/>
    <w:rsid w:val="00A91D59"/>
    <w:rsid w:val="00A92170"/>
    <w:rsid w:val="00A9227B"/>
    <w:rsid w:val="00A92776"/>
    <w:rsid w:val="00A932C3"/>
    <w:rsid w:val="00A9509C"/>
    <w:rsid w:val="00A96B52"/>
    <w:rsid w:val="00A9711D"/>
    <w:rsid w:val="00A974EB"/>
    <w:rsid w:val="00A97F49"/>
    <w:rsid w:val="00AA0826"/>
    <w:rsid w:val="00AA0D53"/>
    <w:rsid w:val="00AA2706"/>
    <w:rsid w:val="00AA4F15"/>
    <w:rsid w:val="00AA6598"/>
    <w:rsid w:val="00AA66A1"/>
    <w:rsid w:val="00AA6F9D"/>
    <w:rsid w:val="00AA7703"/>
    <w:rsid w:val="00AA78BE"/>
    <w:rsid w:val="00AA7ACA"/>
    <w:rsid w:val="00AA7FE0"/>
    <w:rsid w:val="00AB0132"/>
    <w:rsid w:val="00AB04E3"/>
    <w:rsid w:val="00AB07A1"/>
    <w:rsid w:val="00AB0AD1"/>
    <w:rsid w:val="00AB0BF0"/>
    <w:rsid w:val="00AB1D9A"/>
    <w:rsid w:val="00AB1F5A"/>
    <w:rsid w:val="00AB2B6B"/>
    <w:rsid w:val="00AB30B8"/>
    <w:rsid w:val="00AB318C"/>
    <w:rsid w:val="00AB3260"/>
    <w:rsid w:val="00AB38A9"/>
    <w:rsid w:val="00AB4C3C"/>
    <w:rsid w:val="00AB5BBC"/>
    <w:rsid w:val="00AB5E57"/>
    <w:rsid w:val="00AB6244"/>
    <w:rsid w:val="00AB6B01"/>
    <w:rsid w:val="00AB6BEC"/>
    <w:rsid w:val="00AB6CA0"/>
    <w:rsid w:val="00AC1667"/>
    <w:rsid w:val="00AC19FA"/>
    <w:rsid w:val="00AC1D3F"/>
    <w:rsid w:val="00AC20A1"/>
    <w:rsid w:val="00AC427F"/>
    <w:rsid w:val="00AC490A"/>
    <w:rsid w:val="00AC4C66"/>
    <w:rsid w:val="00AC5E13"/>
    <w:rsid w:val="00AC65E5"/>
    <w:rsid w:val="00AC6991"/>
    <w:rsid w:val="00AC6EB9"/>
    <w:rsid w:val="00AD03EE"/>
    <w:rsid w:val="00AD0D26"/>
    <w:rsid w:val="00AD2214"/>
    <w:rsid w:val="00AD2454"/>
    <w:rsid w:val="00AD25E6"/>
    <w:rsid w:val="00AD2821"/>
    <w:rsid w:val="00AD303E"/>
    <w:rsid w:val="00AD35E0"/>
    <w:rsid w:val="00AD3E44"/>
    <w:rsid w:val="00AD4049"/>
    <w:rsid w:val="00AD49ED"/>
    <w:rsid w:val="00AD6D56"/>
    <w:rsid w:val="00AE01FF"/>
    <w:rsid w:val="00AE354D"/>
    <w:rsid w:val="00AE3E31"/>
    <w:rsid w:val="00AE4692"/>
    <w:rsid w:val="00AE481B"/>
    <w:rsid w:val="00AE568D"/>
    <w:rsid w:val="00AE5C53"/>
    <w:rsid w:val="00AE5F90"/>
    <w:rsid w:val="00AE61A9"/>
    <w:rsid w:val="00AE6894"/>
    <w:rsid w:val="00AE74D4"/>
    <w:rsid w:val="00AE7B91"/>
    <w:rsid w:val="00AF0952"/>
    <w:rsid w:val="00AF0B1C"/>
    <w:rsid w:val="00AF0CE2"/>
    <w:rsid w:val="00AF0E56"/>
    <w:rsid w:val="00AF0FB0"/>
    <w:rsid w:val="00AF3C27"/>
    <w:rsid w:val="00AF7260"/>
    <w:rsid w:val="00AF7517"/>
    <w:rsid w:val="00B001A0"/>
    <w:rsid w:val="00B00562"/>
    <w:rsid w:val="00B00A8F"/>
    <w:rsid w:val="00B00AC0"/>
    <w:rsid w:val="00B01536"/>
    <w:rsid w:val="00B01BD3"/>
    <w:rsid w:val="00B01F11"/>
    <w:rsid w:val="00B0274D"/>
    <w:rsid w:val="00B02BB0"/>
    <w:rsid w:val="00B03ABB"/>
    <w:rsid w:val="00B03B71"/>
    <w:rsid w:val="00B043AD"/>
    <w:rsid w:val="00B04D3C"/>
    <w:rsid w:val="00B052BE"/>
    <w:rsid w:val="00B055F3"/>
    <w:rsid w:val="00B05CA5"/>
    <w:rsid w:val="00B06225"/>
    <w:rsid w:val="00B07356"/>
    <w:rsid w:val="00B0751C"/>
    <w:rsid w:val="00B10050"/>
    <w:rsid w:val="00B10210"/>
    <w:rsid w:val="00B1075F"/>
    <w:rsid w:val="00B10A75"/>
    <w:rsid w:val="00B13048"/>
    <w:rsid w:val="00B13ED8"/>
    <w:rsid w:val="00B13F3E"/>
    <w:rsid w:val="00B157B4"/>
    <w:rsid w:val="00B15DB9"/>
    <w:rsid w:val="00B16AD7"/>
    <w:rsid w:val="00B1721D"/>
    <w:rsid w:val="00B17416"/>
    <w:rsid w:val="00B176A6"/>
    <w:rsid w:val="00B17D3C"/>
    <w:rsid w:val="00B2013A"/>
    <w:rsid w:val="00B209C8"/>
    <w:rsid w:val="00B21244"/>
    <w:rsid w:val="00B212E0"/>
    <w:rsid w:val="00B21BBC"/>
    <w:rsid w:val="00B22084"/>
    <w:rsid w:val="00B228CE"/>
    <w:rsid w:val="00B22BD3"/>
    <w:rsid w:val="00B23DCD"/>
    <w:rsid w:val="00B24958"/>
    <w:rsid w:val="00B25D1B"/>
    <w:rsid w:val="00B2747F"/>
    <w:rsid w:val="00B27601"/>
    <w:rsid w:val="00B27673"/>
    <w:rsid w:val="00B310EF"/>
    <w:rsid w:val="00B31396"/>
    <w:rsid w:val="00B32CF6"/>
    <w:rsid w:val="00B33130"/>
    <w:rsid w:val="00B33445"/>
    <w:rsid w:val="00B338BC"/>
    <w:rsid w:val="00B33C4C"/>
    <w:rsid w:val="00B343A1"/>
    <w:rsid w:val="00B34DF4"/>
    <w:rsid w:val="00B350DE"/>
    <w:rsid w:val="00B367B6"/>
    <w:rsid w:val="00B37A97"/>
    <w:rsid w:val="00B42218"/>
    <w:rsid w:val="00B44A46"/>
    <w:rsid w:val="00B44C21"/>
    <w:rsid w:val="00B45628"/>
    <w:rsid w:val="00B45813"/>
    <w:rsid w:val="00B45AD2"/>
    <w:rsid w:val="00B46058"/>
    <w:rsid w:val="00B4615C"/>
    <w:rsid w:val="00B467C1"/>
    <w:rsid w:val="00B468DA"/>
    <w:rsid w:val="00B46F9C"/>
    <w:rsid w:val="00B479FA"/>
    <w:rsid w:val="00B52715"/>
    <w:rsid w:val="00B54E3F"/>
    <w:rsid w:val="00B54F58"/>
    <w:rsid w:val="00B55122"/>
    <w:rsid w:val="00B553A8"/>
    <w:rsid w:val="00B55C9F"/>
    <w:rsid w:val="00B5606F"/>
    <w:rsid w:val="00B56451"/>
    <w:rsid w:val="00B57656"/>
    <w:rsid w:val="00B61E60"/>
    <w:rsid w:val="00B63E95"/>
    <w:rsid w:val="00B643CB"/>
    <w:rsid w:val="00B650CE"/>
    <w:rsid w:val="00B6538D"/>
    <w:rsid w:val="00B65A21"/>
    <w:rsid w:val="00B666CA"/>
    <w:rsid w:val="00B6734A"/>
    <w:rsid w:val="00B67454"/>
    <w:rsid w:val="00B67E68"/>
    <w:rsid w:val="00B7019B"/>
    <w:rsid w:val="00B71646"/>
    <w:rsid w:val="00B71878"/>
    <w:rsid w:val="00B71AFD"/>
    <w:rsid w:val="00B722EE"/>
    <w:rsid w:val="00B728AF"/>
    <w:rsid w:val="00B737D1"/>
    <w:rsid w:val="00B75A75"/>
    <w:rsid w:val="00B761CC"/>
    <w:rsid w:val="00B7700A"/>
    <w:rsid w:val="00B7763B"/>
    <w:rsid w:val="00B77850"/>
    <w:rsid w:val="00B80D8A"/>
    <w:rsid w:val="00B813DF"/>
    <w:rsid w:val="00B81655"/>
    <w:rsid w:val="00B81BCE"/>
    <w:rsid w:val="00B8274A"/>
    <w:rsid w:val="00B8285D"/>
    <w:rsid w:val="00B82872"/>
    <w:rsid w:val="00B829A5"/>
    <w:rsid w:val="00B82AF2"/>
    <w:rsid w:val="00B84350"/>
    <w:rsid w:val="00B84E4C"/>
    <w:rsid w:val="00B8562D"/>
    <w:rsid w:val="00B8583C"/>
    <w:rsid w:val="00B85C67"/>
    <w:rsid w:val="00B90003"/>
    <w:rsid w:val="00B909C1"/>
    <w:rsid w:val="00B90A40"/>
    <w:rsid w:val="00B9185F"/>
    <w:rsid w:val="00B91D75"/>
    <w:rsid w:val="00B920A8"/>
    <w:rsid w:val="00B92113"/>
    <w:rsid w:val="00B93828"/>
    <w:rsid w:val="00B94B76"/>
    <w:rsid w:val="00B94E0C"/>
    <w:rsid w:val="00B95E41"/>
    <w:rsid w:val="00B95FE0"/>
    <w:rsid w:val="00B9651B"/>
    <w:rsid w:val="00B97EFF"/>
    <w:rsid w:val="00B97F8F"/>
    <w:rsid w:val="00BA06A5"/>
    <w:rsid w:val="00BA3151"/>
    <w:rsid w:val="00BA32D6"/>
    <w:rsid w:val="00BA3C19"/>
    <w:rsid w:val="00BA49DC"/>
    <w:rsid w:val="00BA52B5"/>
    <w:rsid w:val="00BA57E1"/>
    <w:rsid w:val="00BA5B9D"/>
    <w:rsid w:val="00BB13BC"/>
    <w:rsid w:val="00BB184C"/>
    <w:rsid w:val="00BB196E"/>
    <w:rsid w:val="00BB40DB"/>
    <w:rsid w:val="00BB460D"/>
    <w:rsid w:val="00BB6037"/>
    <w:rsid w:val="00BB67C5"/>
    <w:rsid w:val="00BB7815"/>
    <w:rsid w:val="00BC08B3"/>
    <w:rsid w:val="00BC1E1C"/>
    <w:rsid w:val="00BC20A7"/>
    <w:rsid w:val="00BC27FA"/>
    <w:rsid w:val="00BC3DFB"/>
    <w:rsid w:val="00BC4459"/>
    <w:rsid w:val="00BC49BB"/>
    <w:rsid w:val="00BC5956"/>
    <w:rsid w:val="00BC626E"/>
    <w:rsid w:val="00BD0603"/>
    <w:rsid w:val="00BD0F99"/>
    <w:rsid w:val="00BD1532"/>
    <w:rsid w:val="00BD2AF8"/>
    <w:rsid w:val="00BD2D90"/>
    <w:rsid w:val="00BD34CD"/>
    <w:rsid w:val="00BD394C"/>
    <w:rsid w:val="00BD39BC"/>
    <w:rsid w:val="00BD59C1"/>
    <w:rsid w:val="00BD5E4F"/>
    <w:rsid w:val="00BD61AE"/>
    <w:rsid w:val="00BD61F5"/>
    <w:rsid w:val="00BD6EEE"/>
    <w:rsid w:val="00BD72ED"/>
    <w:rsid w:val="00BE093A"/>
    <w:rsid w:val="00BE18E9"/>
    <w:rsid w:val="00BE2AA5"/>
    <w:rsid w:val="00BE2F6E"/>
    <w:rsid w:val="00BE3420"/>
    <w:rsid w:val="00BE46EF"/>
    <w:rsid w:val="00BE4CFB"/>
    <w:rsid w:val="00BE5F4A"/>
    <w:rsid w:val="00BF0AF6"/>
    <w:rsid w:val="00BF175C"/>
    <w:rsid w:val="00BF1D61"/>
    <w:rsid w:val="00BF2503"/>
    <w:rsid w:val="00BF2DCC"/>
    <w:rsid w:val="00BF2E69"/>
    <w:rsid w:val="00BF3137"/>
    <w:rsid w:val="00BF4027"/>
    <w:rsid w:val="00BF49BA"/>
    <w:rsid w:val="00BF4FB5"/>
    <w:rsid w:val="00BF56B3"/>
    <w:rsid w:val="00BF6123"/>
    <w:rsid w:val="00BF6274"/>
    <w:rsid w:val="00BF62AE"/>
    <w:rsid w:val="00BF7A12"/>
    <w:rsid w:val="00C00CED"/>
    <w:rsid w:val="00C00E06"/>
    <w:rsid w:val="00C0171E"/>
    <w:rsid w:val="00C026B5"/>
    <w:rsid w:val="00C04075"/>
    <w:rsid w:val="00C04F3F"/>
    <w:rsid w:val="00C055CD"/>
    <w:rsid w:val="00C05821"/>
    <w:rsid w:val="00C06B1F"/>
    <w:rsid w:val="00C06CD7"/>
    <w:rsid w:val="00C071BF"/>
    <w:rsid w:val="00C0775E"/>
    <w:rsid w:val="00C1021F"/>
    <w:rsid w:val="00C10C52"/>
    <w:rsid w:val="00C1132A"/>
    <w:rsid w:val="00C11380"/>
    <w:rsid w:val="00C12F2C"/>
    <w:rsid w:val="00C145D8"/>
    <w:rsid w:val="00C14837"/>
    <w:rsid w:val="00C16171"/>
    <w:rsid w:val="00C165D3"/>
    <w:rsid w:val="00C1693D"/>
    <w:rsid w:val="00C16FEA"/>
    <w:rsid w:val="00C17CD4"/>
    <w:rsid w:val="00C21FD0"/>
    <w:rsid w:val="00C220A5"/>
    <w:rsid w:val="00C22708"/>
    <w:rsid w:val="00C24A95"/>
    <w:rsid w:val="00C24C18"/>
    <w:rsid w:val="00C25E55"/>
    <w:rsid w:val="00C26655"/>
    <w:rsid w:val="00C27A28"/>
    <w:rsid w:val="00C3214C"/>
    <w:rsid w:val="00C327CC"/>
    <w:rsid w:val="00C3289B"/>
    <w:rsid w:val="00C32924"/>
    <w:rsid w:val="00C32B8D"/>
    <w:rsid w:val="00C32DDD"/>
    <w:rsid w:val="00C331A2"/>
    <w:rsid w:val="00C33B03"/>
    <w:rsid w:val="00C350CE"/>
    <w:rsid w:val="00C35485"/>
    <w:rsid w:val="00C35689"/>
    <w:rsid w:val="00C3599B"/>
    <w:rsid w:val="00C35FAF"/>
    <w:rsid w:val="00C36193"/>
    <w:rsid w:val="00C36770"/>
    <w:rsid w:val="00C36C36"/>
    <w:rsid w:val="00C37B31"/>
    <w:rsid w:val="00C37D09"/>
    <w:rsid w:val="00C4059E"/>
    <w:rsid w:val="00C4140E"/>
    <w:rsid w:val="00C41AF0"/>
    <w:rsid w:val="00C41EF9"/>
    <w:rsid w:val="00C41FDA"/>
    <w:rsid w:val="00C42E25"/>
    <w:rsid w:val="00C42F23"/>
    <w:rsid w:val="00C43EB1"/>
    <w:rsid w:val="00C4476C"/>
    <w:rsid w:val="00C44CBE"/>
    <w:rsid w:val="00C4595F"/>
    <w:rsid w:val="00C45980"/>
    <w:rsid w:val="00C46902"/>
    <w:rsid w:val="00C46D7D"/>
    <w:rsid w:val="00C47319"/>
    <w:rsid w:val="00C47428"/>
    <w:rsid w:val="00C47752"/>
    <w:rsid w:val="00C50526"/>
    <w:rsid w:val="00C50630"/>
    <w:rsid w:val="00C515E4"/>
    <w:rsid w:val="00C53353"/>
    <w:rsid w:val="00C53CE1"/>
    <w:rsid w:val="00C53DDD"/>
    <w:rsid w:val="00C55E60"/>
    <w:rsid w:val="00C576E3"/>
    <w:rsid w:val="00C57BF1"/>
    <w:rsid w:val="00C61032"/>
    <w:rsid w:val="00C63316"/>
    <w:rsid w:val="00C63CCE"/>
    <w:rsid w:val="00C64055"/>
    <w:rsid w:val="00C64B90"/>
    <w:rsid w:val="00C6552C"/>
    <w:rsid w:val="00C66679"/>
    <w:rsid w:val="00C67839"/>
    <w:rsid w:val="00C70C64"/>
    <w:rsid w:val="00C71844"/>
    <w:rsid w:val="00C71BC9"/>
    <w:rsid w:val="00C72096"/>
    <w:rsid w:val="00C73523"/>
    <w:rsid w:val="00C73EB1"/>
    <w:rsid w:val="00C747E7"/>
    <w:rsid w:val="00C752F2"/>
    <w:rsid w:val="00C755D9"/>
    <w:rsid w:val="00C756EE"/>
    <w:rsid w:val="00C75761"/>
    <w:rsid w:val="00C7589D"/>
    <w:rsid w:val="00C75E2C"/>
    <w:rsid w:val="00C77BE2"/>
    <w:rsid w:val="00C808D0"/>
    <w:rsid w:val="00C83EE1"/>
    <w:rsid w:val="00C84779"/>
    <w:rsid w:val="00C86174"/>
    <w:rsid w:val="00C863ED"/>
    <w:rsid w:val="00C86761"/>
    <w:rsid w:val="00C86D67"/>
    <w:rsid w:val="00C87498"/>
    <w:rsid w:val="00C907A5"/>
    <w:rsid w:val="00C907B0"/>
    <w:rsid w:val="00C90AE0"/>
    <w:rsid w:val="00C92A5A"/>
    <w:rsid w:val="00C93192"/>
    <w:rsid w:val="00C931A3"/>
    <w:rsid w:val="00C94CB3"/>
    <w:rsid w:val="00C950E3"/>
    <w:rsid w:val="00C9547C"/>
    <w:rsid w:val="00C95F37"/>
    <w:rsid w:val="00CA0DEA"/>
    <w:rsid w:val="00CA1311"/>
    <w:rsid w:val="00CA1F1A"/>
    <w:rsid w:val="00CA22C7"/>
    <w:rsid w:val="00CA28EB"/>
    <w:rsid w:val="00CA3022"/>
    <w:rsid w:val="00CA3637"/>
    <w:rsid w:val="00CA3CBA"/>
    <w:rsid w:val="00CA3E18"/>
    <w:rsid w:val="00CA54C0"/>
    <w:rsid w:val="00CA72BD"/>
    <w:rsid w:val="00CA7347"/>
    <w:rsid w:val="00CA7A07"/>
    <w:rsid w:val="00CA7FB5"/>
    <w:rsid w:val="00CB0FBA"/>
    <w:rsid w:val="00CB150F"/>
    <w:rsid w:val="00CB185F"/>
    <w:rsid w:val="00CB18C6"/>
    <w:rsid w:val="00CB1CCD"/>
    <w:rsid w:val="00CB590B"/>
    <w:rsid w:val="00CB5F4C"/>
    <w:rsid w:val="00CB7255"/>
    <w:rsid w:val="00CC0825"/>
    <w:rsid w:val="00CC0BDF"/>
    <w:rsid w:val="00CC0F19"/>
    <w:rsid w:val="00CC25B5"/>
    <w:rsid w:val="00CC26B2"/>
    <w:rsid w:val="00CC27EE"/>
    <w:rsid w:val="00CC2EE1"/>
    <w:rsid w:val="00CC333C"/>
    <w:rsid w:val="00CC4B6C"/>
    <w:rsid w:val="00CC72B0"/>
    <w:rsid w:val="00CC76E8"/>
    <w:rsid w:val="00CC7843"/>
    <w:rsid w:val="00CD0DEC"/>
    <w:rsid w:val="00CD121D"/>
    <w:rsid w:val="00CD1394"/>
    <w:rsid w:val="00CD1412"/>
    <w:rsid w:val="00CD1B0E"/>
    <w:rsid w:val="00CD230F"/>
    <w:rsid w:val="00CD283F"/>
    <w:rsid w:val="00CD2BD5"/>
    <w:rsid w:val="00CD330C"/>
    <w:rsid w:val="00CD4AFB"/>
    <w:rsid w:val="00CD4B76"/>
    <w:rsid w:val="00CD5622"/>
    <w:rsid w:val="00CD5946"/>
    <w:rsid w:val="00CD657A"/>
    <w:rsid w:val="00CD680F"/>
    <w:rsid w:val="00CD71E5"/>
    <w:rsid w:val="00CE0FB9"/>
    <w:rsid w:val="00CE2175"/>
    <w:rsid w:val="00CE50D8"/>
    <w:rsid w:val="00CE6F68"/>
    <w:rsid w:val="00CE741C"/>
    <w:rsid w:val="00CF00C9"/>
    <w:rsid w:val="00CF09E0"/>
    <w:rsid w:val="00CF0A41"/>
    <w:rsid w:val="00CF0F4B"/>
    <w:rsid w:val="00CF1E56"/>
    <w:rsid w:val="00CF2668"/>
    <w:rsid w:val="00CF351A"/>
    <w:rsid w:val="00CF3D1A"/>
    <w:rsid w:val="00CF3E2C"/>
    <w:rsid w:val="00CF4195"/>
    <w:rsid w:val="00CF5942"/>
    <w:rsid w:val="00CF5C16"/>
    <w:rsid w:val="00CF659F"/>
    <w:rsid w:val="00CF6A80"/>
    <w:rsid w:val="00CF7197"/>
    <w:rsid w:val="00CF7249"/>
    <w:rsid w:val="00CF7656"/>
    <w:rsid w:val="00CF7B42"/>
    <w:rsid w:val="00D00196"/>
    <w:rsid w:val="00D00864"/>
    <w:rsid w:val="00D00B2F"/>
    <w:rsid w:val="00D00EC2"/>
    <w:rsid w:val="00D0153E"/>
    <w:rsid w:val="00D01B39"/>
    <w:rsid w:val="00D026A5"/>
    <w:rsid w:val="00D028B4"/>
    <w:rsid w:val="00D0336E"/>
    <w:rsid w:val="00D0368E"/>
    <w:rsid w:val="00D0472B"/>
    <w:rsid w:val="00D04B5F"/>
    <w:rsid w:val="00D04CD7"/>
    <w:rsid w:val="00D0638A"/>
    <w:rsid w:val="00D06D4D"/>
    <w:rsid w:val="00D06DAC"/>
    <w:rsid w:val="00D072CB"/>
    <w:rsid w:val="00D10520"/>
    <w:rsid w:val="00D1186C"/>
    <w:rsid w:val="00D12CBB"/>
    <w:rsid w:val="00D13588"/>
    <w:rsid w:val="00D153EF"/>
    <w:rsid w:val="00D155C1"/>
    <w:rsid w:val="00D15C85"/>
    <w:rsid w:val="00D165C4"/>
    <w:rsid w:val="00D2033D"/>
    <w:rsid w:val="00D20371"/>
    <w:rsid w:val="00D20D90"/>
    <w:rsid w:val="00D22167"/>
    <w:rsid w:val="00D228B4"/>
    <w:rsid w:val="00D22B20"/>
    <w:rsid w:val="00D23E8F"/>
    <w:rsid w:val="00D242CE"/>
    <w:rsid w:val="00D24AAE"/>
    <w:rsid w:val="00D24BAA"/>
    <w:rsid w:val="00D24F77"/>
    <w:rsid w:val="00D254FC"/>
    <w:rsid w:val="00D25BA0"/>
    <w:rsid w:val="00D26FA9"/>
    <w:rsid w:val="00D272C5"/>
    <w:rsid w:val="00D27E58"/>
    <w:rsid w:val="00D30720"/>
    <w:rsid w:val="00D307EA"/>
    <w:rsid w:val="00D31551"/>
    <w:rsid w:val="00D31731"/>
    <w:rsid w:val="00D321D8"/>
    <w:rsid w:val="00D32929"/>
    <w:rsid w:val="00D33A9C"/>
    <w:rsid w:val="00D34DE1"/>
    <w:rsid w:val="00D34F76"/>
    <w:rsid w:val="00D35656"/>
    <w:rsid w:val="00D35BA5"/>
    <w:rsid w:val="00D36EF7"/>
    <w:rsid w:val="00D372F0"/>
    <w:rsid w:val="00D375D9"/>
    <w:rsid w:val="00D378BB"/>
    <w:rsid w:val="00D40337"/>
    <w:rsid w:val="00D40939"/>
    <w:rsid w:val="00D41268"/>
    <w:rsid w:val="00D41C4E"/>
    <w:rsid w:val="00D42958"/>
    <w:rsid w:val="00D42C6B"/>
    <w:rsid w:val="00D42CE3"/>
    <w:rsid w:val="00D43041"/>
    <w:rsid w:val="00D437F4"/>
    <w:rsid w:val="00D44033"/>
    <w:rsid w:val="00D445B0"/>
    <w:rsid w:val="00D4585F"/>
    <w:rsid w:val="00D47BCF"/>
    <w:rsid w:val="00D50605"/>
    <w:rsid w:val="00D511FC"/>
    <w:rsid w:val="00D52741"/>
    <w:rsid w:val="00D536BB"/>
    <w:rsid w:val="00D538B9"/>
    <w:rsid w:val="00D53DCF"/>
    <w:rsid w:val="00D54A21"/>
    <w:rsid w:val="00D55025"/>
    <w:rsid w:val="00D5726C"/>
    <w:rsid w:val="00D574F2"/>
    <w:rsid w:val="00D600B3"/>
    <w:rsid w:val="00D62534"/>
    <w:rsid w:val="00D632D0"/>
    <w:rsid w:val="00D64AB4"/>
    <w:rsid w:val="00D65770"/>
    <w:rsid w:val="00D658F0"/>
    <w:rsid w:val="00D65EEB"/>
    <w:rsid w:val="00D6667C"/>
    <w:rsid w:val="00D67521"/>
    <w:rsid w:val="00D67FA2"/>
    <w:rsid w:val="00D70139"/>
    <w:rsid w:val="00D702C9"/>
    <w:rsid w:val="00D708AF"/>
    <w:rsid w:val="00D70E96"/>
    <w:rsid w:val="00D713EC"/>
    <w:rsid w:val="00D71940"/>
    <w:rsid w:val="00D7233E"/>
    <w:rsid w:val="00D72629"/>
    <w:rsid w:val="00D72B64"/>
    <w:rsid w:val="00D73E2A"/>
    <w:rsid w:val="00D7555F"/>
    <w:rsid w:val="00D75588"/>
    <w:rsid w:val="00D755A4"/>
    <w:rsid w:val="00D76110"/>
    <w:rsid w:val="00D765D3"/>
    <w:rsid w:val="00D76F00"/>
    <w:rsid w:val="00D77BC3"/>
    <w:rsid w:val="00D81054"/>
    <w:rsid w:val="00D81CEE"/>
    <w:rsid w:val="00D82017"/>
    <w:rsid w:val="00D823EF"/>
    <w:rsid w:val="00D82596"/>
    <w:rsid w:val="00D82B39"/>
    <w:rsid w:val="00D83011"/>
    <w:rsid w:val="00D83325"/>
    <w:rsid w:val="00D8510F"/>
    <w:rsid w:val="00D8642C"/>
    <w:rsid w:val="00D87692"/>
    <w:rsid w:val="00D87CD5"/>
    <w:rsid w:val="00D87DEC"/>
    <w:rsid w:val="00D900FD"/>
    <w:rsid w:val="00D901E8"/>
    <w:rsid w:val="00D902E2"/>
    <w:rsid w:val="00D903B5"/>
    <w:rsid w:val="00D910FF"/>
    <w:rsid w:val="00D914AC"/>
    <w:rsid w:val="00D9163B"/>
    <w:rsid w:val="00D91645"/>
    <w:rsid w:val="00D91D22"/>
    <w:rsid w:val="00D91EF6"/>
    <w:rsid w:val="00D9275E"/>
    <w:rsid w:val="00D944DB"/>
    <w:rsid w:val="00D94BBA"/>
    <w:rsid w:val="00D95860"/>
    <w:rsid w:val="00D9667F"/>
    <w:rsid w:val="00D97160"/>
    <w:rsid w:val="00D971CF"/>
    <w:rsid w:val="00DA0135"/>
    <w:rsid w:val="00DA09D1"/>
    <w:rsid w:val="00DA0B9A"/>
    <w:rsid w:val="00DA10FA"/>
    <w:rsid w:val="00DA12A8"/>
    <w:rsid w:val="00DA2279"/>
    <w:rsid w:val="00DA2B5A"/>
    <w:rsid w:val="00DA31BF"/>
    <w:rsid w:val="00DA4AC2"/>
    <w:rsid w:val="00DA54DA"/>
    <w:rsid w:val="00DA5B25"/>
    <w:rsid w:val="00DB016A"/>
    <w:rsid w:val="00DB0CC3"/>
    <w:rsid w:val="00DB3022"/>
    <w:rsid w:val="00DB3F49"/>
    <w:rsid w:val="00DB6153"/>
    <w:rsid w:val="00DB6C66"/>
    <w:rsid w:val="00DB6F88"/>
    <w:rsid w:val="00DB7AEC"/>
    <w:rsid w:val="00DB7CFF"/>
    <w:rsid w:val="00DC0FDF"/>
    <w:rsid w:val="00DC1E3E"/>
    <w:rsid w:val="00DC21E9"/>
    <w:rsid w:val="00DC2425"/>
    <w:rsid w:val="00DC249D"/>
    <w:rsid w:val="00DC3A95"/>
    <w:rsid w:val="00DC46BF"/>
    <w:rsid w:val="00DC5A43"/>
    <w:rsid w:val="00DC5B8E"/>
    <w:rsid w:val="00DC6374"/>
    <w:rsid w:val="00DC6B80"/>
    <w:rsid w:val="00DC7361"/>
    <w:rsid w:val="00DC7818"/>
    <w:rsid w:val="00DC787D"/>
    <w:rsid w:val="00DD026D"/>
    <w:rsid w:val="00DD1793"/>
    <w:rsid w:val="00DD1A22"/>
    <w:rsid w:val="00DD33BD"/>
    <w:rsid w:val="00DD38E5"/>
    <w:rsid w:val="00DD6553"/>
    <w:rsid w:val="00DD6FF3"/>
    <w:rsid w:val="00DD77E4"/>
    <w:rsid w:val="00DE03BB"/>
    <w:rsid w:val="00DE114C"/>
    <w:rsid w:val="00DE1357"/>
    <w:rsid w:val="00DE1B28"/>
    <w:rsid w:val="00DE2734"/>
    <w:rsid w:val="00DE289C"/>
    <w:rsid w:val="00DE3B4A"/>
    <w:rsid w:val="00DE3F19"/>
    <w:rsid w:val="00DE4816"/>
    <w:rsid w:val="00DE48C5"/>
    <w:rsid w:val="00DE4E98"/>
    <w:rsid w:val="00DE550A"/>
    <w:rsid w:val="00DF07DC"/>
    <w:rsid w:val="00DF086D"/>
    <w:rsid w:val="00DF1158"/>
    <w:rsid w:val="00DF1AB3"/>
    <w:rsid w:val="00DF20B6"/>
    <w:rsid w:val="00DF242C"/>
    <w:rsid w:val="00DF2E15"/>
    <w:rsid w:val="00DF31DD"/>
    <w:rsid w:val="00DF3251"/>
    <w:rsid w:val="00DF4396"/>
    <w:rsid w:val="00DF70AF"/>
    <w:rsid w:val="00DF7870"/>
    <w:rsid w:val="00E001E8"/>
    <w:rsid w:val="00E00546"/>
    <w:rsid w:val="00E01666"/>
    <w:rsid w:val="00E02A68"/>
    <w:rsid w:val="00E032C3"/>
    <w:rsid w:val="00E035ED"/>
    <w:rsid w:val="00E03BE9"/>
    <w:rsid w:val="00E054F4"/>
    <w:rsid w:val="00E05778"/>
    <w:rsid w:val="00E05E52"/>
    <w:rsid w:val="00E06444"/>
    <w:rsid w:val="00E064FB"/>
    <w:rsid w:val="00E069C8"/>
    <w:rsid w:val="00E06DC8"/>
    <w:rsid w:val="00E07C2B"/>
    <w:rsid w:val="00E102C2"/>
    <w:rsid w:val="00E1098F"/>
    <w:rsid w:val="00E12928"/>
    <w:rsid w:val="00E12B76"/>
    <w:rsid w:val="00E139B3"/>
    <w:rsid w:val="00E1411E"/>
    <w:rsid w:val="00E1422B"/>
    <w:rsid w:val="00E142B3"/>
    <w:rsid w:val="00E152E7"/>
    <w:rsid w:val="00E15501"/>
    <w:rsid w:val="00E15F6C"/>
    <w:rsid w:val="00E17EC8"/>
    <w:rsid w:val="00E2053B"/>
    <w:rsid w:val="00E20835"/>
    <w:rsid w:val="00E210DC"/>
    <w:rsid w:val="00E2179B"/>
    <w:rsid w:val="00E21BE2"/>
    <w:rsid w:val="00E21DD2"/>
    <w:rsid w:val="00E22582"/>
    <w:rsid w:val="00E22BCF"/>
    <w:rsid w:val="00E22F42"/>
    <w:rsid w:val="00E2374C"/>
    <w:rsid w:val="00E2392E"/>
    <w:rsid w:val="00E23988"/>
    <w:rsid w:val="00E2522D"/>
    <w:rsid w:val="00E26D2A"/>
    <w:rsid w:val="00E270E2"/>
    <w:rsid w:val="00E27C64"/>
    <w:rsid w:val="00E306DE"/>
    <w:rsid w:val="00E3218F"/>
    <w:rsid w:val="00E32CFF"/>
    <w:rsid w:val="00E345EE"/>
    <w:rsid w:val="00E34F56"/>
    <w:rsid w:val="00E3543D"/>
    <w:rsid w:val="00E35CA5"/>
    <w:rsid w:val="00E36D95"/>
    <w:rsid w:val="00E36E12"/>
    <w:rsid w:val="00E373B2"/>
    <w:rsid w:val="00E3784D"/>
    <w:rsid w:val="00E37A3E"/>
    <w:rsid w:val="00E40E13"/>
    <w:rsid w:val="00E40E43"/>
    <w:rsid w:val="00E4177A"/>
    <w:rsid w:val="00E417C0"/>
    <w:rsid w:val="00E42624"/>
    <w:rsid w:val="00E42A4F"/>
    <w:rsid w:val="00E43641"/>
    <w:rsid w:val="00E43B24"/>
    <w:rsid w:val="00E45E21"/>
    <w:rsid w:val="00E46C67"/>
    <w:rsid w:val="00E46FDE"/>
    <w:rsid w:val="00E475DC"/>
    <w:rsid w:val="00E47605"/>
    <w:rsid w:val="00E502D1"/>
    <w:rsid w:val="00E5040E"/>
    <w:rsid w:val="00E51775"/>
    <w:rsid w:val="00E51927"/>
    <w:rsid w:val="00E51D36"/>
    <w:rsid w:val="00E53295"/>
    <w:rsid w:val="00E53813"/>
    <w:rsid w:val="00E541B7"/>
    <w:rsid w:val="00E54F7C"/>
    <w:rsid w:val="00E55430"/>
    <w:rsid w:val="00E556E7"/>
    <w:rsid w:val="00E557D2"/>
    <w:rsid w:val="00E56355"/>
    <w:rsid w:val="00E569D7"/>
    <w:rsid w:val="00E56CCE"/>
    <w:rsid w:val="00E5772B"/>
    <w:rsid w:val="00E5773B"/>
    <w:rsid w:val="00E57BD3"/>
    <w:rsid w:val="00E57CCE"/>
    <w:rsid w:val="00E57FC3"/>
    <w:rsid w:val="00E603B2"/>
    <w:rsid w:val="00E608B6"/>
    <w:rsid w:val="00E619F6"/>
    <w:rsid w:val="00E61E6B"/>
    <w:rsid w:val="00E62A53"/>
    <w:rsid w:val="00E62C9C"/>
    <w:rsid w:val="00E63130"/>
    <w:rsid w:val="00E63324"/>
    <w:rsid w:val="00E63D38"/>
    <w:rsid w:val="00E64116"/>
    <w:rsid w:val="00E645AD"/>
    <w:rsid w:val="00E65B37"/>
    <w:rsid w:val="00E6608D"/>
    <w:rsid w:val="00E66127"/>
    <w:rsid w:val="00E6684C"/>
    <w:rsid w:val="00E6686F"/>
    <w:rsid w:val="00E66A17"/>
    <w:rsid w:val="00E66FA4"/>
    <w:rsid w:val="00E67199"/>
    <w:rsid w:val="00E67606"/>
    <w:rsid w:val="00E6784C"/>
    <w:rsid w:val="00E67BD6"/>
    <w:rsid w:val="00E7014F"/>
    <w:rsid w:val="00E70984"/>
    <w:rsid w:val="00E71420"/>
    <w:rsid w:val="00E72113"/>
    <w:rsid w:val="00E72667"/>
    <w:rsid w:val="00E72FFF"/>
    <w:rsid w:val="00E7579D"/>
    <w:rsid w:val="00E75C89"/>
    <w:rsid w:val="00E75CB1"/>
    <w:rsid w:val="00E77D57"/>
    <w:rsid w:val="00E77D70"/>
    <w:rsid w:val="00E8039D"/>
    <w:rsid w:val="00E80C1E"/>
    <w:rsid w:val="00E80ECA"/>
    <w:rsid w:val="00E80F8C"/>
    <w:rsid w:val="00E81183"/>
    <w:rsid w:val="00E81C24"/>
    <w:rsid w:val="00E81D33"/>
    <w:rsid w:val="00E829EE"/>
    <w:rsid w:val="00E82A53"/>
    <w:rsid w:val="00E82A5F"/>
    <w:rsid w:val="00E82DD5"/>
    <w:rsid w:val="00E83595"/>
    <w:rsid w:val="00E83AF3"/>
    <w:rsid w:val="00E83E07"/>
    <w:rsid w:val="00E84CBB"/>
    <w:rsid w:val="00E857D0"/>
    <w:rsid w:val="00E860F4"/>
    <w:rsid w:val="00E867B6"/>
    <w:rsid w:val="00E90356"/>
    <w:rsid w:val="00E91247"/>
    <w:rsid w:val="00E92D85"/>
    <w:rsid w:val="00E930FA"/>
    <w:rsid w:val="00E940AB"/>
    <w:rsid w:val="00E94769"/>
    <w:rsid w:val="00E9588C"/>
    <w:rsid w:val="00E95EC9"/>
    <w:rsid w:val="00E96337"/>
    <w:rsid w:val="00E965FE"/>
    <w:rsid w:val="00E96848"/>
    <w:rsid w:val="00E96DD4"/>
    <w:rsid w:val="00E97E0D"/>
    <w:rsid w:val="00EA3779"/>
    <w:rsid w:val="00EA65BE"/>
    <w:rsid w:val="00EA6A62"/>
    <w:rsid w:val="00EB0609"/>
    <w:rsid w:val="00EB0B39"/>
    <w:rsid w:val="00EB0BA9"/>
    <w:rsid w:val="00EB1CD2"/>
    <w:rsid w:val="00EB1ECB"/>
    <w:rsid w:val="00EB2659"/>
    <w:rsid w:val="00EB28B4"/>
    <w:rsid w:val="00EB2C5B"/>
    <w:rsid w:val="00EB3DE5"/>
    <w:rsid w:val="00EB4E4D"/>
    <w:rsid w:val="00EB5633"/>
    <w:rsid w:val="00EB58EF"/>
    <w:rsid w:val="00EB5E4A"/>
    <w:rsid w:val="00EB68EE"/>
    <w:rsid w:val="00EB6B72"/>
    <w:rsid w:val="00EB6F81"/>
    <w:rsid w:val="00EB7CD6"/>
    <w:rsid w:val="00EC17FE"/>
    <w:rsid w:val="00EC2AED"/>
    <w:rsid w:val="00EC2E78"/>
    <w:rsid w:val="00EC328B"/>
    <w:rsid w:val="00EC4166"/>
    <w:rsid w:val="00EC4621"/>
    <w:rsid w:val="00EC47AA"/>
    <w:rsid w:val="00EC4C30"/>
    <w:rsid w:val="00EC5273"/>
    <w:rsid w:val="00EC57BF"/>
    <w:rsid w:val="00EC5DB2"/>
    <w:rsid w:val="00EC5E07"/>
    <w:rsid w:val="00EC60DA"/>
    <w:rsid w:val="00EC64E9"/>
    <w:rsid w:val="00EC690B"/>
    <w:rsid w:val="00ED1138"/>
    <w:rsid w:val="00ED241A"/>
    <w:rsid w:val="00ED246A"/>
    <w:rsid w:val="00ED3319"/>
    <w:rsid w:val="00ED62FF"/>
    <w:rsid w:val="00ED6826"/>
    <w:rsid w:val="00ED7ADB"/>
    <w:rsid w:val="00ED7E39"/>
    <w:rsid w:val="00ED7ED2"/>
    <w:rsid w:val="00ED7EDC"/>
    <w:rsid w:val="00ED7F95"/>
    <w:rsid w:val="00EE1D46"/>
    <w:rsid w:val="00EE1FCC"/>
    <w:rsid w:val="00EE3596"/>
    <w:rsid w:val="00EE4354"/>
    <w:rsid w:val="00EE4897"/>
    <w:rsid w:val="00EE489C"/>
    <w:rsid w:val="00EE4BF9"/>
    <w:rsid w:val="00EE4DC8"/>
    <w:rsid w:val="00EE4E64"/>
    <w:rsid w:val="00EE6D0A"/>
    <w:rsid w:val="00EE758E"/>
    <w:rsid w:val="00EE7E71"/>
    <w:rsid w:val="00EF0E2B"/>
    <w:rsid w:val="00EF18B3"/>
    <w:rsid w:val="00EF2352"/>
    <w:rsid w:val="00EF3479"/>
    <w:rsid w:val="00EF3A44"/>
    <w:rsid w:val="00EF3ADF"/>
    <w:rsid w:val="00EF48E0"/>
    <w:rsid w:val="00EF4DE8"/>
    <w:rsid w:val="00EF509E"/>
    <w:rsid w:val="00EF5E6E"/>
    <w:rsid w:val="00F0071C"/>
    <w:rsid w:val="00F0134C"/>
    <w:rsid w:val="00F013B0"/>
    <w:rsid w:val="00F014B8"/>
    <w:rsid w:val="00F017B8"/>
    <w:rsid w:val="00F01DF4"/>
    <w:rsid w:val="00F01F2C"/>
    <w:rsid w:val="00F02DA6"/>
    <w:rsid w:val="00F047EF"/>
    <w:rsid w:val="00F05782"/>
    <w:rsid w:val="00F0618D"/>
    <w:rsid w:val="00F0655C"/>
    <w:rsid w:val="00F06748"/>
    <w:rsid w:val="00F07C1A"/>
    <w:rsid w:val="00F07F52"/>
    <w:rsid w:val="00F1022D"/>
    <w:rsid w:val="00F102C0"/>
    <w:rsid w:val="00F10CC5"/>
    <w:rsid w:val="00F10D56"/>
    <w:rsid w:val="00F11577"/>
    <w:rsid w:val="00F12659"/>
    <w:rsid w:val="00F1316D"/>
    <w:rsid w:val="00F1336D"/>
    <w:rsid w:val="00F13C77"/>
    <w:rsid w:val="00F14841"/>
    <w:rsid w:val="00F158B8"/>
    <w:rsid w:val="00F15A17"/>
    <w:rsid w:val="00F15D4A"/>
    <w:rsid w:val="00F16ACC"/>
    <w:rsid w:val="00F203E2"/>
    <w:rsid w:val="00F20835"/>
    <w:rsid w:val="00F215D6"/>
    <w:rsid w:val="00F242A9"/>
    <w:rsid w:val="00F25343"/>
    <w:rsid w:val="00F25A21"/>
    <w:rsid w:val="00F25EFB"/>
    <w:rsid w:val="00F2605B"/>
    <w:rsid w:val="00F26F8E"/>
    <w:rsid w:val="00F27AFF"/>
    <w:rsid w:val="00F30331"/>
    <w:rsid w:val="00F30D30"/>
    <w:rsid w:val="00F31099"/>
    <w:rsid w:val="00F314B4"/>
    <w:rsid w:val="00F31514"/>
    <w:rsid w:val="00F31710"/>
    <w:rsid w:val="00F31844"/>
    <w:rsid w:val="00F32A9B"/>
    <w:rsid w:val="00F33105"/>
    <w:rsid w:val="00F35C12"/>
    <w:rsid w:val="00F35CE4"/>
    <w:rsid w:val="00F366C8"/>
    <w:rsid w:val="00F36774"/>
    <w:rsid w:val="00F40C5E"/>
    <w:rsid w:val="00F40E82"/>
    <w:rsid w:val="00F41245"/>
    <w:rsid w:val="00F41CC2"/>
    <w:rsid w:val="00F43211"/>
    <w:rsid w:val="00F43CD5"/>
    <w:rsid w:val="00F4530F"/>
    <w:rsid w:val="00F45323"/>
    <w:rsid w:val="00F455F3"/>
    <w:rsid w:val="00F4652D"/>
    <w:rsid w:val="00F46923"/>
    <w:rsid w:val="00F47121"/>
    <w:rsid w:val="00F5004E"/>
    <w:rsid w:val="00F503B5"/>
    <w:rsid w:val="00F516D1"/>
    <w:rsid w:val="00F519B3"/>
    <w:rsid w:val="00F543D2"/>
    <w:rsid w:val="00F55338"/>
    <w:rsid w:val="00F575F5"/>
    <w:rsid w:val="00F6011D"/>
    <w:rsid w:val="00F60F6B"/>
    <w:rsid w:val="00F61033"/>
    <w:rsid w:val="00F610FD"/>
    <w:rsid w:val="00F612B0"/>
    <w:rsid w:val="00F62610"/>
    <w:rsid w:val="00F64BFD"/>
    <w:rsid w:val="00F65710"/>
    <w:rsid w:val="00F6595B"/>
    <w:rsid w:val="00F6700D"/>
    <w:rsid w:val="00F67C71"/>
    <w:rsid w:val="00F705BB"/>
    <w:rsid w:val="00F70B51"/>
    <w:rsid w:val="00F717DD"/>
    <w:rsid w:val="00F719BE"/>
    <w:rsid w:val="00F74BD7"/>
    <w:rsid w:val="00F771BE"/>
    <w:rsid w:val="00F77D13"/>
    <w:rsid w:val="00F80795"/>
    <w:rsid w:val="00F80C1A"/>
    <w:rsid w:val="00F80EA9"/>
    <w:rsid w:val="00F82437"/>
    <w:rsid w:val="00F8250C"/>
    <w:rsid w:val="00F831FE"/>
    <w:rsid w:val="00F835C1"/>
    <w:rsid w:val="00F836A7"/>
    <w:rsid w:val="00F84D79"/>
    <w:rsid w:val="00F85029"/>
    <w:rsid w:val="00F861CD"/>
    <w:rsid w:val="00F86EB5"/>
    <w:rsid w:val="00F91640"/>
    <w:rsid w:val="00F91897"/>
    <w:rsid w:val="00F93970"/>
    <w:rsid w:val="00F956D3"/>
    <w:rsid w:val="00F9607E"/>
    <w:rsid w:val="00F9609B"/>
    <w:rsid w:val="00F969D7"/>
    <w:rsid w:val="00F96D2A"/>
    <w:rsid w:val="00F974A1"/>
    <w:rsid w:val="00F978A3"/>
    <w:rsid w:val="00F97FA0"/>
    <w:rsid w:val="00FA0B45"/>
    <w:rsid w:val="00FA0E3C"/>
    <w:rsid w:val="00FA120D"/>
    <w:rsid w:val="00FA17D1"/>
    <w:rsid w:val="00FA1D11"/>
    <w:rsid w:val="00FA2AAF"/>
    <w:rsid w:val="00FA3858"/>
    <w:rsid w:val="00FA3DFC"/>
    <w:rsid w:val="00FA3F22"/>
    <w:rsid w:val="00FA4677"/>
    <w:rsid w:val="00FA4C37"/>
    <w:rsid w:val="00FA7D29"/>
    <w:rsid w:val="00FB19AF"/>
    <w:rsid w:val="00FB2883"/>
    <w:rsid w:val="00FB4316"/>
    <w:rsid w:val="00FB48DD"/>
    <w:rsid w:val="00FB4AF5"/>
    <w:rsid w:val="00FB5420"/>
    <w:rsid w:val="00FB594E"/>
    <w:rsid w:val="00FB5A42"/>
    <w:rsid w:val="00FB5EE2"/>
    <w:rsid w:val="00FB672A"/>
    <w:rsid w:val="00FB7242"/>
    <w:rsid w:val="00FC0689"/>
    <w:rsid w:val="00FC0FEA"/>
    <w:rsid w:val="00FC113E"/>
    <w:rsid w:val="00FC1632"/>
    <w:rsid w:val="00FC1A8A"/>
    <w:rsid w:val="00FC1E02"/>
    <w:rsid w:val="00FC24C1"/>
    <w:rsid w:val="00FC3072"/>
    <w:rsid w:val="00FC33DF"/>
    <w:rsid w:val="00FC3636"/>
    <w:rsid w:val="00FC3B37"/>
    <w:rsid w:val="00FC3B4E"/>
    <w:rsid w:val="00FC5C2B"/>
    <w:rsid w:val="00FC631F"/>
    <w:rsid w:val="00FC6372"/>
    <w:rsid w:val="00FC71B0"/>
    <w:rsid w:val="00FC7681"/>
    <w:rsid w:val="00FD028B"/>
    <w:rsid w:val="00FD176C"/>
    <w:rsid w:val="00FD1C28"/>
    <w:rsid w:val="00FD2F11"/>
    <w:rsid w:val="00FD2FF2"/>
    <w:rsid w:val="00FD392F"/>
    <w:rsid w:val="00FD3A58"/>
    <w:rsid w:val="00FD56AF"/>
    <w:rsid w:val="00FD7280"/>
    <w:rsid w:val="00FD7414"/>
    <w:rsid w:val="00FE2133"/>
    <w:rsid w:val="00FE266D"/>
    <w:rsid w:val="00FE4904"/>
    <w:rsid w:val="00FE50EB"/>
    <w:rsid w:val="00FE5625"/>
    <w:rsid w:val="00FE5F59"/>
    <w:rsid w:val="00FE68D3"/>
    <w:rsid w:val="00FE70DB"/>
    <w:rsid w:val="00FE729B"/>
    <w:rsid w:val="00FF00C5"/>
    <w:rsid w:val="00FF1541"/>
    <w:rsid w:val="00FF24F5"/>
    <w:rsid w:val="00FF2AA9"/>
    <w:rsid w:val="00FF3FF1"/>
    <w:rsid w:val="00FF4D12"/>
    <w:rsid w:val="00FF554F"/>
    <w:rsid w:val="00FF5EDC"/>
    <w:rsid w:val="00FF653D"/>
    <w:rsid w:val="00FF6B62"/>
    <w:rsid w:val="00FF73CB"/>
    <w:rsid w:val="00FF7C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header" w:qFormat="1"/>
    <w:lsdException w:name="caption" w:semiHidden="1" w:unhideWhenUsed="1" w:qFormat="1"/>
    <w:lsdException w:name="footnote reference" w:uiPriority="99" w:qFormat="1"/>
    <w:lsdException w:name="List Number"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Preformatted"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4708CF"/>
    <w:rPr>
      <w:sz w:val="24"/>
      <w:szCs w:val="24"/>
    </w:rPr>
  </w:style>
  <w:style w:type="paragraph" w:styleId="1">
    <w:name w:val="heading 1"/>
    <w:basedOn w:val="a0"/>
    <w:next w:val="a0"/>
    <w:link w:val="10"/>
    <w:qFormat/>
    <w:pPr>
      <w:keepNext/>
      <w:jc w:val="center"/>
      <w:outlineLvl w:val="0"/>
    </w:pPr>
    <w:rPr>
      <w:b/>
      <w:lang w:val="uk-UA"/>
    </w:rPr>
  </w:style>
  <w:style w:type="paragraph" w:styleId="2">
    <w:name w:val="heading 2"/>
    <w:aliases w:val="h2"/>
    <w:basedOn w:val="a0"/>
    <w:next w:val="a0"/>
    <w:link w:val="20"/>
    <w:uiPriority w:val="9"/>
    <w:qFormat/>
    <w:pPr>
      <w:keepNext/>
      <w:jc w:val="both"/>
      <w:outlineLvl w:val="1"/>
    </w:pPr>
    <w:rPr>
      <w:b/>
    </w:rPr>
  </w:style>
  <w:style w:type="paragraph" w:styleId="3">
    <w:name w:val="heading 3"/>
    <w:basedOn w:val="a0"/>
    <w:next w:val="a0"/>
    <w:link w:val="30"/>
    <w:qFormat/>
    <w:pPr>
      <w:keepNext/>
      <w:jc w:val="center"/>
      <w:outlineLvl w:val="2"/>
    </w:pPr>
    <w:rPr>
      <w:b/>
      <w:color w:val="FF0000"/>
      <w:sz w:val="20"/>
      <w:szCs w:val="20"/>
      <w:lang w:val="uk-UA"/>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header"/>
    <w:aliases w:val="HeaderPort"/>
    <w:basedOn w:val="a0"/>
    <w:link w:val="a5"/>
    <w:qFormat/>
    <w:pPr>
      <w:tabs>
        <w:tab w:val="center" w:pos="4677"/>
        <w:tab w:val="right" w:pos="9355"/>
      </w:tabs>
    </w:pPr>
  </w:style>
  <w:style w:type="character" w:styleId="a6">
    <w:name w:val="page number"/>
    <w:basedOn w:val="a1"/>
  </w:style>
  <w:style w:type="paragraph" w:styleId="a7">
    <w:name w:val="Body Text Indent"/>
    <w:basedOn w:val="a0"/>
    <w:link w:val="a8"/>
    <w:pPr>
      <w:ind w:firstLine="720"/>
      <w:jc w:val="both"/>
    </w:pPr>
    <w:rPr>
      <w:lang w:val="uk-UA"/>
    </w:rPr>
  </w:style>
  <w:style w:type="paragraph" w:customStyle="1" w:styleId="BodyText2">
    <w:name w:val="Body Text 2"/>
    <w:basedOn w:val="a0"/>
    <w:pPr>
      <w:overflowPunct w:val="0"/>
      <w:autoSpaceDE w:val="0"/>
      <w:autoSpaceDN w:val="0"/>
      <w:adjustRightInd w:val="0"/>
      <w:ind w:firstLine="720"/>
      <w:jc w:val="both"/>
      <w:textAlignment w:val="baseline"/>
    </w:pPr>
    <w:rPr>
      <w:szCs w:val="20"/>
      <w:lang w:val="uk-UA"/>
    </w:rPr>
  </w:style>
  <w:style w:type="paragraph" w:styleId="a9">
    <w:name w:val="Balloon Text"/>
    <w:basedOn w:val="a0"/>
    <w:link w:val="aa"/>
    <w:semiHidden/>
    <w:rPr>
      <w:rFonts w:ascii="Tahoma" w:hAnsi="Tahoma" w:cs="Tahoma"/>
      <w:sz w:val="16"/>
      <w:szCs w:val="16"/>
    </w:rPr>
  </w:style>
  <w:style w:type="paragraph" w:customStyle="1" w:styleId="BodyTextIndent2">
    <w:name w:val="Body Text Indent 2"/>
    <w:basedOn w:val="a0"/>
    <w:pPr>
      <w:overflowPunct w:val="0"/>
      <w:autoSpaceDE w:val="0"/>
      <w:autoSpaceDN w:val="0"/>
      <w:adjustRightInd w:val="0"/>
      <w:ind w:firstLine="748"/>
      <w:jc w:val="both"/>
      <w:textAlignment w:val="baseline"/>
    </w:pPr>
    <w:rPr>
      <w:szCs w:val="20"/>
      <w:lang w:val="uk-UA"/>
    </w:rPr>
  </w:style>
  <w:style w:type="paragraph" w:styleId="21">
    <w:name w:val="Body Text 2"/>
    <w:basedOn w:val="a0"/>
    <w:link w:val="22"/>
    <w:pPr>
      <w:framePr w:hSpace="180" w:wrap="notBeside" w:vAnchor="text" w:hAnchor="margin" w:y="14"/>
      <w:jc w:val="center"/>
    </w:pPr>
    <w:rPr>
      <w:sz w:val="22"/>
      <w:lang w:val="uk-UA"/>
    </w:rPr>
  </w:style>
  <w:style w:type="paragraph" w:styleId="31">
    <w:name w:val="Body Text Indent 3"/>
    <w:basedOn w:val="a0"/>
    <w:link w:val="32"/>
    <w:pPr>
      <w:ind w:firstLine="1456"/>
      <w:jc w:val="both"/>
    </w:pPr>
    <w:rPr>
      <w:lang w:val="uk-UA"/>
    </w:rPr>
  </w:style>
  <w:style w:type="paragraph" w:styleId="ab">
    <w:name w:val="footer"/>
    <w:basedOn w:val="a0"/>
    <w:link w:val="ac"/>
    <w:pPr>
      <w:tabs>
        <w:tab w:val="center" w:pos="4677"/>
        <w:tab w:val="right" w:pos="9355"/>
      </w:tabs>
    </w:pPr>
  </w:style>
  <w:style w:type="paragraph" w:styleId="23">
    <w:name w:val="Body Text Indent 2"/>
    <w:basedOn w:val="a0"/>
    <w:link w:val="24"/>
    <w:pPr>
      <w:ind w:firstLine="708"/>
      <w:jc w:val="both"/>
    </w:pPr>
    <w:rPr>
      <w:color w:val="FF0000"/>
      <w:lang w:val="uk-UA"/>
    </w:rPr>
  </w:style>
  <w:style w:type="paragraph" w:styleId="ad">
    <w:name w:val="Body Text"/>
    <w:basedOn w:val="a0"/>
    <w:link w:val="ae"/>
    <w:pPr>
      <w:jc w:val="center"/>
    </w:pPr>
    <w:rPr>
      <w:color w:val="FF0000"/>
      <w:sz w:val="20"/>
      <w:szCs w:val="20"/>
      <w:lang w:val="uk-UA"/>
    </w:rPr>
  </w:style>
  <w:style w:type="paragraph" w:styleId="33">
    <w:name w:val="Body Text 3"/>
    <w:basedOn w:val="a0"/>
    <w:link w:val="34"/>
    <w:rPr>
      <w:szCs w:val="20"/>
      <w:lang w:val="uk-UA"/>
    </w:rPr>
  </w:style>
  <w:style w:type="paragraph" w:styleId="af">
    <w:name w:val="Normal (Web)"/>
    <w:basedOn w:val="a0"/>
    <w:uiPriority w:val="99"/>
    <w:rsid w:val="001E178A"/>
    <w:pPr>
      <w:spacing w:before="100" w:beforeAutospacing="1" w:after="100" w:afterAutospacing="1"/>
    </w:pPr>
  </w:style>
  <w:style w:type="paragraph" w:customStyle="1" w:styleId="western">
    <w:name w:val="western"/>
    <w:basedOn w:val="a0"/>
    <w:rsid w:val="00802D63"/>
    <w:pPr>
      <w:spacing w:after="150" w:line="360" w:lineRule="auto"/>
      <w:ind w:right="150"/>
    </w:pPr>
    <w:rPr>
      <w:rFonts w:ascii="Tahoma" w:hAnsi="Tahoma" w:cs="Tahoma"/>
      <w:color w:val="30296F"/>
      <w:sz w:val="18"/>
      <w:szCs w:val="18"/>
    </w:rPr>
  </w:style>
  <w:style w:type="character" w:customStyle="1" w:styleId="BodyText21">
    <w:name w:val="Body Text 21 Знак"/>
    <w:rsid w:val="00430964"/>
    <w:rPr>
      <w:lang w:val="uk-UA" w:eastAsia="ru-RU" w:bidi="ar-SA"/>
    </w:rPr>
  </w:style>
  <w:style w:type="paragraph" w:customStyle="1" w:styleId="af0">
    <w:name w:val="Знак"/>
    <w:basedOn w:val="a0"/>
    <w:rsid w:val="00741B21"/>
    <w:pPr>
      <w:spacing w:after="160" w:line="240" w:lineRule="exact"/>
      <w:jc w:val="both"/>
    </w:pPr>
    <w:rPr>
      <w:sz w:val="20"/>
      <w:szCs w:val="20"/>
      <w:lang w:val="en-GB" w:eastAsia="uk-UA"/>
    </w:rPr>
  </w:style>
  <w:style w:type="paragraph" w:customStyle="1" w:styleId="BodyText22">
    <w:name w:val="Body Text 22"/>
    <w:basedOn w:val="a0"/>
    <w:rsid w:val="00247726"/>
    <w:pPr>
      <w:autoSpaceDE w:val="0"/>
      <w:autoSpaceDN w:val="0"/>
      <w:adjustRightInd w:val="0"/>
      <w:ind w:right="-30" w:firstLine="720"/>
      <w:jc w:val="both"/>
    </w:pPr>
    <w:rPr>
      <w:i/>
      <w:iCs/>
      <w:sz w:val="20"/>
      <w:lang w:val="uk-UA"/>
    </w:rPr>
  </w:style>
  <w:style w:type="paragraph" w:customStyle="1" w:styleId="1CharChar">
    <w:name w:val="Знак Знак1 Char Char"/>
    <w:basedOn w:val="a0"/>
    <w:rsid w:val="00791DB4"/>
    <w:pPr>
      <w:spacing w:after="160" w:line="240" w:lineRule="exact"/>
    </w:pPr>
    <w:rPr>
      <w:noProof/>
      <w:sz w:val="20"/>
      <w:szCs w:val="20"/>
      <w:lang w:val="en-GB" w:eastAsia="ru-RU"/>
    </w:rPr>
  </w:style>
  <w:style w:type="paragraph" w:customStyle="1" w:styleId="ListParagraph">
    <w:name w:val="List Paragraph"/>
    <w:basedOn w:val="a0"/>
    <w:rsid w:val="00061BB0"/>
    <w:pPr>
      <w:spacing w:after="200" w:line="276" w:lineRule="auto"/>
      <w:ind w:left="720"/>
      <w:contextualSpacing/>
    </w:pPr>
    <w:rPr>
      <w:rFonts w:ascii="Calibri" w:hAnsi="Calibri"/>
      <w:sz w:val="22"/>
      <w:szCs w:val="22"/>
      <w:lang w:eastAsia="en-US"/>
    </w:rPr>
  </w:style>
  <w:style w:type="paragraph" w:styleId="af1">
    <w:name w:val="footnote text"/>
    <w:aliases w:val="Char Cha,Знак1, Знак1,ALTS FOOTNOTE,Car,Footnote Text Char Char Char1,Footnote Text Char1 Char Char Char,Footnote Text Char1 Char1 Char Char Char Char,Footnote Text Char2 Char,Footnote Text Char2 Char Char Char Char,fn,ft,Char Ch,Char Char,f"/>
    <w:basedOn w:val="a0"/>
    <w:link w:val="af2"/>
    <w:qFormat/>
    <w:rsid w:val="002726D8"/>
    <w:rPr>
      <w:sz w:val="20"/>
      <w:szCs w:val="20"/>
      <w:lang w:val="uk-UA" w:eastAsia="uk-UA"/>
    </w:rPr>
  </w:style>
  <w:style w:type="character" w:customStyle="1" w:styleId="af2">
    <w:name w:val="Текст сноски Знак"/>
    <w:aliases w:val="Char Cha Знак,Знак1 Знак, Знак1 Знак,ALTS FOOTNOTE Знак,Car Знак,Footnote Text Char Char Char1 Знак,Footnote Text Char1 Char Char Char Знак,Footnote Text Char1 Char1 Char Char Char Char Знак,Footnote Text Char2 Char Знак,fn Знак,ft Зна"/>
    <w:basedOn w:val="a1"/>
    <w:link w:val="af1"/>
    <w:rsid w:val="002726D8"/>
  </w:style>
  <w:style w:type="character" w:styleId="af3">
    <w:name w:val="footnote reference"/>
    <w:aliases w:val="(NECG) Footnote Reference,-E Fußnotenzeichen,FC,Footnote Reference Number,Footnote Reference_LVL6,Footnote Reference_LVL61,Footnote Reference_LVL62,Footnote Reference_LVL63,Footnote Reference_LVL64,Style 131,Style 4,fr,fußzeile !!!,o,Style 3"/>
    <w:uiPriority w:val="99"/>
    <w:qFormat/>
    <w:rsid w:val="002726D8"/>
    <w:rPr>
      <w:vertAlign w:val="superscript"/>
    </w:rPr>
  </w:style>
  <w:style w:type="paragraph" w:customStyle="1" w:styleId="af4">
    <w:name w:val="List Paragraph"/>
    <w:aliases w:val="#Listenabsatz,Normal mit Aufzählung a)"/>
    <w:basedOn w:val="a0"/>
    <w:link w:val="af5"/>
    <w:uiPriority w:val="34"/>
    <w:qFormat/>
    <w:rsid w:val="00F60F6B"/>
    <w:pPr>
      <w:overflowPunct w:val="0"/>
      <w:autoSpaceDE w:val="0"/>
      <w:autoSpaceDN w:val="0"/>
      <w:adjustRightInd w:val="0"/>
      <w:ind w:left="708"/>
    </w:pPr>
    <w:rPr>
      <w:szCs w:val="20"/>
      <w:lang w:val="x-none"/>
    </w:rPr>
  </w:style>
  <w:style w:type="character" w:customStyle="1" w:styleId="af5">
    <w:name w:val="Абзац списка Знак"/>
    <w:aliases w:val="#Listenabsatz Знак,Normal mit Aufzählung a) Знак,Bullet List Знак,FooterText Знак,numbered Знак,Paragraphe de liste1 Знак,Bulletr List Paragraph Знак,列出段落 Знак,列出段落1 Знак,List Paragraph2 Знак,List Paragraph21 Знак,Párrafo de lista1 Знак"/>
    <w:link w:val="af4"/>
    <w:uiPriority w:val="34"/>
    <w:qFormat/>
    <w:rsid w:val="00F60F6B"/>
    <w:rPr>
      <w:sz w:val="24"/>
      <w:lang w:eastAsia="ru-RU"/>
    </w:rPr>
  </w:style>
  <w:style w:type="paragraph" w:customStyle="1" w:styleId="af6">
    <w:name w:val=" Знак Знак Знак Знак"/>
    <w:basedOn w:val="a0"/>
    <w:rsid w:val="007B5A58"/>
    <w:pPr>
      <w:spacing w:after="160" w:line="240" w:lineRule="exact"/>
    </w:pPr>
    <w:rPr>
      <w:rFonts w:ascii="Verdana" w:hAnsi="Verdana" w:cs="Verdana"/>
      <w:sz w:val="20"/>
      <w:szCs w:val="20"/>
      <w:lang w:val="en-US" w:eastAsia="en-US"/>
    </w:rPr>
  </w:style>
  <w:style w:type="table" w:styleId="af7">
    <w:name w:val="Table Grid"/>
    <w:basedOn w:val="a2"/>
    <w:uiPriority w:val="59"/>
    <w:rsid w:val="00ED11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BodyTextL1">
    <w:name w:val="AMBodyText_L1"/>
    <w:basedOn w:val="a0"/>
    <w:next w:val="AMBodyTextL2"/>
    <w:rsid w:val="005B0120"/>
    <w:pPr>
      <w:keepNext/>
      <w:keepLines/>
      <w:numPr>
        <w:numId w:val="1"/>
      </w:numPr>
      <w:spacing w:after="240"/>
      <w:outlineLvl w:val="0"/>
    </w:pPr>
    <w:rPr>
      <w:b/>
      <w:smallCaps/>
      <w:szCs w:val="20"/>
      <w:lang w:val="en-GB" w:eastAsia="en-US"/>
    </w:rPr>
  </w:style>
  <w:style w:type="paragraph" w:customStyle="1" w:styleId="AMBodyTextL2">
    <w:name w:val="AMBodyText_L2"/>
    <w:basedOn w:val="AMBodyTextL1"/>
    <w:link w:val="AMBodyTextL2Char"/>
    <w:rsid w:val="005B0120"/>
    <w:pPr>
      <w:keepNext w:val="0"/>
      <w:keepLines w:val="0"/>
      <w:numPr>
        <w:ilvl w:val="1"/>
      </w:numPr>
      <w:jc w:val="both"/>
      <w:outlineLvl w:val="9"/>
    </w:pPr>
    <w:rPr>
      <w:b w:val="0"/>
      <w:smallCaps w:val="0"/>
      <w:lang w:eastAsia="x-none"/>
    </w:rPr>
  </w:style>
  <w:style w:type="character" w:customStyle="1" w:styleId="AMBodyTextL2Char">
    <w:name w:val="AMBodyText_L2 Char"/>
    <w:link w:val="AMBodyTextL2"/>
    <w:locked/>
    <w:rsid w:val="005B0120"/>
    <w:rPr>
      <w:sz w:val="24"/>
      <w:lang w:val="en-GB" w:eastAsia="x-none"/>
    </w:rPr>
  </w:style>
  <w:style w:type="paragraph" w:customStyle="1" w:styleId="AMBodyTextL3">
    <w:name w:val="AMBodyText_L3"/>
    <w:basedOn w:val="AMBodyTextL2"/>
    <w:rsid w:val="005B0120"/>
    <w:pPr>
      <w:numPr>
        <w:ilvl w:val="2"/>
      </w:numPr>
      <w:tabs>
        <w:tab w:val="clear" w:pos="1411"/>
        <w:tab w:val="num" w:pos="360"/>
        <w:tab w:val="num" w:pos="720"/>
        <w:tab w:val="num" w:pos="2548"/>
      </w:tabs>
      <w:ind w:left="720" w:hanging="180"/>
    </w:pPr>
  </w:style>
  <w:style w:type="paragraph" w:customStyle="1" w:styleId="AMBodyTextL4">
    <w:name w:val="AMBodyText_L4"/>
    <w:basedOn w:val="AMBodyTextL3"/>
    <w:rsid w:val="005B0120"/>
    <w:pPr>
      <w:numPr>
        <w:ilvl w:val="3"/>
      </w:numPr>
      <w:tabs>
        <w:tab w:val="clear" w:pos="2102"/>
        <w:tab w:val="num" w:pos="360"/>
        <w:tab w:val="num" w:pos="720"/>
        <w:tab w:val="num" w:pos="3268"/>
      </w:tabs>
      <w:ind w:left="2880" w:hanging="360"/>
    </w:pPr>
  </w:style>
  <w:style w:type="paragraph" w:customStyle="1" w:styleId="AMBodyTextL5">
    <w:name w:val="AMBodyText_L5"/>
    <w:basedOn w:val="AMBodyTextL4"/>
    <w:rsid w:val="005B0120"/>
    <w:pPr>
      <w:numPr>
        <w:ilvl w:val="4"/>
      </w:numPr>
      <w:tabs>
        <w:tab w:val="clear" w:pos="2822"/>
        <w:tab w:val="num" w:pos="360"/>
        <w:tab w:val="num" w:pos="720"/>
        <w:tab w:val="num" w:pos="3988"/>
      </w:tabs>
      <w:ind w:left="3600" w:hanging="360"/>
    </w:pPr>
  </w:style>
  <w:style w:type="paragraph" w:customStyle="1" w:styleId="AMBodyTextL6">
    <w:name w:val="AMBodyText_L6"/>
    <w:basedOn w:val="AMBodyTextL5"/>
    <w:rsid w:val="005B0120"/>
    <w:pPr>
      <w:numPr>
        <w:ilvl w:val="5"/>
      </w:numPr>
      <w:tabs>
        <w:tab w:val="clear" w:pos="3672"/>
        <w:tab w:val="num" w:pos="360"/>
        <w:tab w:val="num" w:pos="720"/>
        <w:tab w:val="num" w:pos="4708"/>
      </w:tabs>
      <w:ind w:left="4320" w:hanging="180"/>
    </w:pPr>
  </w:style>
  <w:style w:type="paragraph" w:customStyle="1" w:styleId="AMBodyTextL7">
    <w:name w:val="AMBodyText_L7"/>
    <w:basedOn w:val="AMBodyTextL6"/>
    <w:rsid w:val="005B0120"/>
    <w:pPr>
      <w:numPr>
        <w:ilvl w:val="6"/>
      </w:numPr>
      <w:tabs>
        <w:tab w:val="clear" w:pos="4507"/>
        <w:tab w:val="num" w:pos="360"/>
        <w:tab w:val="num" w:pos="720"/>
        <w:tab w:val="num" w:pos="5428"/>
      </w:tabs>
      <w:ind w:left="5040" w:hanging="360"/>
    </w:pPr>
  </w:style>
  <w:style w:type="paragraph" w:customStyle="1" w:styleId="AMBodyTextL8">
    <w:name w:val="AMBodyText_L8"/>
    <w:basedOn w:val="AMBodyTextL7"/>
    <w:rsid w:val="005B0120"/>
    <w:pPr>
      <w:numPr>
        <w:ilvl w:val="7"/>
      </w:numPr>
      <w:tabs>
        <w:tab w:val="clear" w:pos="5242"/>
        <w:tab w:val="num" w:pos="360"/>
        <w:tab w:val="num" w:pos="720"/>
        <w:tab w:val="num" w:pos="6148"/>
      </w:tabs>
      <w:ind w:left="5760" w:hanging="360"/>
    </w:pPr>
  </w:style>
  <w:style w:type="character" w:styleId="af8">
    <w:name w:val="Hyperlink"/>
    <w:uiPriority w:val="99"/>
    <w:unhideWhenUsed/>
    <w:rsid w:val="006F51D3"/>
    <w:rPr>
      <w:color w:val="0000FF"/>
      <w:u w:val="single"/>
    </w:rPr>
  </w:style>
  <w:style w:type="paragraph" w:customStyle="1" w:styleId="Default">
    <w:name w:val="Default"/>
    <w:rsid w:val="005E041A"/>
    <w:pPr>
      <w:autoSpaceDE w:val="0"/>
      <w:autoSpaceDN w:val="0"/>
      <w:adjustRightInd w:val="0"/>
    </w:pPr>
    <w:rPr>
      <w:color w:val="000000"/>
      <w:sz w:val="24"/>
      <w:szCs w:val="24"/>
      <w:lang w:val="uk-UA" w:eastAsia="uk-UA"/>
    </w:rPr>
  </w:style>
  <w:style w:type="paragraph" w:customStyle="1" w:styleId="230">
    <w:name w:val="Основной текст 23"/>
    <w:basedOn w:val="a0"/>
    <w:rsid w:val="009142A9"/>
    <w:pPr>
      <w:overflowPunct w:val="0"/>
      <w:autoSpaceDE w:val="0"/>
      <w:autoSpaceDN w:val="0"/>
      <w:adjustRightInd w:val="0"/>
      <w:ind w:firstLine="720"/>
      <w:jc w:val="both"/>
      <w:textAlignment w:val="baseline"/>
    </w:pPr>
    <w:rPr>
      <w:szCs w:val="20"/>
      <w:lang w:val="uk-UA"/>
    </w:rPr>
  </w:style>
  <w:style w:type="paragraph" w:customStyle="1" w:styleId="ShortOutlineStyle1">
    <w:name w:val="ShortOutlineStyle1"/>
    <w:basedOn w:val="a0"/>
    <w:rsid w:val="006548FA"/>
    <w:pPr>
      <w:tabs>
        <w:tab w:val="num" w:pos="720"/>
      </w:tabs>
      <w:spacing w:before="240" w:after="240"/>
      <w:ind w:left="720" w:hanging="720"/>
      <w:jc w:val="both"/>
    </w:pPr>
    <w:rPr>
      <w:rFonts w:eastAsia="SimSun"/>
      <w:lang w:val="en-US" w:eastAsia="ar-SA"/>
    </w:rPr>
  </w:style>
  <w:style w:type="character" w:styleId="af9">
    <w:name w:val="Strong"/>
    <w:uiPriority w:val="22"/>
    <w:qFormat/>
    <w:rsid w:val="00EB5633"/>
    <w:rPr>
      <w:b/>
      <w:bCs/>
    </w:rPr>
  </w:style>
  <w:style w:type="character" w:customStyle="1" w:styleId="a5">
    <w:name w:val="Верхний колонтитул Знак"/>
    <w:aliases w:val="HeaderPort Знак"/>
    <w:link w:val="a4"/>
    <w:rsid w:val="00337980"/>
    <w:rPr>
      <w:sz w:val="24"/>
      <w:szCs w:val="24"/>
      <w:lang w:val="ru-RU" w:eastAsia="ru-RU"/>
    </w:rPr>
  </w:style>
  <w:style w:type="paragraph" w:styleId="HTML">
    <w:name w:val="HTML Preformatted"/>
    <w:basedOn w:val="a0"/>
    <w:link w:val="HTML0"/>
    <w:uiPriority w:val="99"/>
    <w:unhideWhenUsed/>
    <w:rsid w:val="00B650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uiPriority w:val="99"/>
    <w:rsid w:val="00B650CE"/>
    <w:rPr>
      <w:rFonts w:ascii="Courier New" w:hAnsi="Courier New" w:cs="Courier New"/>
    </w:rPr>
  </w:style>
  <w:style w:type="character" w:customStyle="1" w:styleId="afa">
    <w:name w:val="Нумерованный список Знак"/>
    <w:link w:val="a"/>
    <w:rsid w:val="00915DDF"/>
    <w:rPr>
      <w:rFonts w:eastAsia="Arial"/>
      <w:lang w:val="en-GB" w:eastAsia="x-none"/>
    </w:rPr>
  </w:style>
  <w:style w:type="paragraph" w:styleId="a">
    <w:name w:val="List Number"/>
    <w:basedOn w:val="a0"/>
    <w:link w:val="afa"/>
    <w:qFormat/>
    <w:rsid w:val="00915DDF"/>
    <w:pPr>
      <w:numPr>
        <w:numId w:val="3"/>
      </w:numPr>
      <w:spacing w:before="180" w:after="180"/>
      <w:jc w:val="both"/>
    </w:pPr>
    <w:rPr>
      <w:rFonts w:eastAsia="Arial"/>
      <w:sz w:val="20"/>
      <w:szCs w:val="20"/>
      <w:lang w:val="en-GB" w:eastAsia="x-none"/>
    </w:rPr>
  </w:style>
  <w:style w:type="paragraph" w:customStyle="1" w:styleId="210">
    <w:name w:val="Основной текст 21"/>
    <w:basedOn w:val="a0"/>
    <w:rsid w:val="00B42218"/>
    <w:pPr>
      <w:overflowPunct w:val="0"/>
      <w:autoSpaceDE w:val="0"/>
      <w:autoSpaceDN w:val="0"/>
      <w:adjustRightInd w:val="0"/>
      <w:ind w:firstLine="720"/>
      <w:jc w:val="both"/>
      <w:textAlignment w:val="baseline"/>
    </w:pPr>
    <w:rPr>
      <w:szCs w:val="20"/>
      <w:lang w:val="uk-UA"/>
    </w:rPr>
  </w:style>
  <w:style w:type="paragraph" w:customStyle="1" w:styleId="PI-Text">
    <w:name w:val="PI-Text"/>
    <w:basedOn w:val="a0"/>
    <w:rsid w:val="00D65770"/>
    <w:pPr>
      <w:tabs>
        <w:tab w:val="left" w:pos="1418"/>
      </w:tabs>
      <w:spacing w:line="360" w:lineRule="exact"/>
    </w:pPr>
    <w:rPr>
      <w:sz w:val="26"/>
      <w:szCs w:val="22"/>
      <w:lang w:val="de-DE" w:eastAsia="de-DE"/>
    </w:rPr>
  </w:style>
  <w:style w:type="paragraph" w:customStyle="1" w:styleId="11">
    <w:name w:val="Обычный1"/>
    <w:uiPriority w:val="99"/>
    <w:rsid w:val="00C41EF9"/>
    <w:pPr>
      <w:spacing w:line="276" w:lineRule="auto"/>
    </w:pPr>
    <w:rPr>
      <w:rFonts w:ascii="Arial" w:eastAsia="Calibri" w:hAnsi="Arial" w:cs="Arial"/>
      <w:color w:val="000000"/>
      <w:sz w:val="22"/>
      <w:szCs w:val="22"/>
    </w:rPr>
  </w:style>
  <w:style w:type="paragraph" w:customStyle="1" w:styleId="StyleListParagraphAfter12pt">
    <w:name w:val="Style List Paragraph + After:  12 pt"/>
    <w:basedOn w:val="af4"/>
    <w:link w:val="StyleListParagraphAfter12ptChar"/>
    <w:rsid w:val="00F30331"/>
    <w:pPr>
      <w:numPr>
        <w:numId w:val="4"/>
      </w:numPr>
      <w:overflowPunct/>
      <w:autoSpaceDE/>
      <w:autoSpaceDN/>
      <w:adjustRightInd/>
      <w:spacing w:after="240"/>
    </w:pPr>
    <w:rPr>
      <w:rFonts w:ascii="Calibri" w:hAnsi="Calibri"/>
      <w:lang w:val="en-GB"/>
    </w:rPr>
  </w:style>
  <w:style w:type="character" w:customStyle="1" w:styleId="StyleListParagraphAfter12ptChar">
    <w:name w:val="Style List Paragraph + After:  12 pt Char"/>
    <w:link w:val="StyleListParagraphAfter12pt"/>
    <w:rsid w:val="00F30331"/>
    <w:rPr>
      <w:rFonts w:ascii="Calibri" w:hAnsi="Calibri"/>
      <w:sz w:val="24"/>
      <w:lang w:val="en-GB"/>
    </w:rPr>
  </w:style>
  <w:style w:type="character" w:customStyle="1" w:styleId="apple-converted-space">
    <w:name w:val="apple-converted-space"/>
    <w:rsid w:val="00875B09"/>
  </w:style>
  <w:style w:type="character" w:customStyle="1" w:styleId="FontStyle20">
    <w:name w:val="Font Style20"/>
    <w:uiPriority w:val="99"/>
    <w:rsid w:val="00E210DC"/>
    <w:rPr>
      <w:rFonts w:ascii="Cambria" w:hAnsi="Cambria" w:cs="Cambria"/>
      <w:sz w:val="24"/>
      <w:szCs w:val="24"/>
    </w:rPr>
  </w:style>
  <w:style w:type="numbering" w:customStyle="1" w:styleId="8">
    <w:name w:val="Импортированный стиль 8"/>
    <w:rsid w:val="005C0D6E"/>
    <w:pPr>
      <w:numPr>
        <w:numId w:val="5"/>
      </w:numPr>
    </w:pPr>
  </w:style>
  <w:style w:type="numbering" w:customStyle="1" w:styleId="7">
    <w:name w:val="Импортированный стиль 7"/>
    <w:rsid w:val="005C0D6E"/>
    <w:pPr>
      <w:numPr>
        <w:numId w:val="6"/>
      </w:numPr>
    </w:pPr>
  </w:style>
  <w:style w:type="paragraph" w:customStyle="1" w:styleId="4">
    <w:name w:val="Абзац списка4"/>
    <w:basedOn w:val="a0"/>
    <w:rsid w:val="00E77D70"/>
    <w:pPr>
      <w:ind w:left="720"/>
      <w:contextualSpacing/>
      <w:jc w:val="both"/>
    </w:pPr>
    <w:rPr>
      <w:szCs w:val="22"/>
      <w:lang w:eastAsia="en-US"/>
    </w:rPr>
  </w:style>
  <w:style w:type="paragraph" w:styleId="afb">
    <w:name w:val="Document Map"/>
    <w:basedOn w:val="a0"/>
    <w:link w:val="afc"/>
    <w:rsid w:val="00666FB1"/>
    <w:pPr>
      <w:overflowPunct w:val="0"/>
      <w:autoSpaceDE w:val="0"/>
      <w:autoSpaceDN w:val="0"/>
      <w:adjustRightInd w:val="0"/>
      <w:textAlignment w:val="baseline"/>
    </w:pPr>
    <w:rPr>
      <w:rFonts w:ascii="Tahoma" w:hAnsi="Tahoma" w:cs="Tahoma"/>
      <w:sz w:val="16"/>
      <w:szCs w:val="16"/>
      <w:lang w:val="uk-UA"/>
    </w:rPr>
  </w:style>
  <w:style w:type="character" w:customStyle="1" w:styleId="afc">
    <w:name w:val="Схема документа Знак"/>
    <w:link w:val="afb"/>
    <w:rsid w:val="00666FB1"/>
    <w:rPr>
      <w:rFonts w:ascii="Tahoma" w:hAnsi="Tahoma" w:cs="Tahoma"/>
      <w:sz w:val="16"/>
      <w:szCs w:val="16"/>
      <w:lang w:val="uk-UA"/>
    </w:rPr>
  </w:style>
  <w:style w:type="paragraph" w:customStyle="1" w:styleId="cef1edeee2edeee9f2e5eaf1f221">
    <w:name w:val="Оceсf1нedоeeвe2нedоeeйe9 тf2еe5кeaсf1тf2 21"/>
    <w:basedOn w:val="a0"/>
    <w:uiPriority w:val="99"/>
    <w:rsid w:val="00E05E52"/>
    <w:pPr>
      <w:autoSpaceDE w:val="0"/>
      <w:autoSpaceDN w:val="0"/>
      <w:adjustRightInd w:val="0"/>
      <w:ind w:firstLine="720"/>
      <w:jc w:val="both"/>
    </w:pPr>
    <w:rPr>
      <w:lang w:val="uk-UA" w:eastAsia="uk-UA"/>
    </w:rPr>
  </w:style>
  <w:style w:type="paragraph" w:customStyle="1" w:styleId="rvps2">
    <w:name w:val="rvps2"/>
    <w:basedOn w:val="a0"/>
    <w:rsid w:val="00E603B2"/>
    <w:pPr>
      <w:spacing w:before="100" w:beforeAutospacing="1" w:after="100" w:afterAutospacing="1"/>
    </w:pPr>
    <w:rPr>
      <w:lang w:val="en-US" w:eastAsia="en-US"/>
    </w:rPr>
  </w:style>
  <w:style w:type="paragraph" w:customStyle="1" w:styleId="Legal2L1">
    <w:name w:val="Legal2_L1"/>
    <w:basedOn w:val="a0"/>
    <w:next w:val="ad"/>
    <w:rsid w:val="002D468C"/>
    <w:pPr>
      <w:widowControl w:val="0"/>
      <w:numPr>
        <w:numId w:val="9"/>
      </w:numPr>
      <w:adjustRightInd w:val="0"/>
      <w:spacing w:after="240" w:line="240" w:lineRule="atLeast"/>
      <w:ind w:left="1440"/>
      <w:jc w:val="both"/>
      <w:outlineLvl w:val="0"/>
    </w:pPr>
    <w:rPr>
      <w:rFonts w:ascii="Calibri"/>
      <w:b/>
      <w:szCs w:val="20"/>
      <w:lang w:val="en-GB" w:eastAsia="ko-KR"/>
    </w:rPr>
  </w:style>
  <w:style w:type="paragraph" w:customStyle="1" w:styleId="Legal2L2">
    <w:name w:val="Legal2_L2"/>
    <w:basedOn w:val="Legal2L1"/>
    <w:next w:val="ad"/>
    <w:rsid w:val="002D468C"/>
    <w:pPr>
      <w:numPr>
        <w:ilvl w:val="1"/>
      </w:numPr>
      <w:tabs>
        <w:tab w:val="clear" w:pos="1440"/>
      </w:tabs>
      <w:ind w:left="2160"/>
      <w:outlineLvl w:val="1"/>
    </w:pPr>
  </w:style>
  <w:style w:type="paragraph" w:customStyle="1" w:styleId="Legal2L3">
    <w:name w:val="Legal2_L3"/>
    <w:basedOn w:val="Legal2L2"/>
    <w:next w:val="ad"/>
    <w:rsid w:val="002D468C"/>
    <w:pPr>
      <w:numPr>
        <w:ilvl w:val="2"/>
      </w:numPr>
      <w:tabs>
        <w:tab w:val="clear" w:pos="2160"/>
      </w:tabs>
      <w:ind w:left="2880"/>
      <w:outlineLvl w:val="2"/>
    </w:pPr>
  </w:style>
  <w:style w:type="paragraph" w:customStyle="1" w:styleId="Legal2L4">
    <w:name w:val="Legal2_L4"/>
    <w:basedOn w:val="Legal2L3"/>
    <w:next w:val="ad"/>
    <w:rsid w:val="002D468C"/>
    <w:pPr>
      <w:numPr>
        <w:ilvl w:val="3"/>
      </w:numPr>
      <w:tabs>
        <w:tab w:val="clear" w:pos="3240"/>
      </w:tabs>
      <w:ind w:left="3600"/>
      <w:outlineLvl w:val="3"/>
    </w:pPr>
  </w:style>
  <w:style w:type="paragraph" w:customStyle="1" w:styleId="Legal2L5">
    <w:name w:val="Legal2_L5"/>
    <w:basedOn w:val="Legal2L4"/>
    <w:rsid w:val="002D468C"/>
    <w:pPr>
      <w:numPr>
        <w:ilvl w:val="4"/>
      </w:numPr>
      <w:tabs>
        <w:tab w:val="clear" w:pos="3960"/>
      </w:tabs>
      <w:ind w:left="720"/>
      <w:jc w:val="left"/>
      <w:outlineLvl w:val="4"/>
    </w:pPr>
    <w:rPr>
      <w:b w:val="0"/>
    </w:rPr>
  </w:style>
  <w:style w:type="paragraph" w:customStyle="1" w:styleId="Legal2L6">
    <w:name w:val="Legal2_L6"/>
    <w:basedOn w:val="Legal2L5"/>
    <w:rsid w:val="002D468C"/>
    <w:pPr>
      <w:numPr>
        <w:ilvl w:val="5"/>
      </w:numPr>
      <w:outlineLvl w:val="5"/>
    </w:pPr>
  </w:style>
  <w:style w:type="paragraph" w:customStyle="1" w:styleId="Legal2L7">
    <w:name w:val="Legal2_L7"/>
    <w:basedOn w:val="Legal2L6"/>
    <w:rsid w:val="002D468C"/>
    <w:pPr>
      <w:numPr>
        <w:ilvl w:val="6"/>
      </w:numPr>
      <w:tabs>
        <w:tab w:val="clear" w:pos="720"/>
      </w:tabs>
      <w:ind w:left="1440"/>
      <w:outlineLvl w:val="6"/>
    </w:pPr>
  </w:style>
  <w:style w:type="paragraph" w:customStyle="1" w:styleId="Legal2L9">
    <w:name w:val="Legal2_L9"/>
    <w:basedOn w:val="a0"/>
    <w:next w:val="Legal2L7"/>
    <w:rsid w:val="002D468C"/>
    <w:pPr>
      <w:widowControl w:val="0"/>
      <w:numPr>
        <w:ilvl w:val="8"/>
        <w:numId w:val="9"/>
      </w:numPr>
      <w:adjustRightInd w:val="0"/>
      <w:spacing w:after="240" w:line="240" w:lineRule="atLeast"/>
      <w:ind w:left="720"/>
      <w:jc w:val="both"/>
      <w:outlineLvl w:val="8"/>
    </w:pPr>
    <w:rPr>
      <w:rFonts w:ascii="Calibri"/>
      <w:szCs w:val="20"/>
      <w:lang w:val="en-GB" w:eastAsia="ko-KR"/>
    </w:rPr>
  </w:style>
  <w:style w:type="paragraph" w:styleId="afd">
    <w:name w:val="Revision"/>
    <w:hidden/>
    <w:uiPriority w:val="99"/>
    <w:semiHidden/>
    <w:rsid w:val="00686E80"/>
    <w:rPr>
      <w:rFonts w:ascii="Calibri" w:eastAsia="Calibri" w:hAnsi="Calibri"/>
      <w:sz w:val="24"/>
      <w:szCs w:val="24"/>
      <w:lang w:val="en-US" w:eastAsia="en-US"/>
    </w:rPr>
  </w:style>
  <w:style w:type="character" w:styleId="afe">
    <w:name w:val="FollowedHyperlink"/>
    <w:rsid w:val="005D1B14"/>
    <w:rPr>
      <w:color w:val="800080"/>
      <w:u w:val="single"/>
    </w:rPr>
  </w:style>
  <w:style w:type="paragraph" w:styleId="aff">
    <w:name w:val="No Spacing"/>
    <w:basedOn w:val="a0"/>
    <w:link w:val="aff0"/>
    <w:uiPriority w:val="1"/>
    <w:qFormat/>
    <w:rsid w:val="00AA0826"/>
    <w:rPr>
      <w:rFonts w:ascii="Calibri" w:hAnsi="Calibri"/>
      <w:sz w:val="20"/>
      <w:szCs w:val="20"/>
      <w:lang w:val="x-none" w:eastAsia="x-none" w:bidi="en-US"/>
    </w:rPr>
  </w:style>
  <w:style w:type="character" w:customStyle="1" w:styleId="aff0">
    <w:name w:val="Без интервала Знак"/>
    <w:link w:val="aff"/>
    <w:uiPriority w:val="1"/>
    <w:rsid w:val="00AA0826"/>
    <w:rPr>
      <w:rFonts w:ascii="Calibri" w:hAnsi="Calibri"/>
      <w:lang w:val="x-none" w:eastAsia="x-none" w:bidi="en-US"/>
    </w:rPr>
  </w:style>
  <w:style w:type="paragraph" w:styleId="aff1">
    <w:name w:val="Title"/>
    <w:aliases w:val=" Знак, Знак Знак Знак Знак Знак, Знак Знак Знак Знак1,Знак Знак Знак Знак,Знак Знак Знак Знак Знак,Знак Знак Знак Знак1"/>
    <w:basedOn w:val="a0"/>
    <w:next w:val="ad"/>
    <w:link w:val="aff2"/>
    <w:qFormat/>
    <w:rsid w:val="00475344"/>
    <w:pPr>
      <w:keepNext/>
      <w:widowControl w:val="0"/>
      <w:adjustRightInd w:val="0"/>
      <w:spacing w:after="240" w:line="360" w:lineRule="atLeast"/>
      <w:jc w:val="center"/>
      <w:textAlignment w:val="baseline"/>
    </w:pPr>
    <w:rPr>
      <w:rFonts w:ascii="Times New Roman Bold" w:eastAsia="SimSun" w:hAnsi="Times New Roman Bold"/>
      <w:b/>
      <w:snapToGrid w:val="0"/>
      <w:szCs w:val="52"/>
      <w:u w:val="single"/>
      <w:lang w:val="en-US"/>
    </w:rPr>
  </w:style>
  <w:style w:type="character" w:customStyle="1" w:styleId="aff2">
    <w:name w:val="Название Знак"/>
    <w:aliases w:val=" Знак Знак, Знак Знак Знак Знак Знак Знак, Знак Знак Знак Знак1 Знак,Знак Знак Знак Знак Знак1,Знак Знак Знак Знак Знак Знак,Знак Знак Знак Знак1 Знак"/>
    <w:link w:val="aff1"/>
    <w:rsid w:val="00475344"/>
    <w:rPr>
      <w:rFonts w:ascii="Times New Roman Bold" w:eastAsia="SimSun" w:hAnsi="Times New Roman Bold"/>
      <w:b/>
      <w:snapToGrid w:val="0"/>
      <w:sz w:val="24"/>
      <w:szCs w:val="52"/>
      <w:u w:val="single"/>
      <w:lang w:val="en-US"/>
    </w:rPr>
  </w:style>
  <w:style w:type="paragraph" w:customStyle="1" w:styleId="Legal1L3">
    <w:name w:val="Legal1_L3"/>
    <w:basedOn w:val="a0"/>
    <w:next w:val="ad"/>
    <w:rsid w:val="00F01F2C"/>
    <w:pPr>
      <w:widowControl w:val="0"/>
      <w:numPr>
        <w:ilvl w:val="2"/>
        <w:numId w:val="8"/>
      </w:numPr>
      <w:tabs>
        <w:tab w:val="num" w:pos="1440"/>
      </w:tabs>
      <w:adjustRightInd w:val="0"/>
      <w:spacing w:after="240" w:line="360" w:lineRule="atLeast"/>
      <w:ind w:left="1440"/>
      <w:jc w:val="both"/>
      <w:textAlignment w:val="baseline"/>
      <w:outlineLvl w:val="2"/>
    </w:pPr>
    <w:rPr>
      <w:rFonts w:eastAsia="SimSun"/>
      <w:snapToGrid w:val="0"/>
      <w:szCs w:val="20"/>
      <w:lang w:val="en-US"/>
    </w:rPr>
  </w:style>
  <w:style w:type="character" w:styleId="aff3">
    <w:name w:val="annotation reference"/>
    <w:rsid w:val="009E3A97"/>
    <w:rPr>
      <w:sz w:val="16"/>
      <w:szCs w:val="16"/>
    </w:rPr>
  </w:style>
  <w:style w:type="paragraph" w:styleId="aff4">
    <w:name w:val="annotation text"/>
    <w:basedOn w:val="a0"/>
    <w:link w:val="aff5"/>
    <w:rsid w:val="009E3A97"/>
    <w:rPr>
      <w:sz w:val="20"/>
      <w:szCs w:val="20"/>
    </w:rPr>
  </w:style>
  <w:style w:type="character" w:customStyle="1" w:styleId="aff5">
    <w:name w:val="Текст примечания Знак"/>
    <w:basedOn w:val="a1"/>
    <w:link w:val="aff4"/>
    <w:rsid w:val="009E3A97"/>
  </w:style>
  <w:style w:type="paragraph" w:styleId="aff6">
    <w:name w:val="annotation subject"/>
    <w:basedOn w:val="aff4"/>
    <w:next w:val="aff4"/>
    <w:link w:val="aff7"/>
    <w:rsid w:val="009E3A97"/>
    <w:rPr>
      <w:b/>
      <w:bCs/>
    </w:rPr>
  </w:style>
  <w:style w:type="character" w:customStyle="1" w:styleId="aff7">
    <w:name w:val="Тема примечания Знак"/>
    <w:link w:val="aff6"/>
    <w:rsid w:val="009E3A97"/>
    <w:rPr>
      <w:b/>
      <w:bCs/>
    </w:rPr>
  </w:style>
  <w:style w:type="paragraph" w:customStyle="1" w:styleId="35">
    <w:name w:val=" Знак Знак3 Знак Знак Знак Знак"/>
    <w:basedOn w:val="a0"/>
    <w:rsid w:val="00EE4354"/>
    <w:rPr>
      <w:rFonts w:ascii="Verdana" w:hAnsi="Verdana" w:cs="Verdana"/>
      <w:sz w:val="20"/>
      <w:szCs w:val="20"/>
      <w:lang w:val="en-US" w:eastAsia="en-US"/>
    </w:rPr>
  </w:style>
  <w:style w:type="paragraph" w:styleId="aff8">
    <w:name w:val="List Paragraph"/>
    <w:aliases w:val="Bullet List,FooterText,numbered,Paragraphe de liste1,Bulletr List Paragraph,列出段落,列出段落1,List Paragraph2,List Paragraph21,Párrafo de lista1,Parágrafo da Lista1,リスト段落1,Listeafsnit1,Bullet list,Listenabsatz1"/>
    <w:basedOn w:val="a0"/>
    <w:uiPriority w:val="34"/>
    <w:qFormat/>
    <w:rsid w:val="00E36E12"/>
    <w:pPr>
      <w:ind w:left="708"/>
    </w:pPr>
  </w:style>
  <w:style w:type="character" w:customStyle="1" w:styleId="rvts0">
    <w:name w:val="rvts0"/>
    <w:rsid w:val="00C42E25"/>
  </w:style>
  <w:style w:type="character" w:customStyle="1" w:styleId="rvts23">
    <w:name w:val="rvts23"/>
    <w:rsid w:val="00E56355"/>
  </w:style>
  <w:style w:type="paragraph" w:customStyle="1" w:styleId="rvps4">
    <w:name w:val="rvps4"/>
    <w:basedOn w:val="a0"/>
    <w:rsid w:val="00E56355"/>
    <w:pPr>
      <w:spacing w:before="100" w:beforeAutospacing="1" w:after="100" w:afterAutospacing="1"/>
    </w:pPr>
    <w:rPr>
      <w:lang w:val="uk-UA" w:eastAsia="uk-UA"/>
    </w:rPr>
  </w:style>
  <w:style w:type="paragraph" w:customStyle="1" w:styleId="rvps7">
    <w:name w:val="rvps7"/>
    <w:basedOn w:val="a0"/>
    <w:rsid w:val="00E56355"/>
    <w:pPr>
      <w:spacing w:before="100" w:beforeAutospacing="1" w:after="100" w:afterAutospacing="1"/>
    </w:pPr>
    <w:rPr>
      <w:lang w:val="uk-UA" w:eastAsia="uk-UA"/>
    </w:rPr>
  </w:style>
  <w:style w:type="character" w:customStyle="1" w:styleId="rvts9">
    <w:name w:val="rvts9"/>
    <w:rsid w:val="00E56355"/>
  </w:style>
  <w:style w:type="paragraph" w:customStyle="1" w:styleId="rvps14">
    <w:name w:val="rvps14"/>
    <w:basedOn w:val="a0"/>
    <w:rsid w:val="00E56355"/>
    <w:pPr>
      <w:spacing w:before="100" w:beforeAutospacing="1" w:after="100" w:afterAutospacing="1"/>
    </w:pPr>
    <w:rPr>
      <w:lang w:val="uk-UA" w:eastAsia="uk-UA"/>
    </w:rPr>
  </w:style>
  <w:style w:type="character" w:customStyle="1" w:styleId="rvts11">
    <w:name w:val="rvts11"/>
    <w:rsid w:val="005043B1"/>
  </w:style>
  <w:style w:type="character" w:customStyle="1" w:styleId="rvts46">
    <w:name w:val="rvts46"/>
    <w:rsid w:val="006E2692"/>
  </w:style>
  <w:style w:type="character" w:customStyle="1" w:styleId="ListParagraphChar">
    <w:name w:val="List Paragraph Char"/>
    <w:aliases w:val="#Listenabsatz Char,Normal mit Aufzählung a) Char"/>
    <w:locked/>
    <w:rsid w:val="006E2692"/>
    <w:rPr>
      <w:rFonts w:ascii="Times New Roman" w:hAnsi="Times New Roman"/>
      <w:sz w:val="24"/>
      <w:lang w:val="ru-RU" w:eastAsia="ar-SA" w:bidi="ar-SA"/>
    </w:rPr>
  </w:style>
  <w:style w:type="character" w:customStyle="1" w:styleId="rvts37">
    <w:name w:val="rvts37"/>
    <w:rsid w:val="006E2692"/>
  </w:style>
  <w:style w:type="character" w:styleId="aff9">
    <w:name w:val="Subtle Emphasis"/>
    <w:uiPriority w:val="19"/>
    <w:qFormat/>
    <w:rsid w:val="006E2692"/>
    <w:rPr>
      <w:i/>
      <w:iCs/>
      <w:color w:val="808080"/>
    </w:rPr>
  </w:style>
  <w:style w:type="paragraph" w:customStyle="1" w:styleId="rvps3">
    <w:name w:val="rvps3"/>
    <w:basedOn w:val="a0"/>
    <w:rsid w:val="006E2692"/>
    <w:pPr>
      <w:spacing w:before="100" w:beforeAutospacing="1" w:after="100" w:afterAutospacing="1"/>
    </w:pPr>
  </w:style>
  <w:style w:type="character" w:customStyle="1" w:styleId="rvts40">
    <w:name w:val="rvts40"/>
    <w:rsid w:val="006E2692"/>
  </w:style>
  <w:style w:type="character" w:customStyle="1" w:styleId="rvts80">
    <w:name w:val="rvts80"/>
    <w:rsid w:val="006E2692"/>
  </w:style>
  <w:style w:type="paragraph" w:customStyle="1" w:styleId="rvps12">
    <w:name w:val="rvps12"/>
    <w:basedOn w:val="a0"/>
    <w:rsid w:val="006E2692"/>
    <w:pPr>
      <w:spacing w:before="100" w:beforeAutospacing="1" w:after="100" w:afterAutospacing="1"/>
    </w:pPr>
  </w:style>
  <w:style w:type="paragraph" w:customStyle="1" w:styleId="rvps6">
    <w:name w:val="rvps6"/>
    <w:basedOn w:val="a0"/>
    <w:rsid w:val="006E2692"/>
    <w:pPr>
      <w:spacing w:before="100" w:beforeAutospacing="1" w:after="100" w:afterAutospacing="1"/>
    </w:pPr>
  </w:style>
  <w:style w:type="character" w:customStyle="1" w:styleId="10">
    <w:name w:val="Заголовок 1 Знак"/>
    <w:link w:val="1"/>
    <w:rsid w:val="00262106"/>
    <w:rPr>
      <w:b/>
      <w:sz w:val="24"/>
      <w:szCs w:val="24"/>
      <w:lang w:val="uk-UA"/>
    </w:rPr>
  </w:style>
  <w:style w:type="character" w:customStyle="1" w:styleId="20">
    <w:name w:val="Заголовок 2 Знак"/>
    <w:link w:val="2"/>
    <w:uiPriority w:val="9"/>
    <w:rsid w:val="00262106"/>
    <w:rPr>
      <w:b/>
      <w:sz w:val="24"/>
      <w:szCs w:val="24"/>
    </w:rPr>
  </w:style>
  <w:style w:type="character" w:customStyle="1" w:styleId="30">
    <w:name w:val="Заголовок 3 Знак"/>
    <w:link w:val="3"/>
    <w:rsid w:val="00262106"/>
    <w:rPr>
      <w:b/>
      <w:color w:val="FF0000"/>
      <w:lang w:val="uk-UA"/>
    </w:rPr>
  </w:style>
  <w:style w:type="character" w:customStyle="1" w:styleId="a8">
    <w:name w:val="Основной текст с отступом Знак"/>
    <w:link w:val="a7"/>
    <w:rsid w:val="00262106"/>
    <w:rPr>
      <w:sz w:val="24"/>
      <w:szCs w:val="24"/>
      <w:lang w:val="uk-UA"/>
    </w:rPr>
  </w:style>
  <w:style w:type="character" w:customStyle="1" w:styleId="aa">
    <w:name w:val="Текст выноски Знак"/>
    <w:link w:val="a9"/>
    <w:semiHidden/>
    <w:rsid w:val="00262106"/>
    <w:rPr>
      <w:rFonts w:ascii="Tahoma" w:hAnsi="Tahoma" w:cs="Tahoma"/>
      <w:sz w:val="16"/>
      <w:szCs w:val="16"/>
    </w:rPr>
  </w:style>
  <w:style w:type="character" w:customStyle="1" w:styleId="22">
    <w:name w:val="Основной текст 2 Знак"/>
    <w:link w:val="21"/>
    <w:rsid w:val="00262106"/>
    <w:rPr>
      <w:sz w:val="22"/>
      <w:szCs w:val="24"/>
      <w:lang w:val="uk-UA"/>
    </w:rPr>
  </w:style>
  <w:style w:type="character" w:customStyle="1" w:styleId="32">
    <w:name w:val="Основной текст с отступом 3 Знак"/>
    <w:link w:val="31"/>
    <w:rsid w:val="00262106"/>
    <w:rPr>
      <w:sz w:val="24"/>
      <w:szCs w:val="24"/>
      <w:lang w:val="uk-UA"/>
    </w:rPr>
  </w:style>
  <w:style w:type="character" w:customStyle="1" w:styleId="ac">
    <w:name w:val="Нижний колонтитул Знак"/>
    <w:link w:val="ab"/>
    <w:rsid w:val="00262106"/>
    <w:rPr>
      <w:sz w:val="24"/>
      <w:szCs w:val="24"/>
    </w:rPr>
  </w:style>
  <w:style w:type="character" w:customStyle="1" w:styleId="24">
    <w:name w:val="Основной текст с отступом 2 Знак"/>
    <w:link w:val="23"/>
    <w:rsid w:val="00262106"/>
    <w:rPr>
      <w:color w:val="FF0000"/>
      <w:sz w:val="24"/>
      <w:szCs w:val="24"/>
      <w:lang w:val="uk-UA"/>
    </w:rPr>
  </w:style>
  <w:style w:type="character" w:customStyle="1" w:styleId="ae">
    <w:name w:val="Основной текст Знак"/>
    <w:link w:val="ad"/>
    <w:rsid w:val="00262106"/>
    <w:rPr>
      <w:color w:val="FF0000"/>
      <w:lang w:val="uk-UA"/>
    </w:rPr>
  </w:style>
  <w:style w:type="character" w:customStyle="1" w:styleId="34">
    <w:name w:val="Основной текст 3 Знак"/>
    <w:link w:val="33"/>
    <w:rsid w:val="00262106"/>
    <w:rPr>
      <w:sz w:val="24"/>
      <w:lang w:val="uk-UA"/>
    </w:rPr>
  </w:style>
  <w:style w:type="numbering" w:customStyle="1" w:styleId="81">
    <w:name w:val="Импортированный стиль 81"/>
    <w:rsid w:val="00262106"/>
    <w:pPr>
      <w:numPr>
        <w:numId w:val="5"/>
      </w:numPr>
    </w:pPr>
  </w:style>
  <w:style w:type="numbering" w:customStyle="1" w:styleId="71">
    <w:name w:val="Импортированный стиль 71"/>
    <w:rsid w:val="00262106"/>
    <w:pPr>
      <w:numPr>
        <w:numId w:val="6"/>
      </w:numPr>
    </w:pPr>
  </w:style>
  <w:style w:type="character" w:styleId="affa">
    <w:name w:val="Emphasis"/>
    <w:uiPriority w:val="20"/>
    <w:qFormat/>
    <w:rsid w:val="003850B7"/>
    <w:rPr>
      <w:i/>
      <w:iCs/>
    </w:rPr>
  </w:style>
  <w:style w:type="character" w:customStyle="1" w:styleId="affb">
    <w:name w:val="Основной текст + Курсив"/>
    <w:rsid w:val="007D24AD"/>
    <w:rPr>
      <w:rFonts w:ascii="Times New Roman" w:eastAsia="Times New Roman" w:hAnsi="Times New Roman" w:cs="Times New Roman" w:hint="default"/>
      <w:i/>
      <w:iCs/>
      <w:color w:val="000000"/>
      <w:spacing w:val="0"/>
      <w:w w:val="100"/>
      <w:position w:val="0"/>
      <w:sz w:val="20"/>
      <w:szCs w:val="20"/>
      <w:shd w:val="clear" w:color="auto" w:fill="FFFFFF"/>
      <w:lang w:val="en-US"/>
    </w:rPr>
  </w:style>
  <w:style w:type="character" w:customStyle="1" w:styleId="25">
    <w:name w:val="Сноска (2)_"/>
    <w:link w:val="26"/>
    <w:rsid w:val="007D24AD"/>
    <w:rPr>
      <w:b/>
      <w:bCs/>
      <w:sz w:val="18"/>
      <w:szCs w:val="18"/>
      <w:shd w:val="clear" w:color="auto" w:fill="FFFFFF"/>
    </w:rPr>
  </w:style>
  <w:style w:type="paragraph" w:customStyle="1" w:styleId="26">
    <w:name w:val="Сноска (2)"/>
    <w:basedOn w:val="a0"/>
    <w:link w:val="25"/>
    <w:rsid w:val="007D24AD"/>
    <w:pPr>
      <w:widowControl w:val="0"/>
      <w:shd w:val="clear" w:color="auto" w:fill="FFFFFF"/>
      <w:spacing w:line="264" w:lineRule="exact"/>
      <w:jc w:val="both"/>
    </w:pPr>
    <w:rPr>
      <w:b/>
      <w:bC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header" w:qFormat="1"/>
    <w:lsdException w:name="caption" w:semiHidden="1" w:unhideWhenUsed="1" w:qFormat="1"/>
    <w:lsdException w:name="footnote reference" w:uiPriority="99" w:qFormat="1"/>
    <w:lsdException w:name="List Number"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Preformatted"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4708CF"/>
    <w:rPr>
      <w:sz w:val="24"/>
      <w:szCs w:val="24"/>
    </w:rPr>
  </w:style>
  <w:style w:type="paragraph" w:styleId="1">
    <w:name w:val="heading 1"/>
    <w:basedOn w:val="a0"/>
    <w:next w:val="a0"/>
    <w:link w:val="10"/>
    <w:qFormat/>
    <w:pPr>
      <w:keepNext/>
      <w:jc w:val="center"/>
      <w:outlineLvl w:val="0"/>
    </w:pPr>
    <w:rPr>
      <w:b/>
      <w:lang w:val="uk-UA"/>
    </w:rPr>
  </w:style>
  <w:style w:type="paragraph" w:styleId="2">
    <w:name w:val="heading 2"/>
    <w:aliases w:val="h2"/>
    <w:basedOn w:val="a0"/>
    <w:next w:val="a0"/>
    <w:link w:val="20"/>
    <w:uiPriority w:val="9"/>
    <w:qFormat/>
    <w:pPr>
      <w:keepNext/>
      <w:jc w:val="both"/>
      <w:outlineLvl w:val="1"/>
    </w:pPr>
    <w:rPr>
      <w:b/>
    </w:rPr>
  </w:style>
  <w:style w:type="paragraph" w:styleId="3">
    <w:name w:val="heading 3"/>
    <w:basedOn w:val="a0"/>
    <w:next w:val="a0"/>
    <w:link w:val="30"/>
    <w:qFormat/>
    <w:pPr>
      <w:keepNext/>
      <w:jc w:val="center"/>
      <w:outlineLvl w:val="2"/>
    </w:pPr>
    <w:rPr>
      <w:b/>
      <w:color w:val="FF0000"/>
      <w:sz w:val="20"/>
      <w:szCs w:val="20"/>
      <w:lang w:val="uk-UA"/>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header"/>
    <w:aliases w:val="HeaderPort"/>
    <w:basedOn w:val="a0"/>
    <w:link w:val="a5"/>
    <w:qFormat/>
    <w:pPr>
      <w:tabs>
        <w:tab w:val="center" w:pos="4677"/>
        <w:tab w:val="right" w:pos="9355"/>
      </w:tabs>
    </w:pPr>
  </w:style>
  <w:style w:type="character" w:styleId="a6">
    <w:name w:val="page number"/>
    <w:basedOn w:val="a1"/>
  </w:style>
  <w:style w:type="paragraph" w:styleId="a7">
    <w:name w:val="Body Text Indent"/>
    <w:basedOn w:val="a0"/>
    <w:link w:val="a8"/>
    <w:pPr>
      <w:ind w:firstLine="720"/>
      <w:jc w:val="both"/>
    </w:pPr>
    <w:rPr>
      <w:lang w:val="uk-UA"/>
    </w:rPr>
  </w:style>
  <w:style w:type="paragraph" w:customStyle="1" w:styleId="BodyText2">
    <w:name w:val="Body Text 2"/>
    <w:basedOn w:val="a0"/>
    <w:pPr>
      <w:overflowPunct w:val="0"/>
      <w:autoSpaceDE w:val="0"/>
      <w:autoSpaceDN w:val="0"/>
      <w:adjustRightInd w:val="0"/>
      <w:ind w:firstLine="720"/>
      <w:jc w:val="both"/>
      <w:textAlignment w:val="baseline"/>
    </w:pPr>
    <w:rPr>
      <w:szCs w:val="20"/>
      <w:lang w:val="uk-UA"/>
    </w:rPr>
  </w:style>
  <w:style w:type="paragraph" w:styleId="a9">
    <w:name w:val="Balloon Text"/>
    <w:basedOn w:val="a0"/>
    <w:link w:val="aa"/>
    <w:semiHidden/>
    <w:rPr>
      <w:rFonts w:ascii="Tahoma" w:hAnsi="Tahoma" w:cs="Tahoma"/>
      <w:sz w:val="16"/>
      <w:szCs w:val="16"/>
    </w:rPr>
  </w:style>
  <w:style w:type="paragraph" w:customStyle="1" w:styleId="BodyTextIndent2">
    <w:name w:val="Body Text Indent 2"/>
    <w:basedOn w:val="a0"/>
    <w:pPr>
      <w:overflowPunct w:val="0"/>
      <w:autoSpaceDE w:val="0"/>
      <w:autoSpaceDN w:val="0"/>
      <w:adjustRightInd w:val="0"/>
      <w:ind w:firstLine="748"/>
      <w:jc w:val="both"/>
      <w:textAlignment w:val="baseline"/>
    </w:pPr>
    <w:rPr>
      <w:szCs w:val="20"/>
      <w:lang w:val="uk-UA"/>
    </w:rPr>
  </w:style>
  <w:style w:type="paragraph" w:styleId="21">
    <w:name w:val="Body Text 2"/>
    <w:basedOn w:val="a0"/>
    <w:link w:val="22"/>
    <w:pPr>
      <w:framePr w:hSpace="180" w:wrap="notBeside" w:vAnchor="text" w:hAnchor="margin" w:y="14"/>
      <w:jc w:val="center"/>
    </w:pPr>
    <w:rPr>
      <w:sz w:val="22"/>
      <w:lang w:val="uk-UA"/>
    </w:rPr>
  </w:style>
  <w:style w:type="paragraph" w:styleId="31">
    <w:name w:val="Body Text Indent 3"/>
    <w:basedOn w:val="a0"/>
    <w:link w:val="32"/>
    <w:pPr>
      <w:ind w:firstLine="1456"/>
      <w:jc w:val="both"/>
    </w:pPr>
    <w:rPr>
      <w:lang w:val="uk-UA"/>
    </w:rPr>
  </w:style>
  <w:style w:type="paragraph" w:styleId="ab">
    <w:name w:val="footer"/>
    <w:basedOn w:val="a0"/>
    <w:link w:val="ac"/>
    <w:pPr>
      <w:tabs>
        <w:tab w:val="center" w:pos="4677"/>
        <w:tab w:val="right" w:pos="9355"/>
      </w:tabs>
    </w:pPr>
  </w:style>
  <w:style w:type="paragraph" w:styleId="23">
    <w:name w:val="Body Text Indent 2"/>
    <w:basedOn w:val="a0"/>
    <w:link w:val="24"/>
    <w:pPr>
      <w:ind w:firstLine="708"/>
      <w:jc w:val="both"/>
    </w:pPr>
    <w:rPr>
      <w:color w:val="FF0000"/>
      <w:lang w:val="uk-UA"/>
    </w:rPr>
  </w:style>
  <w:style w:type="paragraph" w:styleId="ad">
    <w:name w:val="Body Text"/>
    <w:basedOn w:val="a0"/>
    <w:link w:val="ae"/>
    <w:pPr>
      <w:jc w:val="center"/>
    </w:pPr>
    <w:rPr>
      <w:color w:val="FF0000"/>
      <w:sz w:val="20"/>
      <w:szCs w:val="20"/>
      <w:lang w:val="uk-UA"/>
    </w:rPr>
  </w:style>
  <w:style w:type="paragraph" w:styleId="33">
    <w:name w:val="Body Text 3"/>
    <w:basedOn w:val="a0"/>
    <w:link w:val="34"/>
    <w:rPr>
      <w:szCs w:val="20"/>
      <w:lang w:val="uk-UA"/>
    </w:rPr>
  </w:style>
  <w:style w:type="paragraph" w:styleId="af">
    <w:name w:val="Normal (Web)"/>
    <w:basedOn w:val="a0"/>
    <w:uiPriority w:val="99"/>
    <w:rsid w:val="001E178A"/>
    <w:pPr>
      <w:spacing w:before="100" w:beforeAutospacing="1" w:after="100" w:afterAutospacing="1"/>
    </w:pPr>
  </w:style>
  <w:style w:type="paragraph" w:customStyle="1" w:styleId="western">
    <w:name w:val="western"/>
    <w:basedOn w:val="a0"/>
    <w:rsid w:val="00802D63"/>
    <w:pPr>
      <w:spacing w:after="150" w:line="360" w:lineRule="auto"/>
      <w:ind w:right="150"/>
    </w:pPr>
    <w:rPr>
      <w:rFonts w:ascii="Tahoma" w:hAnsi="Tahoma" w:cs="Tahoma"/>
      <w:color w:val="30296F"/>
      <w:sz w:val="18"/>
      <w:szCs w:val="18"/>
    </w:rPr>
  </w:style>
  <w:style w:type="character" w:customStyle="1" w:styleId="BodyText21">
    <w:name w:val="Body Text 21 Знак"/>
    <w:rsid w:val="00430964"/>
    <w:rPr>
      <w:lang w:val="uk-UA" w:eastAsia="ru-RU" w:bidi="ar-SA"/>
    </w:rPr>
  </w:style>
  <w:style w:type="paragraph" w:customStyle="1" w:styleId="af0">
    <w:name w:val="Знак"/>
    <w:basedOn w:val="a0"/>
    <w:rsid w:val="00741B21"/>
    <w:pPr>
      <w:spacing w:after="160" w:line="240" w:lineRule="exact"/>
      <w:jc w:val="both"/>
    </w:pPr>
    <w:rPr>
      <w:sz w:val="20"/>
      <w:szCs w:val="20"/>
      <w:lang w:val="en-GB" w:eastAsia="uk-UA"/>
    </w:rPr>
  </w:style>
  <w:style w:type="paragraph" w:customStyle="1" w:styleId="BodyText22">
    <w:name w:val="Body Text 22"/>
    <w:basedOn w:val="a0"/>
    <w:rsid w:val="00247726"/>
    <w:pPr>
      <w:autoSpaceDE w:val="0"/>
      <w:autoSpaceDN w:val="0"/>
      <w:adjustRightInd w:val="0"/>
      <w:ind w:right="-30" w:firstLine="720"/>
      <w:jc w:val="both"/>
    </w:pPr>
    <w:rPr>
      <w:i/>
      <w:iCs/>
      <w:sz w:val="20"/>
      <w:lang w:val="uk-UA"/>
    </w:rPr>
  </w:style>
  <w:style w:type="paragraph" w:customStyle="1" w:styleId="1CharChar">
    <w:name w:val="Знак Знак1 Char Char"/>
    <w:basedOn w:val="a0"/>
    <w:rsid w:val="00791DB4"/>
    <w:pPr>
      <w:spacing w:after="160" w:line="240" w:lineRule="exact"/>
    </w:pPr>
    <w:rPr>
      <w:noProof/>
      <w:sz w:val="20"/>
      <w:szCs w:val="20"/>
      <w:lang w:val="en-GB" w:eastAsia="ru-RU"/>
    </w:rPr>
  </w:style>
  <w:style w:type="paragraph" w:customStyle="1" w:styleId="ListParagraph">
    <w:name w:val="List Paragraph"/>
    <w:basedOn w:val="a0"/>
    <w:rsid w:val="00061BB0"/>
    <w:pPr>
      <w:spacing w:after="200" w:line="276" w:lineRule="auto"/>
      <w:ind w:left="720"/>
      <w:contextualSpacing/>
    </w:pPr>
    <w:rPr>
      <w:rFonts w:ascii="Calibri" w:hAnsi="Calibri"/>
      <w:sz w:val="22"/>
      <w:szCs w:val="22"/>
      <w:lang w:eastAsia="en-US"/>
    </w:rPr>
  </w:style>
  <w:style w:type="paragraph" w:styleId="af1">
    <w:name w:val="footnote text"/>
    <w:aliases w:val="Char Cha,Знак1, Знак1,ALTS FOOTNOTE,Car,Footnote Text Char Char Char1,Footnote Text Char1 Char Char Char,Footnote Text Char1 Char1 Char Char Char Char,Footnote Text Char2 Char,Footnote Text Char2 Char Char Char Char,fn,ft,Char Ch,Char Char,f"/>
    <w:basedOn w:val="a0"/>
    <w:link w:val="af2"/>
    <w:qFormat/>
    <w:rsid w:val="002726D8"/>
    <w:rPr>
      <w:sz w:val="20"/>
      <w:szCs w:val="20"/>
      <w:lang w:val="uk-UA" w:eastAsia="uk-UA"/>
    </w:rPr>
  </w:style>
  <w:style w:type="character" w:customStyle="1" w:styleId="af2">
    <w:name w:val="Текст сноски Знак"/>
    <w:aliases w:val="Char Cha Знак,Знак1 Знак, Знак1 Знак,ALTS FOOTNOTE Знак,Car Знак,Footnote Text Char Char Char1 Знак,Footnote Text Char1 Char Char Char Знак,Footnote Text Char1 Char1 Char Char Char Char Знак,Footnote Text Char2 Char Знак,fn Знак,ft Зна"/>
    <w:basedOn w:val="a1"/>
    <w:link w:val="af1"/>
    <w:rsid w:val="002726D8"/>
  </w:style>
  <w:style w:type="character" w:styleId="af3">
    <w:name w:val="footnote reference"/>
    <w:aliases w:val="(NECG) Footnote Reference,-E Fußnotenzeichen,FC,Footnote Reference Number,Footnote Reference_LVL6,Footnote Reference_LVL61,Footnote Reference_LVL62,Footnote Reference_LVL63,Footnote Reference_LVL64,Style 131,Style 4,fr,fußzeile !!!,o,Style 3"/>
    <w:uiPriority w:val="99"/>
    <w:qFormat/>
    <w:rsid w:val="002726D8"/>
    <w:rPr>
      <w:vertAlign w:val="superscript"/>
    </w:rPr>
  </w:style>
  <w:style w:type="paragraph" w:customStyle="1" w:styleId="af4">
    <w:name w:val="List Paragraph"/>
    <w:aliases w:val="#Listenabsatz,Normal mit Aufzählung a)"/>
    <w:basedOn w:val="a0"/>
    <w:link w:val="af5"/>
    <w:uiPriority w:val="34"/>
    <w:qFormat/>
    <w:rsid w:val="00F60F6B"/>
    <w:pPr>
      <w:overflowPunct w:val="0"/>
      <w:autoSpaceDE w:val="0"/>
      <w:autoSpaceDN w:val="0"/>
      <w:adjustRightInd w:val="0"/>
      <w:ind w:left="708"/>
    </w:pPr>
    <w:rPr>
      <w:szCs w:val="20"/>
      <w:lang w:val="x-none"/>
    </w:rPr>
  </w:style>
  <w:style w:type="character" w:customStyle="1" w:styleId="af5">
    <w:name w:val="Абзац списка Знак"/>
    <w:aliases w:val="#Listenabsatz Знак,Normal mit Aufzählung a) Знак,Bullet List Знак,FooterText Знак,numbered Знак,Paragraphe de liste1 Знак,Bulletr List Paragraph Знак,列出段落 Знак,列出段落1 Знак,List Paragraph2 Знак,List Paragraph21 Знак,Párrafo de lista1 Знак"/>
    <w:link w:val="af4"/>
    <w:uiPriority w:val="34"/>
    <w:qFormat/>
    <w:rsid w:val="00F60F6B"/>
    <w:rPr>
      <w:sz w:val="24"/>
      <w:lang w:eastAsia="ru-RU"/>
    </w:rPr>
  </w:style>
  <w:style w:type="paragraph" w:customStyle="1" w:styleId="af6">
    <w:name w:val=" Знак Знак Знак Знак"/>
    <w:basedOn w:val="a0"/>
    <w:rsid w:val="007B5A58"/>
    <w:pPr>
      <w:spacing w:after="160" w:line="240" w:lineRule="exact"/>
    </w:pPr>
    <w:rPr>
      <w:rFonts w:ascii="Verdana" w:hAnsi="Verdana" w:cs="Verdana"/>
      <w:sz w:val="20"/>
      <w:szCs w:val="20"/>
      <w:lang w:val="en-US" w:eastAsia="en-US"/>
    </w:rPr>
  </w:style>
  <w:style w:type="table" w:styleId="af7">
    <w:name w:val="Table Grid"/>
    <w:basedOn w:val="a2"/>
    <w:uiPriority w:val="59"/>
    <w:rsid w:val="00ED11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BodyTextL1">
    <w:name w:val="AMBodyText_L1"/>
    <w:basedOn w:val="a0"/>
    <w:next w:val="AMBodyTextL2"/>
    <w:rsid w:val="005B0120"/>
    <w:pPr>
      <w:keepNext/>
      <w:keepLines/>
      <w:numPr>
        <w:numId w:val="1"/>
      </w:numPr>
      <w:spacing w:after="240"/>
      <w:outlineLvl w:val="0"/>
    </w:pPr>
    <w:rPr>
      <w:b/>
      <w:smallCaps/>
      <w:szCs w:val="20"/>
      <w:lang w:val="en-GB" w:eastAsia="en-US"/>
    </w:rPr>
  </w:style>
  <w:style w:type="paragraph" w:customStyle="1" w:styleId="AMBodyTextL2">
    <w:name w:val="AMBodyText_L2"/>
    <w:basedOn w:val="AMBodyTextL1"/>
    <w:link w:val="AMBodyTextL2Char"/>
    <w:rsid w:val="005B0120"/>
    <w:pPr>
      <w:keepNext w:val="0"/>
      <w:keepLines w:val="0"/>
      <w:numPr>
        <w:ilvl w:val="1"/>
      </w:numPr>
      <w:jc w:val="both"/>
      <w:outlineLvl w:val="9"/>
    </w:pPr>
    <w:rPr>
      <w:b w:val="0"/>
      <w:smallCaps w:val="0"/>
      <w:lang w:eastAsia="x-none"/>
    </w:rPr>
  </w:style>
  <w:style w:type="character" w:customStyle="1" w:styleId="AMBodyTextL2Char">
    <w:name w:val="AMBodyText_L2 Char"/>
    <w:link w:val="AMBodyTextL2"/>
    <w:locked/>
    <w:rsid w:val="005B0120"/>
    <w:rPr>
      <w:sz w:val="24"/>
      <w:lang w:val="en-GB" w:eastAsia="x-none"/>
    </w:rPr>
  </w:style>
  <w:style w:type="paragraph" w:customStyle="1" w:styleId="AMBodyTextL3">
    <w:name w:val="AMBodyText_L3"/>
    <w:basedOn w:val="AMBodyTextL2"/>
    <w:rsid w:val="005B0120"/>
    <w:pPr>
      <w:numPr>
        <w:ilvl w:val="2"/>
      </w:numPr>
      <w:tabs>
        <w:tab w:val="clear" w:pos="1411"/>
        <w:tab w:val="num" w:pos="360"/>
        <w:tab w:val="num" w:pos="720"/>
        <w:tab w:val="num" w:pos="2548"/>
      </w:tabs>
      <w:ind w:left="720" w:hanging="180"/>
    </w:pPr>
  </w:style>
  <w:style w:type="paragraph" w:customStyle="1" w:styleId="AMBodyTextL4">
    <w:name w:val="AMBodyText_L4"/>
    <w:basedOn w:val="AMBodyTextL3"/>
    <w:rsid w:val="005B0120"/>
    <w:pPr>
      <w:numPr>
        <w:ilvl w:val="3"/>
      </w:numPr>
      <w:tabs>
        <w:tab w:val="clear" w:pos="2102"/>
        <w:tab w:val="num" w:pos="360"/>
        <w:tab w:val="num" w:pos="720"/>
        <w:tab w:val="num" w:pos="3268"/>
      </w:tabs>
      <w:ind w:left="2880" w:hanging="360"/>
    </w:pPr>
  </w:style>
  <w:style w:type="paragraph" w:customStyle="1" w:styleId="AMBodyTextL5">
    <w:name w:val="AMBodyText_L5"/>
    <w:basedOn w:val="AMBodyTextL4"/>
    <w:rsid w:val="005B0120"/>
    <w:pPr>
      <w:numPr>
        <w:ilvl w:val="4"/>
      </w:numPr>
      <w:tabs>
        <w:tab w:val="clear" w:pos="2822"/>
        <w:tab w:val="num" w:pos="360"/>
        <w:tab w:val="num" w:pos="720"/>
        <w:tab w:val="num" w:pos="3988"/>
      </w:tabs>
      <w:ind w:left="3600" w:hanging="360"/>
    </w:pPr>
  </w:style>
  <w:style w:type="paragraph" w:customStyle="1" w:styleId="AMBodyTextL6">
    <w:name w:val="AMBodyText_L6"/>
    <w:basedOn w:val="AMBodyTextL5"/>
    <w:rsid w:val="005B0120"/>
    <w:pPr>
      <w:numPr>
        <w:ilvl w:val="5"/>
      </w:numPr>
      <w:tabs>
        <w:tab w:val="clear" w:pos="3672"/>
        <w:tab w:val="num" w:pos="360"/>
        <w:tab w:val="num" w:pos="720"/>
        <w:tab w:val="num" w:pos="4708"/>
      </w:tabs>
      <w:ind w:left="4320" w:hanging="180"/>
    </w:pPr>
  </w:style>
  <w:style w:type="paragraph" w:customStyle="1" w:styleId="AMBodyTextL7">
    <w:name w:val="AMBodyText_L7"/>
    <w:basedOn w:val="AMBodyTextL6"/>
    <w:rsid w:val="005B0120"/>
    <w:pPr>
      <w:numPr>
        <w:ilvl w:val="6"/>
      </w:numPr>
      <w:tabs>
        <w:tab w:val="clear" w:pos="4507"/>
        <w:tab w:val="num" w:pos="360"/>
        <w:tab w:val="num" w:pos="720"/>
        <w:tab w:val="num" w:pos="5428"/>
      </w:tabs>
      <w:ind w:left="5040" w:hanging="360"/>
    </w:pPr>
  </w:style>
  <w:style w:type="paragraph" w:customStyle="1" w:styleId="AMBodyTextL8">
    <w:name w:val="AMBodyText_L8"/>
    <w:basedOn w:val="AMBodyTextL7"/>
    <w:rsid w:val="005B0120"/>
    <w:pPr>
      <w:numPr>
        <w:ilvl w:val="7"/>
      </w:numPr>
      <w:tabs>
        <w:tab w:val="clear" w:pos="5242"/>
        <w:tab w:val="num" w:pos="360"/>
        <w:tab w:val="num" w:pos="720"/>
        <w:tab w:val="num" w:pos="6148"/>
      </w:tabs>
      <w:ind w:left="5760" w:hanging="360"/>
    </w:pPr>
  </w:style>
  <w:style w:type="character" w:styleId="af8">
    <w:name w:val="Hyperlink"/>
    <w:uiPriority w:val="99"/>
    <w:unhideWhenUsed/>
    <w:rsid w:val="006F51D3"/>
    <w:rPr>
      <w:color w:val="0000FF"/>
      <w:u w:val="single"/>
    </w:rPr>
  </w:style>
  <w:style w:type="paragraph" w:customStyle="1" w:styleId="Default">
    <w:name w:val="Default"/>
    <w:rsid w:val="005E041A"/>
    <w:pPr>
      <w:autoSpaceDE w:val="0"/>
      <w:autoSpaceDN w:val="0"/>
      <w:adjustRightInd w:val="0"/>
    </w:pPr>
    <w:rPr>
      <w:color w:val="000000"/>
      <w:sz w:val="24"/>
      <w:szCs w:val="24"/>
      <w:lang w:val="uk-UA" w:eastAsia="uk-UA"/>
    </w:rPr>
  </w:style>
  <w:style w:type="paragraph" w:customStyle="1" w:styleId="230">
    <w:name w:val="Основной текст 23"/>
    <w:basedOn w:val="a0"/>
    <w:rsid w:val="009142A9"/>
    <w:pPr>
      <w:overflowPunct w:val="0"/>
      <w:autoSpaceDE w:val="0"/>
      <w:autoSpaceDN w:val="0"/>
      <w:adjustRightInd w:val="0"/>
      <w:ind w:firstLine="720"/>
      <w:jc w:val="both"/>
      <w:textAlignment w:val="baseline"/>
    </w:pPr>
    <w:rPr>
      <w:szCs w:val="20"/>
      <w:lang w:val="uk-UA"/>
    </w:rPr>
  </w:style>
  <w:style w:type="paragraph" w:customStyle="1" w:styleId="ShortOutlineStyle1">
    <w:name w:val="ShortOutlineStyle1"/>
    <w:basedOn w:val="a0"/>
    <w:rsid w:val="006548FA"/>
    <w:pPr>
      <w:tabs>
        <w:tab w:val="num" w:pos="720"/>
      </w:tabs>
      <w:spacing w:before="240" w:after="240"/>
      <w:ind w:left="720" w:hanging="720"/>
      <w:jc w:val="both"/>
    </w:pPr>
    <w:rPr>
      <w:rFonts w:eastAsia="SimSun"/>
      <w:lang w:val="en-US" w:eastAsia="ar-SA"/>
    </w:rPr>
  </w:style>
  <w:style w:type="character" w:styleId="af9">
    <w:name w:val="Strong"/>
    <w:uiPriority w:val="22"/>
    <w:qFormat/>
    <w:rsid w:val="00EB5633"/>
    <w:rPr>
      <w:b/>
      <w:bCs/>
    </w:rPr>
  </w:style>
  <w:style w:type="character" w:customStyle="1" w:styleId="a5">
    <w:name w:val="Верхний колонтитул Знак"/>
    <w:aliases w:val="HeaderPort Знак"/>
    <w:link w:val="a4"/>
    <w:rsid w:val="00337980"/>
    <w:rPr>
      <w:sz w:val="24"/>
      <w:szCs w:val="24"/>
      <w:lang w:val="ru-RU" w:eastAsia="ru-RU"/>
    </w:rPr>
  </w:style>
  <w:style w:type="paragraph" w:styleId="HTML">
    <w:name w:val="HTML Preformatted"/>
    <w:basedOn w:val="a0"/>
    <w:link w:val="HTML0"/>
    <w:uiPriority w:val="99"/>
    <w:unhideWhenUsed/>
    <w:rsid w:val="00B650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uiPriority w:val="99"/>
    <w:rsid w:val="00B650CE"/>
    <w:rPr>
      <w:rFonts w:ascii="Courier New" w:hAnsi="Courier New" w:cs="Courier New"/>
    </w:rPr>
  </w:style>
  <w:style w:type="character" w:customStyle="1" w:styleId="afa">
    <w:name w:val="Нумерованный список Знак"/>
    <w:link w:val="a"/>
    <w:rsid w:val="00915DDF"/>
    <w:rPr>
      <w:rFonts w:eastAsia="Arial"/>
      <w:lang w:val="en-GB" w:eastAsia="x-none"/>
    </w:rPr>
  </w:style>
  <w:style w:type="paragraph" w:styleId="a">
    <w:name w:val="List Number"/>
    <w:basedOn w:val="a0"/>
    <w:link w:val="afa"/>
    <w:qFormat/>
    <w:rsid w:val="00915DDF"/>
    <w:pPr>
      <w:numPr>
        <w:numId w:val="3"/>
      </w:numPr>
      <w:spacing w:before="180" w:after="180"/>
      <w:jc w:val="both"/>
    </w:pPr>
    <w:rPr>
      <w:rFonts w:eastAsia="Arial"/>
      <w:sz w:val="20"/>
      <w:szCs w:val="20"/>
      <w:lang w:val="en-GB" w:eastAsia="x-none"/>
    </w:rPr>
  </w:style>
  <w:style w:type="paragraph" w:customStyle="1" w:styleId="210">
    <w:name w:val="Основной текст 21"/>
    <w:basedOn w:val="a0"/>
    <w:rsid w:val="00B42218"/>
    <w:pPr>
      <w:overflowPunct w:val="0"/>
      <w:autoSpaceDE w:val="0"/>
      <w:autoSpaceDN w:val="0"/>
      <w:adjustRightInd w:val="0"/>
      <w:ind w:firstLine="720"/>
      <w:jc w:val="both"/>
      <w:textAlignment w:val="baseline"/>
    </w:pPr>
    <w:rPr>
      <w:szCs w:val="20"/>
      <w:lang w:val="uk-UA"/>
    </w:rPr>
  </w:style>
  <w:style w:type="paragraph" w:customStyle="1" w:styleId="PI-Text">
    <w:name w:val="PI-Text"/>
    <w:basedOn w:val="a0"/>
    <w:rsid w:val="00D65770"/>
    <w:pPr>
      <w:tabs>
        <w:tab w:val="left" w:pos="1418"/>
      </w:tabs>
      <w:spacing w:line="360" w:lineRule="exact"/>
    </w:pPr>
    <w:rPr>
      <w:sz w:val="26"/>
      <w:szCs w:val="22"/>
      <w:lang w:val="de-DE" w:eastAsia="de-DE"/>
    </w:rPr>
  </w:style>
  <w:style w:type="paragraph" w:customStyle="1" w:styleId="11">
    <w:name w:val="Обычный1"/>
    <w:uiPriority w:val="99"/>
    <w:rsid w:val="00C41EF9"/>
    <w:pPr>
      <w:spacing w:line="276" w:lineRule="auto"/>
    </w:pPr>
    <w:rPr>
      <w:rFonts w:ascii="Arial" w:eastAsia="Calibri" w:hAnsi="Arial" w:cs="Arial"/>
      <w:color w:val="000000"/>
      <w:sz w:val="22"/>
      <w:szCs w:val="22"/>
    </w:rPr>
  </w:style>
  <w:style w:type="paragraph" w:customStyle="1" w:styleId="StyleListParagraphAfter12pt">
    <w:name w:val="Style List Paragraph + After:  12 pt"/>
    <w:basedOn w:val="af4"/>
    <w:link w:val="StyleListParagraphAfter12ptChar"/>
    <w:rsid w:val="00F30331"/>
    <w:pPr>
      <w:numPr>
        <w:numId w:val="4"/>
      </w:numPr>
      <w:overflowPunct/>
      <w:autoSpaceDE/>
      <w:autoSpaceDN/>
      <w:adjustRightInd/>
      <w:spacing w:after="240"/>
    </w:pPr>
    <w:rPr>
      <w:rFonts w:ascii="Calibri" w:hAnsi="Calibri"/>
      <w:lang w:val="en-GB"/>
    </w:rPr>
  </w:style>
  <w:style w:type="character" w:customStyle="1" w:styleId="StyleListParagraphAfter12ptChar">
    <w:name w:val="Style List Paragraph + After:  12 pt Char"/>
    <w:link w:val="StyleListParagraphAfter12pt"/>
    <w:rsid w:val="00F30331"/>
    <w:rPr>
      <w:rFonts w:ascii="Calibri" w:hAnsi="Calibri"/>
      <w:sz w:val="24"/>
      <w:lang w:val="en-GB"/>
    </w:rPr>
  </w:style>
  <w:style w:type="character" w:customStyle="1" w:styleId="apple-converted-space">
    <w:name w:val="apple-converted-space"/>
    <w:rsid w:val="00875B09"/>
  </w:style>
  <w:style w:type="character" w:customStyle="1" w:styleId="FontStyle20">
    <w:name w:val="Font Style20"/>
    <w:uiPriority w:val="99"/>
    <w:rsid w:val="00E210DC"/>
    <w:rPr>
      <w:rFonts w:ascii="Cambria" w:hAnsi="Cambria" w:cs="Cambria"/>
      <w:sz w:val="24"/>
      <w:szCs w:val="24"/>
    </w:rPr>
  </w:style>
  <w:style w:type="numbering" w:customStyle="1" w:styleId="8">
    <w:name w:val="Импортированный стиль 8"/>
    <w:rsid w:val="005C0D6E"/>
    <w:pPr>
      <w:numPr>
        <w:numId w:val="5"/>
      </w:numPr>
    </w:pPr>
  </w:style>
  <w:style w:type="numbering" w:customStyle="1" w:styleId="7">
    <w:name w:val="Импортированный стиль 7"/>
    <w:rsid w:val="005C0D6E"/>
    <w:pPr>
      <w:numPr>
        <w:numId w:val="6"/>
      </w:numPr>
    </w:pPr>
  </w:style>
  <w:style w:type="paragraph" w:customStyle="1" w:styleId="4">
    <w:name w:val="Абзац списка4"/>
    <w:basedOn w:val="a0"/>
    <w:rsid w:val="00E77D70"/>
    <w:pPr>
      <w:ind w:left="720"/>
      <w:contextualSpacing/>
      <w:jc w:val="both"/>
    </w:pPr>
    <w:rPr>
      <w:szCs w:val="22"/>
      <w:lang w:eastAsia="en-US"/>
    </w:rPr>
  </w:style>
  <w:style w:type="paragraph" w:styleId="afb">
    <w:name w:val="Document Map"/>
    <w:basedOn w:val="a0"/>
    <w:link w:val="afc"/>
    <w:rsid w:val="00666FB1"/>
    <w:pPr>
      <w:overflowPunct w:val="0"/>
      <w:autoSpaceDE w:val="0"/>
      <w:autoSpaceDN w:val="0"/>
      <w:adjustRightInd w:val="0"/>
      <w:textAlignment w:val="baseline"/>
    </w:pPr>
    <w:rPr>
      <w:rFonts w:ascii="Tahoma" w:hAnsi="Tahoma" w:cs="Tahoma"/>
      <w:sz w:val="16"/>
      <w:szCs w:val="16"/>
      <w:lang w:val="uk-UA"/>
    </w:rPr>
  </w:style>
  <w:style w:type="character" w:customStyle="1" w:styleId="afc">
    <w:name w:val="Схема документа Знак"/>
    <w:link w:val="afb"/>
    <w:rsid w:val="00666FB1"/>
    <w:rPr>
      <w:rFonts w:ascii="Tahoma" w:hAnsi="Tahoma" w:cs="Tahoma"/>
      <w:sz w:val="16"/>
      <w:szCs w:val="16"/>
      <w:lang w:val="uk-UA"/>
    </w:rPr>
  </w:style>
  <w:style w:type="paragraph" w:customStyle="1" w:styleId="cef1edeee2edeee9f2e5eaf1f221">
    <w:name w:val="Оceсf1нedоeeвe2нedоeeйe9 тf2еe5кeaсf1тf2 21"/>
    <w:basedOn w:val="a0"/>
    <w:uiPriority w:val="99"/>
    <w:rsid w:val="00E05E52"/>
    <w:pPr>
      <w:autoSpaceDE w:val="0"/>
      <w:autoSpaceDN w:val="0"/>
      <w:adjustRightInd w:val="0"/>
      <w:ind w:firstLine="720"/>
      <w:jc w:val="both"/>
    </w:pPr>
    <w:rPr>
      <w:lang w:val="uk-UA" w:eastAsia="uk-UA"/>
    </w:rPr>
  </w:style>
  <w:style w:type="paragraph" w:customStyle="1" w:styleId="rvps2">
    <w:name w:val="rvps2"/>
    <w:basedOn w:val="a0"/>
    <w:rsid w:val="00E603B2"/>
    <w:pPr>
      <w:spacing w:before="100" w:beforeAutospacing="1" w:after="100" w:afterAutospacing="1"/>
    </w:pPr>
    <w:rPr>
      <w:lang w:val="en-US" w:eastAsia="en-US"/>
    </w:rPr>
  </w:style>
  <w:style w:type="paragraph" w:customStyle="1" w:styleId="Legal2L1">
    <w:name w:val="Legal2_L1"/>
    <w:basedOn w:val="a0"/>
    <w:next w:val="ad"/>
    <w:rsid w:val="002D468C"/>
    <w:pPr>
      <w:widowControl w:val="0"/>
      <w:numPr>
        <w:numId w:val="9"/>
      </w:numPr>
      <w:adjustRightInd w:val="0"/>
      <w:spacing w:after="240" w:line="240" w:lineRule="atLeast"/>
      <w:ind w:left="1440"/>
      <w:jc w:val="both"/>
      <w:outlineLvl w:val="0"/>
    </w:pPr>
    <w:rPr>
      <w:rFonts w:ascii="Calibri"/>
      <w:b/>
      <w:szCs w:val="20"/>
      <w:lang w:val="en-GB" w:eastAsia="ko-KR"/>
    </w:rPr>
  </w:style>
  <w:style w:type="paragraph" w:customStyle="1" w:styleId="Legal2L2">
    <w:name w:val="Legal2_L2"/>
    <w:basedOn w:val="Legal2L1"/>
    <w:next w:val="ad"/>
    <w:rsid w:val="002D468C"/>
    <w:pPr>
      <w:numPr>
        <w:ilvl w:val="1"/>
      </w:numPr>
      <w:tabs>
        <w:tab w:val="clear" w:pos="1440"/>
      </w:tabs>
      <w:ind w:left="2160"/>
      <w:outlineLvl w:val="1"/>
    </w:pPr>
  </w:style>
  <w:style w:type="paragraph" w:customStyle="1" w:styleId="Legal2L3">
    <w:name w:val="Legal2_L3"/>
    <w:basedOn w:val="Legal2L2"/>
    <w:next w:val="ad"/>
    <w:rsid w:val="002D468C"/>
    <w:pPr>
      <w:numPr>
        <w:ilvl w:val="2"/>
      </w:numPr>
      <w:tabs>
        <w:tab w:val="clear" w:pos="2160"/>
      </w:tabs>
      <w:ind w:left="2880"/>
      <w:outlineLvl w:val="2"/>
    </w:pPr>
  </w:style>
  <w:style w:type="paragraph" w:customStyle="1" w:styleId="Legal2L4">
    <w:name w:val="Legal2_L4"/>
    <w:basedOn w:val="Legal2L3"/>
    <w:next w:val="ad"/>
    <w:rsid w:val="002D468C"/>
    <w:pPr>
      <w:numPr>
        <w:ilvl w:val="3"/>
      </w:numPr>
      <w:tabs>
        <w:tab w:val="clear" w:pos="3240"/>
      </w:tabs>
      <w:ind w:left="3600"/>
      <w:outlineLvl w:val="3"/>
    </w:pPr>
  </w:style>
  <w:style w:type="paragraph" w:customStyle="1" w:styleId="Legal2L5">
    <w:name w:val="Legal2_L5"/>
    <w:basedOn w:val="Legal2L4"/>
    <w:rsid w:val="002D468C"/>
    <w:pPr>
      <w:numPr>
        <w:ilvl w:val="4"/>
      </w:numPr>
      <w:tabs>
        <w:tab w:val="clear" w:pos="3960"/>
      </w:tabs>
      <w:ind w:left="720"/>
      <w:jc w:val="left"/>
      <w:outlineLvl w:val="4"/>
    </w:pPr>
    <w:rPr>
      <w:b w:val="0"/>
    </w:rPr>
  </w:style>
  <w:style w:type="paragraph" w:customStyle="1" w:styleId="Legal2L6">
    <w:name w:val="Legal2_L6"/>
    <w:basedOn w:val="Legal2L5"/>
    <w:rsid w:val="002D468C"/>
    <w:pPr>
      <w:numPr>
        <w:ilvl w:val="5"/>
      </w:numPr>
      <w:outlineLvl w:val="5"/>
    </w:pPr>
  </w:style>
  <w:style w:type="paragraph" w:customStyle="1" w:styleId="Legal2L7">
    <w:name w:val="Legal2_L7"/>
    <w:basedOn w:val="Legal2L6"/>
    <w:rsid w:val="002D468C"/>
    <w:pPr>
      <w:numPr>
        <w:ilvl w:val="6"/>
      </w:numPr>
      <w:tabs>
        <w:tab w:val="clear" w:pos="720"/>
      </w:tabs>
      <w:ind w:left="1440"/>
      <w:outlineLvl w:val="6"/>
    </w:pPr>
  </w:style>
  <w:style w:type="paragraph" w:customStyle="1" w:styleId="Legal2L9">
    <w:name w:val="Legal2_L9"/>
    <w:basedOn w:val="a0"/>
    <w:next w:val="Legal2L7"/>
    <w:rsid w:val="002D468C"/>
    <w:pPr>
      <w:widowControl w:val="0"/>
      <w:numPr>
        <w:ilvl w:val="8"/>
        <w:numId w:val="9"/>
      </w:numPr>
      <w:adjustRightInd w:val="0"/>
      <w:spacing w:after="240" w:line="240" w:lineRule="atLeast"/>
      <w:ind w:left="720"/>
      <w:jc w:val="both"/>
      <w:outlineLvl w:val="8"/>
    </w:pPr>
    <w:rPr>
      <w:rFonts w:ascii="Calibri"/>
      <w:szCs w:val="20"/>
      <w:lang w:val="en-GB" w:eastAsia="ko-KR"/>
    </w:rPr>
  </w:style>
  <w:style w:type="paragraph" w:styleId="afd">
    <w:name w:val="Revision"/>
    <w:hidden/>
    <w:uiPriority w:val="99"/>
    <w:semiHidden/>
    <w:rsid w:val="00686E80"/>
    <w:rPr>
      <w:rFonts w:ascii="Calibri" w:eastAsia="Calibri" w:hAnsi="Calibri"/>
      <w:sz w:val="24"/>
      <w:szCs w:val="24"/>
      <w:lang w:val="en-US" w:eastAsia="en-US"/>
    </w:rPr>
  </w:style>
  <w:style w:type="character" w:styleId="afe">
    <w:name w:val="FollowedHyperlink"/>
    <w:rsid w:val="005D1B14"/>
    <w:rPr>
      <w:color w:val="800080"/>
      <w:u w:val="single"/>
    </w:rPr>
  </w:style>
  <w:style w:type="paragraph" w:styleId="aff">
    <w:name w:val="No Spacing"/>
    <w:basedOn w:val="a0"/>
    <w:link w:val="aff0"/>
    <w:uiPriority w:val="1"/>
    <w:qFormat/>
    <w:rsid w:val="00AA0826"/>
    <w:rPr>
      <w:rFonts w:ascii="Calibri" w:hAnsi="Calibri"/>
      <w:sz w:val="20"/>
      <w:szCs w:val="20"/>
      <w:lang w:val="x-none" w:eastAsia="x-none" w:bidi="en-US"/>
    </w:rPr>
  </w:style>
  <w:style w:type="character" w:customStyle="1" w:styleId="aff0">
    <w:name w:val="Без интервала Знак"/>
    <w:link w:val="aff"/>
    <w:uiPriority w:val="1"/>
    <w:rsid w:val="00AA0826"/>
    <w:rPr>
      <w:rFonts w:ascii="Calibri" w:hAnsi="Calibri"/>
      <w:lang w:val="x-none" w:eastAsia="x-none" w:bidi="en-US"/>
    </w:rPr>
  </w:style>
  <w:style w:type="paragraph" w:styleId="aff1">
    <w:name w:val="Title"/>
    <w:aliases w:val=" Знак, Знак Знак Знак Знак Знак, Знак Знак Знак Знак1,Знак Знак Знак Знак,Знак Знак Знак Знак Знак,Знак Знак Знак Знак1"/>
    <w:basedOn w:val="a0"/>
    <w:next w:val="ad"/>
    <w:link w:val="aff2"/>
    <w:qFormat/>
    <w:rsid w:val="00475344"/>
    <w:pPr>
      <w:keepNext/>
      <w:widowControl w:val="0"/>
      <w:adjustRightInd w:val="0"/>
      <w:spacing w:after="240" w:line="360" w:lineRule="atLeast"/>
      <w:jc w:val="center"/>
      <w:textAlignment w:val="baseline"/>
    </w:pPr>
    <w:rPr>
      <w:rFonts w:ascii="Times New Roman Bold" w:eastAsia="SimSun" w:hAnsi="Times New Roman Bold"/>
      <w:b/>
      <w:snapToGrid w:val="0"/>
      <w:szCs w:val="52"/>
      <w:u w:val="single"/>
      <w:lang w:val="en-US"/>
    </w:rPr>
  </w:style>
  <w:style w:type="character" w:customStyle="1" w:styleId="aff2">
    <w:name w:val="Название Знак"/>
    <w:aliases w:val=" Знак Знак, Знак Знак Знак Знак Знак Знак, Знак Знак Знак Знак1 Знак,Знак Знак Знак Знак Знак1,Знак Знак Знак Знак Знак Знак,Знак Знак Знак Знак1 Знак"/>
    <w:link w:val="aff1"/>
    <w:rsid w:val="00475344"/>
    <w:rPr>
      <w:rFonts w:ascii="Times New Roman Bold" w:eastAsia="SimSun" w:hAnsi="Times New Roman Bold"/>
      <w:b/>
      <w:snapToGrid w:val="0"/>
      <w:sz w:val="24"/>
      <w:szCs w:val="52"/>
      <w:u w:val="single"/>
      <w:lang w:val="en-US"/>
    </w:rPr>
  </w:style>
  <w:style w:type="paragraph" w:customStyle="1" w:styleId="Legal1L3">
    <w:name w:val="Legal1_L3"/>
    <w:basedOn w:val="a0"/>
    <w:next w:val="ad"/>
    <w:rsid w:val="00F01F2C"/>
    <w:pPr>
      <w:widowControl w:val="0"/>
      <w:numPr>
        <w:ilvl w:val="2"/>
        <w:numId w:val="8"/>
      </w:numPr>
      <w:tabs>
        <w:tab w:val="num" w:pos="1440"/>
      </w:tabs>
      <w:adjustRightInd w:val="0"/>
      <w:spacing w:after="240" w:line="360" w:lineRule="atLeast"/>
      <w:ind w:left="1440"/>
      <w:jc w:val="both"/>
      <w:textAlignment w:val="baseline"/>
      <w:outlineLvl w:val="2"/>
    </w:pPr>
    <w:rPr>
      <w:rFonts w:eastAsia="SimSun"/>
      <w:snapToGrid w:val="0"/>
      <w:szCs w:val="20"/>
      <w:lang w:val="en-US"/>
    </w:rPr>
  </w:style>
  <w:style w:type="character" w:styleId="aff3">
    <w:name w:val="annotation reference"/>
    <w:rsid w:val="009E3A97"/>
    <w:rPr>
      <w:sz w:val="16"/>
      <w:szCs w:val="16"/>
    </w:rPr>
  </w:style>
  <w:style w:type="paragraph" w:styleId="aff4">
    <w:name w:val="annotation text"/>
    <w:basedOn w:val="a0"/>
    <w:link w:val="aff5"/>
    <w:rsid w:val="009E3A97"/>
    <w:rPr>
      <w:sz w:val="20"/>
      <w:szCs w:val="20"/>
    </w:rPr>
  </w:style>
  <w:style w:type="character" w:customStyle="1" w:styleId="aff5">
    <w:name w:val="Текст примечания Знак"/>
    <w:basedOn w:val="a1"/>
    <w:link w:val="aff4"/>
    <w:rsid w:val="009E3A97"/>
  </w:style>
  <w:style w:type="paragraph" w:styleId="aff6">
    <w:name w:val="annotation subject"/>
    <w:basedOn w:val="aff4"/>
    <w:next w:val="aff4"/>
    <w:link w:val="aff7"/>
    <w:rsid w:val="009E3A97"/>
    <w:rPr>
      <w:b/>
      <w:bCs/>
    </w:rPr>
  </w:style>
  <w:style w:type="character" w:customStyle="1" w:styleId="aff7">
    <w:name w:val="Тема примечания Знак"/>
    <w:link w:val="aff6"/>
    <w:rsid w:val="009E3A97"/>
    <w:rPr>
      <w:b/>
      <w:bCs/>
    </w:rPr>
  </w:style>
  <w:style w:type="paragraph" w:customStyle="1" w:styleId="35">
    <w:name w:val=" Знак Знак3 Знак Знак Знак Знак"/>
    <w:basedOn w:val="a0"/>
    <w:rsid w:val="00EE4354"/>
    <w:rPr>
      <w:rFonts w:ascii="Verdana" w:hAnsi="Verdana" w:cs="Verdana"/>
      <w:sz w:val="20"/>
      <w:szCs w:val="20"/>
      <w:lang w:val="en-US" w:eastAsia="en-US"/>
    </w:rPr>
  </w:style>
  <w:style w:type="paragraph" w:styleId="aff8">
    <w:name w:val="List Paragraph"/>
    <w:aliases w:val="Bullet List,FooterText,numbered,Paragraphe de liste1,Bulletr List Paragraph,列出段落,列出段落1,List Paragraph2,List Paragraph21,Párrafo de lista1,Parágrafo da Lista1,リスト段落1,Listeafsnit1,Bullet list,Listenabsatz1"/>
    <w:basedOn w:val="a0"/>
    <w:uiPriority w:val="34"/>
    <w:qFormat/>
    <w:rsid w:val="00E36E12"/>
    <w:pPr>
      <w:ind w:left="708"/>
    </w:pPr>
  </w:style>
  <w:style w:type="character" w:customStyle="1" w:styleId="rvts0">
    <w:name w:val="rvts0"/>
    <w:rsid w:val="00C42E25"/>
  </w:style>
  <w:style w:type="character" w:customStyle="1" w:styleId="rvts23">
    <w:name w:val="rvts23"/>
    <w:rsid w:val="00E56355"/>
  </w:style>
  <w:style w:type="paragraph" w:customStyle="1" w:styleId="rvps4">
    <w:name w:val="rvps4"/>
    <w:basedOn w:val="a0"/>
    <w:rsid w:val="00E56355"/>
    <w:pPr>
      <w:spacing w:before="100" w:beforeAutospacing="1" w:after="100" w:afterAutospacing="1"/>
    </w:pPr>
    <w:rPr>
      <w:lang w:val="uk-UA" w:eastAsia="uk-UA"/>
    </w:rPr>
  </w:style>
  <w:style w:type="paragraph" w:customStyle="1" w:styleId="rvps7">
    <w:name w:val="rvps7"/>
    <w:basedOn w:val="a0"/>
    <w:rsid w:val="00E56355"/>
    <w:pPr>
      <w:spacing w:before="100" w:beforeAutospacing="1" w:after="100" w:afterAutospacing="1"/>
    </w:pPr>
    <w:rPr>
      <w:lang w:val="uk-UA" w:eastAsia="uk-UA"/>
    </w:rPr>
  </w:style>
  <w:style w:type="character" w:customStyle="1" w:styleId="rvts9">
    <w:name w:val="rvts9"/>
    <w:rsid w:val="00E56355"/>
  </w:style>
  <w:style w:type="paragraph" w:customStyle="1" w:styleId="rvps14">
    <w:name w:val="rvps14"/>
    <w:basedOn w:val="a0"/>
    <w:rsid w:val="00E56355"/>
    <w:pPr>
      <w:spacing w:before="100" w:beforeAutospacing="1" w:after="100" w:afterAutospacing="1"/>
    </w:pPr>
    <w:rPr>
      <w:lang w:val="uk-UA" w:eastAsia="uk-UA"/>
    </w:rPr>
  </w:style>
  <w:style w:type="character" w:customStyle="1" w:styleId="rvts11">
    <w:name w:val="rvts11"/>
    <w:rsid w:val="005043B1"/>
  </w:style>
  <w:style w:type="character" w:customStyle="1" w:styleId="rvts46">
    <w:name w:val="rvts46"/>
    <w:rsid w:val="006E2692"/>
  </w:style>
  <w:style w:type="character" w:customStyle="1" w:styleId="ListParagraphChar">
    <w:name w:val="List Paragraph Char"/>
    <w:aliases w:val="#Listenabsatz Char,Normal mit Aufzählung a) Char"/>
    <w:locked/>
    <w:rsid w:val="006E2692"/>
    <w:rPr>
      <w:rFonts w:ascii="Times New Roman" w:hAnsi="Times New Roman"/>
      <w:sz w:val="24"/>
      <w:lang w:val="ru-RU" w:eastAsia="ar-SA" w:bidi="ar-SA"/>
    </w:rPr>
  </w:style>
  <w:style w:type="character" w:customStyle="1" w:styleId="rvts37">
    <w:name w:val="rvts37"/>
    <w:rsid w:val="006E2692"/>
  </w:style>
  <w:style w:type="character" w:styleId="aff9">
    <w:name w:val="Subtle Emphasis"/>
    <w:uiPriority w:val="19"/>
    <w:qFormat/>
    <w:rsid w:val="006E2692"/>
    <w:rPr>
      <w:i/>
      <w:iCs/>
      <w:color w:val="808080"/>
    </w:rPr>
  </w:style>
  <w:style w:type="paragraph" w:customStyle="1" w:styleId="rvps3">
    <w:name w:val="rvps3"/>
    <w:basedOn w:val="a0"/>
    <w:rsid w:val="006E2692"/>
    <w:pPr>
      <w:spacing w:before="100" w:beforeAutospacing="1" w:after="100" w:afterAutospacing="1"/>
    </w:pPr>
  </w:style>
  <w:style w:type="character" w:customStyle="1" w:styleId="rvts40">
    <w:name w:val="rvts40"/>
    <w:rsid w:val="006E2692"/>
  </w:style>
  <w:style w:type="character" w:customStyle="1" w:styleId="rvts80">
    <w:name w:val="rvts80"/>
    <w:rsid w:val="006E2692"/>
  </w:style>
  <w:style w:type="paragraph" w:customStyle="1" w:styleId="rvps12">
    <w:name w:val="rvps12"/>
    <w:basedOn w:val="a0"/>
    <w:rsid w:val="006E2692"/>
    <w:pPr>
      <w:spacing w:before="100" w:beforeAutospacing="1" w:after="100" w:afterAutospacing="1"/>
    </w:pPr>
  </w:style>
  <w:style w:type="paragraph" w:customStyle="1" w:styleId="rvps6">
    <w:name w:val="rvps6"/>
    <w:basedOn w:val="a0"/>
    <w:rsid w:val="006E2692"/>
    <w:pPr>
      <w:spacing w:before="100" w:beforeAutospacing="1" w:after="100" w:afterAutospacing="1"/>
    </w:pPr>
  </w:style>
  <w:style w:type="character" w:customStyle="1" w:styleId="10">
    <w:name w:val="Заголовок 1 Знак"/>
    <w:link w:val="1"/>
    <w:rsid w:val="00262106"/>
    <w:rPr>
      <w:b/>
      <w:sz w:val="24"/>
      <w:szCs w:val="24"/>
      <w:lang w:val="uk-UA"/>
    </w:rPr>
  </w:style>
  <w:style w:type="character" w:customStyle="1" w:styleId="20">
    <w:name w:val="Заголовок 2 Знак"/>
    <w:link w:val="2"/>
    <w:uiPriority w:val="9"/>
    <w:rsid w:val="00262106"/>
    <w:rPr>
      <w:b/>
      <w:sz w:val="24"/>
      <w:szCs w:val="24"/>
    </w:rPr>
  </w:style>
  <w:style w:type="character" w:customStyle="1" w:styleId="30">
    <w:name w:val="Заголовок 3 Знак"/>
    <w:link w:val="3"/>
    <w:rsid w:val="00262106"/>
    <w:rPr>
      <w:b/>
      <w:color w:val="FF0000"/>
      <w:lang w:val="uk-UA"/>
    </w:rPr>
  </w:style>
  <w:style w:type="character" w:customStyle="1" w:styleId="a8">
    <w:name w:val="Основной текст с отступом Знак"/>
    <w:link w:val="a7"/>
    <w:rsid w:val="00262106"/>
    <w:rPr>
      <w:sz w:val="24"/>
      <w:szCs w:val="24"/>
      <w:lang w:val="uk-UA"/>
    </w:rPr>
  </w:style>
  <w:style w:type="character" w:customStyle="1" w:styleId="aa">
    <w:name w:val="Текст выноски Знак"/>
    <w:link w:val="a9"/>
    <w:semiHidden/>
    <w:rsid w:val="00262106"/>
    <w:rPr>
      <w:rFonts w:ascii="Tahoma" w:hAnsi="Tahoma" w:cs="Tahoma"/>
      <w:sz w:val="16"/>
      <w:szCs w:val="16"/>
    </w:rPr>
  </w:style>
  <w:style w:type="character" w:customStyle="1" w:styleId="22">
    <w:name w:val="Основной текст 2 Знак"/>
    <w:link w:val="21"/>
    <w:rsid w:val="00262106"/>
    <w:rPr>
      <w:sz w:val="22"/>
      <w:szCs w:val="24"/>
      <w:lang w:val="uk-UA"/>
    </w:rPr>
  </w:style>
  <w:style w:type="character" w:customStyle="1" w:styleId="32">
    <w:name w:val="Основной текст с отступом 3 Знак"/>
    <w:link w:val="31"/>
    <w:rsid w:val="00262106"/>
    <w:rPr>
      <w:sz w:val="24"/>
      <w:szCs w:val="24"/>
      <w:lang w:val="uk-UA"/>
    </w:rPr>
  </w:style>
  <w:style w:type="character" w:customStyle="1" w:styleId="ac">
    <w:name w:val="Нижний колонтитул Знак"/>
    <w:link w:val="ab"/>
    <w:rsid w:val="00262106"/>
    <w:rPr>
      <w:sz w:val="24"/>
      <w:szCs w:val="24"/>
    </w:rPr>
  </w:style>
  <w:style w:type="character" w:customStyle="1" w:styleId="24">
    <w:name w:val="Основной текст с отступом 2 Знак"/>
    <w:link w:val="23"/>
    <w:rsid w:val="00262106"/>
    <w:rPr>
      <w:color w:val="FF0000"/>
      <w:sz w:val="24"/>
      <w:szCs w:val="24"/>
      <w:lang w:val="uk-UA"/>
    </w:rPr>
  </w:style>
  <w:style w:type="character" w:customStyle="1" w:styleId="ae">
    <w:name w:val="Основной текст Знак"/>
    <w:link w:val="ad"/>
    <w:rsid w:val="00262106"/>
    <w:rPr>
      <w:color w:val="FF0000"/>
      <w:lang w:val="uk-UA"/>
    </w:rPr>
  </w:style>
  <w:style w:type="character" w:customStyle="1" w:styleId="34">
    <w:name w:val="Основной текст 3 Знак"/>
    <w:link w:val="33"/>
    <w:rsid w:val="00262106"/>
    <w:rPr>
      <w:sz w:val="24"/>
      <w:lang w:val="uk-UA"/>
    </w:rPr>
  </w:style>
  <w:style w:type="numbering" w:customStyle="1" w:styleId="81">
    <w:name w:val="Импортированный стиль 81"/>
    <w:rsid w:val="00262106"/>
    <w:pPr>
      <w:numPr>
        <w:numId w:val="5"/>
      </w:numPr>
    </w:pPr>
  </w:style>
  <w:style w:type="numbering" w:customStyle="1" w:styleId="71">
    <w:name w:val="Импортированный стиль 71"/>
    <w:rsid w:val="00262106"/>
    <w:pPr>
      <w:numPr>
        <w:numId w:val="6"/>
      </w:numPr>
    </w:pPr>
  </w:style>
  <w:style w:type="character" w:styleId="affa">
    <w:name w:val="Emphasis"/>
    <w:uiPriority w:val="20"/>
    <w:qFormat/>
    <w:rsid w:val="003850B7"/>
    <w:rPr>
      <w:i/>
      <w:iCs/>
    </w:rPr>
  </w:style>
  <w:style w:type="character" w:customStyle="1" w:styleId="affb">
    <w:name w:val="Основной текст + Курсив"/>
    <w:rsid w:val="007D24AD"/>
    <w:rPr>
      <w:rFonts w:ascii="Times New Roman" w:eastAsia="Times New Roman" w:hAnsi="Times New Roman" w:cs="Times New Roman" w:hint="default"/>
      <w:i/>
      <w:iCs/>
      <w:color w:val="000000"/>
      <w:spacing w:val="0"/>
      <w:w w:val="100"/>
      <w:position w:val="0"/>
      <w:sz w:val="20"/>
      <w:szCs w:val="20"/>
      <w:shd w:val="clear" w:color="auto" w:fill="FFFFFF"/>
      <w:lang w:val="en-US"/>
    </w:rPr>
  </w:style>
  <w:style w:type="character" w:customStyle="1" w:styleId="25">
    <w:name w:val="Сноска (2)_"/>
    <w:link w:val="26"/>
    <w:rsid w:val="007D24AD"/>
    <w:rPr>
      <w:b/>
      <w:bCs/>
      <w:sz w:val="18"/>
      <w:szCs w:val="18"/>
      <w:shd w:val="clear" w:color="auto" w:fill="FFFFFF"/>
    </w:rPr>
  </w:style>
  <w:style w:type="paragraph" w:customStyle="1" w:styleId="26">
    <w:name w:val="Сноска (2)"/>
    <w:basedOn w:val="a0"/>
    <w:link w:val="25"/>
    <w:rsid w:val="007D24AD"/>
    <w:pPr>
      <w:widowControl w:val="0"/>
      <w:shd w:val="clear" w:color="auto" w:fill="FFFFFF"/>
      <w:spacing w:line="264" w:lineRule="exact"/>
      <w:jc w:val="both"/>
    </w:pPr>
    <w:rPr>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5438">
      <w:bodyDiv w:val="1"/>
      <w:marLeft w:val="0"/>
      <w:marRight w:val="0"/>
      <w:marTop w:val="0"/>
      <w:marBottom w:val="0"/>
      <w:divBdr>
        <w:top w:val="none" w:sz="0" w:space="0" w:color="auto"/>
        <w:left w:val="none" w:sz="0" w:space="0" w:color="auto"/>
        <w:bottom w:val="none" w:sz="0" w:space="0" w:color="auto"/>
        <w:right w:val="none" w:sz="0" w:space="0" w:color="auto"/>
      </w:divBdr>
    </w:div>
    <w:div w:id="44644694">
      <w:bodyDiv w:val="1"/>
      <w:marLeft w:val="0"/>
      <w:marRight w:val="0"/>
      <w:marTop w:val="0"/>
      <w:marBottom w:val="0"/>
      <w:divBdr>
        <w:top w:val="none" w:sz="0" w:space="0" w:color="auto"/>
        <w:left w:val="none" w:sz="0" w:space="0" w:color="auto"/>
        <w:bottom w:val="none" w:sz="0" w:space="0" w:color="auto"/>
        <w:right w:val="none" w:sz="0" w:space="0" w:color="auto"/>
      </w:divBdr>
    </w:div>
    <w:div w:id="104546548">
      <w:bodyDiv w:val="1"/>
      <w:marLeft w:val="0"/>
      <w:marRight w:val="0"/>
      <w:marTop w:val="0"/>
      <w:marBottom w:val="0"/>
      <w:divBdr>
        <w:top w:val="none" w:sz="0" w:space="0" w:color="auto"/>
        <w:left w:val="none" w:sz="0" w:space="0" w:color="auto"/>
        <w:bottom w:val="none" w:sz="0" w:space="0" w:color="auto"/>
        <w:right w:val="none" w:sz="0" w:space="0" w:color="auto"/>
      </w:divBdr>
    </w:div>
    <w:div w:id="105854296">
      <w:bodyDiv w:val="1"/>
      <w:marLeft w:val="0"/>
      <w:marRight w:val="0"/>
      <w:marTop w:val="0"/>
      <w:marBottom w:val="0"/>
      <w:divBdr>
        <w:top w:val="none" w:sz="0" w:space="0" w:color="auto"/>
        <w:left w:val="none" w:sz="0" w:space="0" w:color="auto"/>
        <w:bottom w:val="none" w:sz="0" w:space="0" w:color="auto"/>
        <w:right w:val="none" w:sz="0" w:space="0" w:color="auto"/>
      </w:divBdr>
    </w:div>
    <w:div w:id="149516808">
      <w:bodyDiv w:val="1"/>
      <w:marLeft w:val="0"/>
      <w:marRight w:val="0"/>
      <w:marTop w:val="0"/>
      <w:marBottom w:val="0"/>
      <w:divBdr>
        <w:top w:val="none" w:sz="0" w:space="0" w:color="auto"/>
        <w:left w:val="none" w:sz="0" w:space="0" w:color="auto"/>
        <w:bottom w:val="none" w:sz="0" w:space="0" w:color="auto"/>
        <w:right w:val="none" w:sz="0" w:space="0" w:color="auto"/>
      </w:divBdr>
    </w:div>
    <w:div w:id="239407648">
      <w:bodyDiv w:val="1"/>
      <w:marLeft w:val="0"/>
      <w:marRight w:val="0"/>
      <w:marTop w:val="0"/>
      <w:marBottom w:val="0"/>
      <w:divBdr>
        <w:top w:val="none" w:sz="0" w:space="0" w:color="auto"/>
        <w:left w:val="none" w:sz="0" w:space="0" w:color="auto"/>
        <w:bottom w:val="none" w:sz="0" w:space="0" w:color="auto"/>
        <w:right w:val="none" w:sz="0" w:space="0" w:color="auto"/>
      </w:divBdr>
    </w:div>
    <w:div w:id="245697727">
      <w:bodyDiv w:val="1"/>
      <w:marLeft w:val="0"/>
      <w:marRight w:val="0"/>
      <w:marTop w:val="0"/>
      <w:marBottom w:val="0"/>
      <w:divBdr>
        <w:top w:val="none" w:sz="0" w:space="0" w:color="auto"/>
        <w:left w:val="none" w:sz="0" w:space="0" w:color="auto"/>
        <w:bottom w:val="none" w:sz="0" w:space="0" w:color="auto"/>
        <w:right w:val="none" w:sz="0" w:space="0" w:color="auto"/>
      </w:divBdr>
    </w:div>
    <w:div w:id="248005698">
      <w:bodyDiv w:val="1"/>
      <w:marLeft w:val="0"/>
      <w:marRight w:val="0"/>
      <w:marTop w:val="0"/>
      <w:marBottom w:val="0"/>
      <w:divBdr>
        <w:top w:val="none" w:sz="0" w:space="0" w:color="auto"/>
        <w:left w:val="none" w:sz="0" w:space="0" w:color="auto"/>
        <w:bottom w:val="none" w:sz="0" w:space="0" w:color="auto"/>
        <w:right w:val="none" w:sz="0" w:space="0" w:color="auto"/>
      </w:divBdr>
    </w:div>
    <w:div w:id="320280350">
      <w:bodyDiv w:val="1"/>
      <w:marLeft w:val="0"/>
      <w:marRight w:val="0"/>
      <w:marTop w:val="0"/>
      <w:marBottom w:val="0"/>
      <w:divBdr>
        <w:top w:val="none" w:sz="0" w:space="0" w:color="auto"/>
        <w:left w:val="none" w:sz="0" w:space="0" w:color="auto"/>
        <w:bottom w:val="none" w:sz="0" w:space="0" w:color="auto"/>
        <w:right w:val="none" w:sz="0" w:space="0" w:color="auto"/>
      </w:divBdr>
    </w:div>
    <w:div w:id="324479127">
      <w:bodyDiv w:val="1"/>
      <w:marLeft w:val="0"/>
      <w:marRight w:val="0"/>
      <w:marTop w:val="0"/>
      <w:marBottom w:val="0"/>
      <w:divBdr>
        <w:top w:val="none" w:sz="0" w:space="0" w:color="auto"/>
        <w:left w:val="none" w:sz="0" w:space="0" w:color="auto"/>
        <w:bottom w:val="none" w:sz="0" w:space="0" w:color="auto"/>
        <w:right w:val="none" w:sz="0" w:space="0" w:color="auto"/>
      </w:divBdr>
    </w:div>
    <w:div w:id="334041396">
      <w:bodyDiv w:val="1"/>
      <w:marLeft w:val="0"/>
      <w:marRight w:val="0"/>
      <w:marTop w:val="0"/>
      <w:marBottom w:val="0"/>
      <w:divBdr>
        <w:top w:val="none" w:sz="0" w:space="0" w:color="auto"/>
        <w:left w:val="none" w:sz="0" w:space="0" w:color="auto"/>
        <w:bottom w:val="none" w:sz="0" w:space="0" w:color="auto"/>
        <w:right w:val="none" w:sz="0" w:space="0" w:color="auto"/>
      </w:divBdr>
    </w:div>
    <w:div w:id="433553158">
      <w:bodyDiv w:val="1"/>
      <w:marLeft w:val="0"/>
      <w:marRight w:val="0"/>
      <w:marTop w:val="0"/>
      <w:marBottom w:val="0"/>
      <w:divBdr>
        <w:top w:val="none" w:sz="0" w:space="0" w:color="auto"/>
        <w:left w:val="none" w:sz="0" w:space="0" w:color="auto"/>
        <w:bottom w:val="none" w:sz="0" w:space="0" w:color="auto"/>
        <w:right w:val="none" w:sz="0" w:space="0" w:color="auto"/>
      </w:divBdr>
    </w:div>
    <w:div w:id="476921848">
      <w:bodyDiv w:val="1"/>
      <w:marLeft w:val="0"/>
      <w:marRight w:val="0"/>
      <w:marTop w:val="0"/>
      <w:marBottom w:val="0"/>
      <w:divBdr>
        <w:top w:val="none" w:sz="0" w:space="0" w:color="auto"/>
        <w:left w:val="none" w:sz="0" w:space="0" w:color="auto"/>
        <w:bottom w:val="none" w:sz="0" w:space="0" w:color="auto"/>
        <w:right w:val="none" w:sz="0" w:space="0" w:color="auto"/>
      </w:divBdr>
    </w:div>
    <w:div w:id="644701249">
      <w:bodyDiv w:val="1"/>
      <w:marLeft w:val="0"/>
      <w:marRight w:val="0"/>
      <w:marTop w:val="0"/>
      <w:marBottom w:val="0"/>
      <w:divBdr>
        <w:top w:val="none" w:sz="0" w:space="0" w:color="auto"/>
        <w:left w:val="none" w:sz="0" w:space="0" w:color="auto"/>
        <w:bottom w:val="none" w:sz="0" w:space="0" w:color="auto"/>
        <w:right w:val="none" w:sz="0" w:space="0" w:color="auto"/>
      </w:divBdr>
    </w:div>
    <w:div w:id="725565882">
      <w:bodyDiv w:val="1"/>
      <w:marLeft w:val="0"/>
      <w:marRight w:val="0"/>
      <w:marTop w:val="0"/>
      <w:marBottom w:val="0"/>
      <w:divBdr>
        <w:top w:val="none" w:sz="0" w:space="0" w:color="auto"/>
        <w:left w:val="none" w:sz="0" w:space="0" w:color="auto"/>
        <w:bottom w:val="none" w:sz="0" w:space="0" w:color="auto"/>
        <w:right w:val="none" w:sz="0" w:space="0" w:color="auto"/>
      </w:divBdr>
    </w:div>
    <w:div w:id="733547394">
      <w:bodyDiv w:val="1"/>
      <w:marLeft w:val="0"/>
      <w:marRight w:val="0"/>
      <w:marTop w:val="0"/>
      <w:marBottom w:val="0"/>
      <w:divBdr>
        <w:top w:val="none" w:sz="0" w:space="0" w:color="auto"/>
        <w:left w:val="none" w:sz="0" w:space="0" w:color="auto"/>
        <w:bottom w:val="none" w:sz="0" w:space="0" w:color="auto"/>
        <w:right w:val="none" w:sz="0" w:space="0" w:color="auto"/>
      </w:divBdr>
    </w:div>
    <w:div w:id="735007728">
      <w:bodyDiv w:val="1"/>
      <w:marLeft w:val="0"/>
      <w:marRight w:val="0"/>
      <w:marTop w:val="0"/>
      <w:marBottom w:val="0"/>
      <w:divBdr>
        <w:top w:val="none" w:sz="0" w:space="0" w:color="auto"/>
        <w:left w:val="none" w:sz="0" w:space="0" w:color="auto"/>
        <w:bottom w:val="none" w:sz="0" w:space="0" w:color="auto"/>
        <w:right w:val="none" w:sz="0" w:space="0" w:color="auto"/>
      </w:divBdr>
    </w:div>
    <w:div w:id="764880919">
      <w:bodyDiv w:val="1"/>
      <w:marLeft w:val="0"/>
      <w:marRight w:val="0"/>
      <w:marTop w:val="0"/>
      <w:marBottom w:val="0"/>
      <w:divBdr>
        <w:top w:val="none" w:sz="0" w:space="0" w:color="auto"/>
        <w:left w:val="none" w:sz="0" w:space="0" w:color="auto"/>
        <w:bottom w:val="none" w:sz="0" w:space="0" w:color="auto"/>
        <w:right w:val="none" w:sz="0" w:space="0" w:color="auto"/>
      </w:divBdr>
    </w:div>
    <w:div w:id="816335930">
      <w:bodyDiv w:val="1"/>
      <w:marLeft w:val="0"/>
      <w:marRight w:val="0"/>
      <w:marTop w:val="0"/>
      <w:marBottom w:val="0"/>
      <w:divBdr>
        <w:top w:val="none" w:sz="0" w:space="0" w:color="auto"/>
        <w:left w:val="none" w:sz="0" w:space="0" w:color="auto"/>
        <w:bottom w:val="none" w:sz="0" w:space="0" w:color="auto"/>
        <w:right w:val="none" w:sz="0" w:space="0" w:color="auto"/>
      </w:divBdr>
    </w:div>
    <w:div w:id="859516312">
      <w:bodyDiv w:val="1"/>
      <w:marLeft w:val="0"/>
      <w:marRight w:val="0"/>
      <w:marTop w:val="0"/>
      <w:marBottom w:val="0"/>
      <w:divBdr>
        <w:top w:val="none" w:sz="0" w:space="0" w:color="auto"/>
        <w:left w:val="none" w:sz="0" w:space="0" w:color="auto"/>
        <w:bottom w:val="none" w:sz="0" w:space="0" w:color="auto"/>
        <w:right w:val="none" w:sz="0" w:space="0" w:color="auto"/>
      </w:divBdr>
    </w:div>
    <w:div w:id="906114183">
      <w:bodyDiv w:val="1"/>
      <w:marLeft w:val="0"/>
      <w:marRight w:val="0"/>
      <w:marTop w:val="0"/>
      <w:marBottom w:val="0"/>
      <w:divBdr>
        <w:top w:val="none" w:sz="0" w:space="0" w:color="auto"/>
        <w:left w:val="none" w:sz="0" w:space="0" w:color="auto"/>
        <w:bottom w:val="none" w:sz="0" w:space="0" w:color="auto"/>
        <w:right w:val="none" w:sz="0" w:space="0" w:color="auto"/>
      </w:divBdr>
    </w:div>
    <w:div w:id="917055730">
      <w:bodyDiv w:val="1"/>
      <w:marLeft w:val="0"/>
      <w:marRight w:val="0"/>
      <w:marTop w:val="0"/>
      <w:marBottom w:val="0"/>
      <w:divBdr>
        <w:top w:val="none" w:sz="0" w:space="0" w:color="auto"/>
        <w:left w:val="none" w:sz="0" w:space="0" w:color="auto"/>
        <w:bottom w:val="none" w:sz="0" w:space="0" w:color="auto"/>
        <w:right w:val="none" w:sz="0" w:space="0" w:color="auto"/>
      </w:divBdr>
    </w:div>
    <w:div w:id="931553676">
      <w:bodyDiv w:val="1"/>
      <w:marLeft w:val="0"/>
      <w:marRight w:val="0"/>
      <w:marTop w:val="0"/>
      <w:marBottom w:val="0"/>
      <w:divBdr>
        <w:top w:val="none" w:sz="0" w:space="0" w:color="auto"/>
        <w:left w:val="none" w:sz="0" w:space="0" w:color="auto"/>
        <w:bottom w:val="none" w:sz="0" w:space="0" w:color="auto"/>
        <w:right w:val="none" w:sz="0" w:space="0" w:color="auto"/>
      </w:divBdr>
    </w:div>
    <w:div w:id="948588171">
      <w:bodyDiv w:val="1"/>
      <w:marLeft w:val="0"/>
      <w:marRight w:val="0"/>
      <w:marTop w:val="0"/>
      <w:marBottom w:val="0"/>
      <w:divBdr>
        <w:top w:val="none" w:sz="0" w:space="0" w:color="auto"/>
        <w:left w:val="none" w:sz="0" w:space="0" w:color="auto"/>
        <w:bottom w:val="none" w:sz="0" w:space="0" w:color="auto"/>
        <w:right w:val="none" w:sz="0" w:space="0" w:color="auto"/>
      </w:divBdr>
    </w:div>
    <w:div w:id="950891528">
      <w:bodyDiv w:val="1"/>
      <w:marLeft w:val="0"/>
      <w:marRight w:val="0"/>
      <w:marTop w:val="0"/>
      <w:marBottom w:val="0"/>
      <w:divBdr>
        <w:top w:val="none" w:sz="0" w:space="0" w:color="auto"/>
        <w:left w:val="none" w:sz="0" w:space="0" w:color="auto"/>
        <w:bottom w:val="none" w:sz="0" w:space="0" w:color="auto"/>
        <w:right w:val="none" w:sz="0" w:space="0" w:color="auto"/>
      </w:divBdr>
    </w:div>
    <w:div w:id="1057969238">
      <w:bodyDiv w:val="1"/>
      <w:marLeft w:val="0"/>
      <w:marRight w:val="0"/>
      <w:marTop w:val="0"/>
      <w:marBottom w:val="0"/>
      <w:divBdr>
        <w:top w:val="none" w:sz="0" w:space="0" w:color="auto"/>
        <w:left w:val="none" w:sz="0" w:space="0" w:color="auto"/>
        <w:bottom w:val="none" w:sz="0" w:space="0" w:color="auto"/>
        <w:right w:val="none" w:sz="0" w:space="0" w:color="auto"/>
      </w:divBdr>
    </w:div>
    <w:div w:id="1088160159">
      <w:bodyDiv w:val="1"/>
      <w:marLeft w:val="0"/>
      <w:marRight w:val="0"/>
      <w:marTop w:val="0"/>
      <w:marBottom w:val="0"/>
      <w:divBdr>
        <w:top w:val="none" w:sz="0" w:space="0" w:color="auto"/>
        <w:left w:val="none" w:sz="0" w:space="0" w:color="auto"/>
        <w:bottom w:val="none" w:sz="0" w:space="0" w:color="auto"/>
        <w:right w:val="none" w:sz="0" w:space="0" w:color="auto"/>
      </w:divBdr>
    </w:div>
    <w:div w:id="1134255669">
      <w:bodyDiv w:val="1"/>
      <w:marLeft w:val="0"/>
      <w:marRight w:val="0"/>
      <w:marTop w:val="0"/>
      <w:marBottom w:val="0"/>
      <w:divBdr>
        <w:top w:val="none" w:sz="0" w:space="0" w:color="auto"/>
        <w:left w:val="none" w:sz="0" w:space="0" w:color="auto"/>
        <w:bottom w:val="none" w:sz="0" w:space="0" w:color="auto"/>
        <w:right w:val="none" w:sz="0" w:space="0" w:color="auto"/>
      </w:divBdr>
    </w:div>
    <w:div w:id="1151600983">
      <w:bodyDiv w:val="1"/>
      <w:marLeft w:val="0"/>
      <w:marRight w:val="0"/>
      <w:marTop w:val="0"/>
      <w:marBottom w:val="0"/>
      <w:divBdr>
        <w:top w:val="none" w:sz="0" w:space="0" w:color="auto"/>
        <w:left w:val="none" w:sz="0" w:space="0" w:color="auto"/>
        <w:bottom w:val="none" w:sz="0" w:space="0" w:color="auto"/>
        <w:right w:val="none" w:sz="0" w:space="0" w:color="auto"/>
      </w:divBdr>
    </w:div>
    <w:div w:id="1165318666">
      <w:bodyDiv w:val="1"/>
      <w:marLeft w:val="0"/>
      <w:marRight w:val="0"/>
      <w:marTop w:val="0"/>
      <w:marBottom w:val="0"/>
      <w:divBdr>
        <w:top w:val="none" w:sz="0" w:space="0" w:color="auto"/>
        <w:left w:val="none" w:sz="0" w:space="0" w:color="auto"/>
        <w:bottom w:val="none" w:sz="0" w:space="0" w:color="auto"/>
        <w:right w:val="none" w:sz="0" w:space="0" w:color="auto"/>
      </w:divBdr>
    </w:div>
    <w:div w:id="1231038037">
      <w:bodyDiv w:val="1"/>
      <w:marLeft w:val="0"/>
      <w:marRight w:val="0"/>
      <w:marTop w:val="0"/>
      <w:marBottom w:val="0"/>
      <w:divBdr>
        <w:top w:val="none" w:sz="0" w:space="0" w:color="auto"/>
        <w:left w:val="none" w:sz="0" w:space="0" w:color="auto"/>
        <w:bottom w:val="none" w:sz="0" w:space="0" w:color="auto"/>
        <w:right w:val="none" w:sz="0" w:space="0" w:color="auto"/>
      </w:divBdr>
    </w:div>
    <w:div w:id="1281717004">
      <w:bodyDiv w:val="1"/>
      <w:marLeft w:val="0"/>
      <w:marRight w:val="0"/>
      <w:marTop w:val="0"/>
      <w:marBottom w:val="0"/>
      <w:divBdr>
        <w:top w:val="none" w:sz="0" w:space="0" w:color="auto"/>
        <w:left w:val="none" w:sz="0" w:space="0" w:color="auto"/>
        <w:bottom w:val="none" w:sz="0" w:space="0" w:color="auto"/>
        <w:right w:val="none" w:sz="0" w:space="0" w:color="auto"/>
      </w:divBdr>
    </w:div>
    <w:div w:id="1302537835">
      <w:bodyDiv w:val="1"/>
      <w:marLeft w:val="0"/>
      <w:marRight w:val="0"/>
      <w:marTop w:val="0"/>
      <w:marBottom w:val="0"/>
      <w:divBdr>
        <w:top w:val="none" w:sz="0" w:space="0" w:color="auto"/>
        <w:left w:val="none" w:sz="0" w:space="0" w:color="auto"/>
        <w:bottom w:val="none" w:sz="0" w:space="0" w:color="auto"/>
        <w:right w:val="none" w:sz="0" w:space="0" w:color="auto"/>
      </w:divBdr>
    </w:div>
    <w:div w:id="1316959174">
      <w:bodyDiv w:val="1"/>
      <w:marLeft w:val="0"/>
      <w:marRight w:val="0"/>
      <w:marTop w:val="0"/>
      <w:marBottom w:val="0"/>
      <w:divBdr>
        <w:top w:val="none" w:sz="0" w:space="0" w:color="auto"/>
        <w:left w:val="none" w:sz="0" w:space="0" w:color="auto"/>
        <w:bottom w:val="none" w:sz="0" w:space="0" w:color="auto"/>
        <w:right w:val="none" w:sz="0" w:space="0" w:color="auto"/>
      </w:divBdr>
    </w:div>
    <w:div w:id="1318611192">
      <w:bodyDiv w:val="1"/>
      <w:marLeft w:val="0"/>
      <w:marRight w:val="0"/>
      <w:marTop w:val="0"/>
      <w:marBottom w:val="0"/>
      <w:divBdr>
        <w:top w:val="none" w:sz="0" w:space="0" w:color="auto"/>
        <w:left w:val="none" w:sz="0" w:space="0" w:color="auto"/>
        <w:bottom w:val="none" w:sz="0" w:space="0" w:color="auto"/>
        <w:right w:val="none" w:sz="0" w:space="0" w:color="auto"/>
      </w:divBdr>
    </w:div>
    <w:div w:id="1334455782">
      <w:bodyDiv w:val="1"/>
      <w:marLeft w:val="0"/>
      <w:marRight w:val="0"/>
      <w:marTop w:val="0"/>
      <w:marBottom w:val="0"/>
      <w:divBdr>
        <w:top w:val="none" w:sz="0" w:space="0" w:color="auto"/>
        <w:left w:val="none" w:sz="0" w:space="0" w:color="auto"/>
        <w:bottom w:val="none" w:sz="0" w:space="0" w:color="auto"/>
        <w:right w:val="none" w:sz="0" w:space="0" w:color="auto"/>
      </w:divBdr>
      <w:divsChild>
        <w:div w:id="252321013">
          <w:marLeft w:val="0"/>
          <w:marRight w:val="0"/>
          <w:marTop w:val="0"/>
          <w:marBottom w:val="0"/>
          <w:divBdr>
            <w:top w:val="none" w:sz="0" w:space="0" w:color="auto"/>
            <w:left w:val="none" w:sz="0" w:space="0" w:color="auto"/>
            <w:bottom w:val="none" w:sz="0" w:space="0" w:color="auto"/>
            <w:right w:val="none" w:sz="0" w:space="0" w:color="auto"/>
          </w:divBdr>
        </w:div>
        <w:div w:id="326712352">
          <w:marLeft w:val="0"/>
          <w:marRight w:val="0"/>
          <w:marTop w:val="0"/>
          <w:marBottom w:val="0"/>
          <w:divBdr>
            <w:top w:val="none" w:sz="0" w:space="0" w:color="auto"/>
            <w:left w:val="none" w:sz="0" w:space="0" w:color="auto"/>
            <w:bottom w:val="none" w:sz="0" w:space="0" w:color="auto"/>
            <w:right w:val="none" w:sz="0" w:space="0" w:color="auto"/>
          </w:divBdr>
        </w:div>
        <w:div w:id="538929924">
          <w:marLeft w:val="0"/>
          <w:marRight w:val="0"/>
          <w:marTop w:val="0"/>
          <w:marBottom w:val="0"/>
          <w:divBdr>
            <w:top w:val="none" w:sz="0" w:space="0" w:color="auto"/>
            <w:left w:val="none" w:sz="0" w:space="0" w:color="auto"/>
            <w:bottom w:val="none" w:sz="0" w:space="0" w:color="auto"/>
            <w:right w:val="none" w:sz="0" w:space="0" w:color="auto"/>
          </w:divBdr>
        </w:div>
        <w:div w:id="672344201">
          <w:marLeft w:val="0"/>
          <w:marRight w:val="0"/>
          <w:marTop w:val="0"/>
          <w:marBottom w:val="0"/>
          <w:divBdr>
            <w:top w:val="none" w:sz="0" w:space="0" w:color="auto"/>
            <w:left w:val="none" w:sz="0" w:space="0" w:color="auto"/>
            <w:bottom w:val="none" w:sz="0" w:space="0" w:color="auto"/>
            <w:right w:val="none" w:sz="0" w:space="0" w:color="auto"/>
          </w:divBdr>
        </w:div>
        <w:div w:id="746074550">
          <w:marLeft w:val="0"/>
          <w:marRight w:val="0"/>
          <w:marTop w:val="0"/>
          <w:marBottom w:val="0"/>
          <w:divBdr>
            <w:top w:val="none" w:sz="0" w:space="0" w:color="auto"/>
            <w:left w:val="none" w:sz="0" w:space="0" w:color="auto"/>
            <w:bottom w:val="none" w:sz="0" w:space="0" w:color="auto"/>
            <w:right w:val="none" w:sz="0" w:space="0" w:color="auto"/>
          </w:divBdr>
        </w:div>
        <w:div w:id="809591059">
          <w:marLeft w:val="0"/>
          <w:marRight w:val="0"/>
          <w:marTop w:val="0"/>
          <w:marBottom w:val="0"/>
          <w:divBdr>
            <w:top w:val="none" w:sz="0" w:space="0" w:color="auto"/>
            <w:left w:val="none" w:sz="0" w:space="0" w:color="auto"/>
            <w:bottom w:val="none" w:sz="0" w:space="0" w:color="auto"/>
            <w:right w:val="none" w:sz="0" w:space="0" w:color="auto"/>
          </w:divBdr>
        </w:div>
        <w:div w:id="848788834">
          <w:marLeft w:val="0"/>
          <w:marRight w:val="0"/>
          <w:marTop w:val="0"/>
          <w:marBottom w:val="0"/>
          <w:divBdr>
            <w:top w:val="none" w:sz="0" w:space="0" w:color="auto"/>
            <w:left w:val="none" w:sz="0" w:space="0" w:color="auto"/>
            <w:bottom w:val="none" w:sz="0" w:space="0" w:color="auto"/>
            <w:right w:val="none" w:sz="0" w:space="0" w:color="auto"/>
          </w:divBdr>
        </w:div>
        <w:div w:id="850877147">
          <w:marLeft w:val="0"/>
          <w:marRight w:val="0"/>
          <w:marTop w:val="0"/>
          <w:marBottom w:val="0"/>
          <w:divBdr>
            <w:top w:val="none" w:sz="0" w:space="0" w:color="auto"/>
            <w:left w:val="none" w:sz="0" w:space="0" w:color="auto"/>
            <w:bottom w:val="none" w:sz="0" w:space="0" w:color="auto"/>
            <w:right w:val="none" w:sz="0" w:space="0" w:color="auto"/>
          </w:divBdr>
        </w:div>
        <w:div w:id="883252611">
          <w:marLeft w:val="0"/>
          <w:marRight w:val="0"/>
          <w:marTop w:val="0"/>
          <w:marBottom w:val="0"/>
          <w:divBdr>
            <w:top w:val="none" w:sz="0" w:space="0" w:color="auto"/>
            <w:left w:val="none" w:sz="0" w:space="0" w:color="auto"/>
            <w:bottom w:val="none" w:sz="0" w:space="0" w:color="auto"/>
            <w:right w:val="none" w:sz="0" w:space="0" w:color="auto"/>
          </w:divBdr>
        </w:div>
        <w:div w:id="961884505">
          <w:marLeft w:val="0"/>
          <w:marRight w:val="0"/>
          <w:marTop w:val="0"/>
          <w:marBottom w:val="0"/>
          <w:divBdr>
            <w:top w:val="none" w:sz="0" w:space="0" w:color="auto"/>
            <w:left w:val="none" w:sz="0" w:space="0" w:color="auto"/>
            <w:bottom w:val="none" w:sz="0" w:space="0" w:color="auto"/>
            <w:right w:val="none" w:sz="0" w:space="0" w:color="auto"/>
          </w:divBdr>
        </w:div>
        <w:div w:id="963996728">
          <w:marLeft w:val="0"/>
          <w:marRight w:val="0"/>
          <w:marTop w:val="0"/>
          <w:marBottom w:val="0"/>
          <w:divBdr>
            <w:top w:val="none" w:sz="0" w:space="0" w:color="auto"/>
            <w:left w:val="none" w:sz="0" w:space="0" w:color="auto"/>
            <w:bottom w:val="none" w:sz="0" w:space="0" w:color="auto"/>
            <w:right w:val="none" w:sz="0" w:space="0" w:color="auto"/>
          </w:divBdr>
        </w:div>
        <w:div w:id="995963239">
          <w:marLeft w:val="0"/>
          <w:marRight w:val="0"/>
          <w:marTop w:val="0"/>
          <w:marBottom w:val="0"/>
          <w:divBdr>
            <w:top w:val="none" w:sz="0" w:space="0" w:color="auto"/>
            <w:left w:val="none" w:sz="0" w:space="0" w:color="auto"/>
            <w:bottom w:val="none" w:sz="0" w:space="0" w:color="auto"/>
            <w:right w:val="none" w:sz="0" w:space="0" w:color="auto"/>
          </w:divBdr>
        </w:div>
        <w:div w:id="1025903168">
          <w:marLeft w:val="0"/>
          <w:marRight w:val="0"/>
          <w:marTop w:val="0"/>
          <w:marBottom w:val="0"/>
          <w:divBdr>
            <w:top w:val="none" w:sz="0" w:space="0" w:color="auto"/>
            <w:left w:val="none" w:sz="0" w:space="0" w:color="auto"/>
            <w:bottom w:val="none" w:sz="0" w:space="0" w:color="auto"/>
            <w:right w:val="none" w:sz="0" w:space="0" w:color="auto"/>
          </w:divBdr>
        </w:div>
        <w:div w:id="1069616941">
          <w:marLeft w:val="0"/>
          <w:marRight w:val="0"/>
          <w:marTop w:val="0"/>
          <w:marBottom w:val="0"/>
          <w:divBdr>
            <w:top w:val="none" w:sz="0" w:space="0" w:color="auto"/>
            <w:left w:val="none" w:sz="0" w:space="0" w:color="auto"/>
            <w:bottom w:val="none" w:sz="0" w:space="0" w:color="auto"/>
            <w:right w:val="none" w:sz="0" w:space="0" w:color="auto"/>
          </w:divBdr>
        </w:div>
        <w:div w:id="1404643541">
          <w:marLeft w:val="0"/>
          <w:marRight w:val="0"/>
          <w:marTop w:val="0"/>
          <w:marBottom w:val="0"/>
          <w:divBdr>
            <w:top w:val="none" w:sz="0" w:space="0" w:color="auto"/>
            <w:left w:val="none" w:sz="0" w:space="0" w:color="auto"/>
            <w:bottom w:val="none" w:sz="0" w:space="0" w:color="auto"/>
            <w:right w:val="none" w:sz="0" w:space="0" w:color="auto"/>
          </w:divBdr>
        </w:div>
        <w:div w:id="1469594136">
          <w:marLeft w:val="0"/>
          <w:marRight w:val="0"/>
          <w:marTop w:val="0"/>
          <w:marBottom w:val="0"/>
          <w:divBdr>
            <w:top w:val="none" w:sz="0" w:space="0" w:color="auto"/>
            <w:left w:val="none" w:sz="0" w:space="0" w:color="auto"/>
            <w:bottom w:val="none" w:sz="0" w:space="0" w:color="auto"/>
            <w:right w:val="none" w:sz="0" w:space="0" w:color="auto"/>
          </w:divBdr>
        </w:div>
        <w:div w:id="1582257898">
          <w:marLeft w:val="0"/>
          <w:marRight w:val="0"/>
          <w:marTop w:val="0"/>
          <w:marBottom w:val="0"/>
          <w:divBdr>
            <w:top w:val="none" w:sz="0" w:space="0" w:color="auto"/>
            <w:left w:val="none" w:sz="0" w:space="0" w:color="auto"/>
            <w:bottom w:val="none" w:sz="0" w:space="0" w:color="auto"/>
            <w:right w:val="none" w:sz="0" w:space="0" w:color="auto"/>
          </w:divBdr>
        </w:div>
        <w:div w:id="1661420171">
          <w:marLeft w:val="0"/>
          <w:marRight w:val="0"/>
          <w:marTop w:val="0"/>
          <w:marBottom w:val="0"/>
          <w:divBdr>
            <w:top w:val="none" w:sz="0" w:space="0" w:color="auto"/>
            <w:left w:val="none" w:sz="0" w:space="0" w:color="auto"/>
            <w:bottom w:val="none" w:sz="0" w:space="0" w:color="auto"/>
            <w:right w:val="none" w:sz="0" w:space="0" w:color="auto"/>
          </w:divBdr>
        </w:div>
        <w:div w:id="1755011043">
          <w:marLeft w:val="0"/>
          <w:marRight w:val="0"/>
          <w:marTop w:val="0"/>
          <w:marBottom w:val="0"/>
          <w:divBdr>
            <w:top w:val="none" w:sz="0" w:space="0" w:color="auto"/>
            <w:left w:val="none" w:sz="0" w:space="0" w:color="auto"/>
            <w:bottom w:val="none" w:sz="0" w:space="0" w:color="auto"/>
            <w:right w:val="none" w:sz="0" w:space="0" w:color="auto"/>
          </w:divBdr>
        </w:div>
        <w:div w:id="1974478583">
          <w:marLeft w:val="0"/>
          <w:marRight w:val="0"/>
          <w:marTop w:val="0"/>
          <w:marBottom w:val="0"/>
          <w:divBdr>
            <w:top w:val="none" w:sz="0" w:space="0" w:color="auto"/>
            <w:left w:val="none" w:sz="0" w:space="0" w:color="auto"/>
            <w:bottom w:val="none" w:sz="0" w:space="0" w:color="auto"/>
            <w:right w:val="none" w:sz="0" w:space="0" w:color="auto"/>
          </w:divBdr>
        </w:div>
        <w:div w:id="2099983742">
          <w:marLeft w:val="0"/>
          <w:marRight w:val="0"/>
          <w:marTop w:val="0"/>
          <w:marBottom w:val="0"/>
          <w:divBdr>
            <w:top w:val="none" w:sz="0" w:space="0" w:color="auto"/>
            <w:left w:val="none" w:sz="0" w:space="0" w:color="auto"/>
            <w:bottom w:val="none" w:sz="0" w:space="0" w:color="auto"/>
            <w:right w:val="none" w:sz="0" w:space="0" w:color="auto"/>
          </w:divBdr>
        </w:div>
      </w:divsChild>
    </w:div>
    <w:div w:id="1351026638">
      <w:bodyDiv w:val="1"/>
      <w:marLeft w:val="0"/>
      <w:marRight w:val="0"/>
      <w:marTop w:val="0"/>
      <w:marBottom w:val="0"/>
      <w:divBdr>
        <w:top w:val="none" w:sz="0" w:space="0" w:color="auto"/>
        <w:left w:val="none" w:sz="0" w:space="0" w:color="auto"/>
        <w:bottom w:val="none" w:sz="0" w:space="0" w:color="auto"/>
        <w:right w:val="none" w:sz="0" w:space="0" w:color="auto"/>
      </w:divBdr>
    </w:div>
    <w:div w:id="1408920282">
      <w:bodyDiv w:val="1"/>
      <w:marLeft w:val="0"/>
      <w:marRight w:val="0"/>
      <w:marTop w:val="0"/>
      <w:marBottom w:val="0"/>
      <w:divBdr>
        <w:top w:val="none" w:sz="0" w:space="0" w:color="auto"/>
        <w:left w:val="none" w:sz="0" w:space="0" w:color="auto"/>
        <w:bottom w:val="none" w:sz="0" w:space="0" w:color="auto"/>
        <w:right w:val="none" w:sz="0" w:space="0" w:color="auto"/>
      </w:divBdr>
      <w:divsChild>
        <w:div w:id="664825471">
          <w:marLeft w:val="0"/>
          <w:marRight w:val="0"/>
          <w:marTop w:val="0"/>
          <w:marBottom w:val="0"/>
          <w:divBdr>
            <w:top w:val="none" w:sz="0" w:space="0" w:color="auto"/>
            <w:left w:val="none" w:sz="0" w:space="0" w:color="auto"/>
            <w:bottom w:val="none" w:sz="0" w:space="0" w:color="auto"/>
            <w:right w:val="none" w:sz="0" w:space="0" w:color="auto"/>
          </w:divBdr>
        </w:div>
      </w:divsChild>
    </w:div>
    <w:div w:id="1467116665">
      <w:bodyDiv w:val="1"/>
      <w:marLeft w:val="0"/>
      <w:marRight w:val="0"/>
      <w:marTop w:val="0"/>
      <w:marBottom w:val="0"/>
      <w:divBdr>
        <w:top w:val="none" w:sz="0" w:space="0" w:color="auto"/>
        <w:left w:val="none" w:sz="0" w:space="0" w:color="auto"/>
        <w:bottom w:val="none" w:sz="0" w:space="0" w:color="auto"/>
        <w:right w:val="none" w:sz="0" w:space="0" w:color="auto"/>
      </w:divBdr>
    </w:div>
    <w:div w:id="1480881865">
      <w:bodyDiv w:val="1"/>
      <w:marLeft w:val="0"/>
      <w:marRight w:val="0"/>
      <w:marTop w:val="0"/>
      <w:marBottom w:val="0"/>
      <w:divBdr>
        <w:top w:val="none" w:sz="0" w:space="0" w:color="auto"/>
        <w:left w:val="none" w:sz="0" w:space="0" w:color="auto"/>
        <w:bottom w:val="none" w:sz="0" w:space="0" w:color="auto"/>
        <w:right w:val="none" w:sz="0" w:space="0" w:color="auto"/>
      </w:divBdr>
    </w:div>
    <w:div w:id="1550268315">
      <w:bodyDiv w:val="1"/>
      <w:marLeft w:val="0"/>
      <w:marRight w:val="0"/>
      <w:marTop w:val="0"/>
      <w:marBottom w:val="0"/>
      <w:divBdr>
        <w:top w:val="none" w:sz="0" w:space="0" w:color="auto"/>
        <w:left w:val="none" w:sz="0" w:space="0" w:color="auto"/>
        <w:bottom w:val="none" w:sz="0" w:space="0" w:color="auto"/>
        <w:right w:val="none" w:sz="0" w:space="0" w:color="auto"/>
      </w:divBdr>
    </w:div>
    <w:div w:id="1578513359">
      <w:bodyDiv w:val="1"/>
      <w:marLeft w:val="0"/>
      <w:marRight w:val="0"/>
      <w:marTop w:val="0"/>
      <w:marBottom w:val="0"/>
      <w:divBdr>
        <w:top w:val="none" w:sz="0" w:space="0" w:color="auto"/>
        <w:left w:val="none" w:sz="0" w:space="0" w:color="auto"/>
        <w:bottom w:val="none" w:sz="0" w:space="0" w:color="auto"/>
        <w:right w:val="none" w:sz="0" w:space="0" w:color="auto"/>
      </w:divBdr>
    </w:div>
    <w:div w:id="1579290962">
      <w:bodyDiv w:val="1"/>
      <w:marLeft w:val="0"/>
      <w:marRight w:val="0"/>
      <w:marTop w:val="0"/>
      <w:marBottom w:val="0"/>
      <w:divBdr>
        <w:top w:val="none" w:sz="0" w:space="0" w:color="auto"/>
        <w:left w:val="none" w:sz="0" w:space="0" w:color="auto"/>
        <w:bottom w:val="none" w:sz="0" w:space="0" w:color="auto"/>
        <w:right w:val="none" w:sz="0" w:space="0" w:color="auto"/>
      </w:divBdr>
    </w:div>
    <w:div w:id="1580943397">
      <w:bodyDiv w:val="1"/>
      <w:marLeft w:val="0"/>
      <w:marRight w:val="0"/>
      <w:marTop w:val="0"/>
      <w:marBottom w:val="0"/>
      <w:divBdr>
        <w:top w:val="none" w:sz="0" w:space="0" w:color="auto"/>
        <w:left w:val="none" w:sz="0" w:space="0" w:color="auto"/>
        <w:bottom w:val="none" w:sz="0" w:space="0" w:color="auto"/>
        <w:right w:val="none" w:sz="0" w:space="0" w:color="auto"/>
      </w:divBdr>
    </w:div>
    <w:div w:id="1635478557">
      <w:bodyDiv w:val="1"/>
      <w:marLeft w:val="0"/>
      <w:marRight w:val="0"/>
      <w:marTop w:val="0"/>
      <w:marBottom w:val="0"/>
      <w:divBdr>
        <w:top w:val="none" w:sz="0" w:space="0" w:color="auto"/>
        <w:left w:val="none" w:sz="0" w:space="0" w:color="auto"/>
        <w:bottom w:val="none" w:sz="0" w:space="0" w:color="auto"/>
        <w:right w:val="none" w:sz="0" w:space="0" w:color="auto"/>
      </w:divBdr>
    </w:div>
    <w:div w:id="1660764827">
      <w:bodyDiv w:val="1"/>
      <w:marLeft w:val="0"/>
      <w:marRight w:val="0"/>
      <w:marTop w:val="0"/>
      <w:marBottom w:val="0"/>
      <w:divBdr>
        <w:top w:val="none" w:sz="0" w:space="0" w:color="auto"/>
        <w:left w:val="none" w:sz="0" w:space="0" w:color="auto"/>
        <w:bottom w:val="none" w:sz="0" w:space="0" w:color="auto"/>
        <w:right w:val="none" w:sz="0" w:space="0" w:color="auto"/>
      </w:divBdr>
    </w:div>
    <w:div w:id="1719821933">
      <w:bodyDiv w:val="1"/>
      <w:marLeft w:val="0"/>
      <w:marRight w:val="0"/>
      <w:marTop w:val="0"/>
      <w:marBottom w:val="0"/>
      <w:divBdr>
        <w:top w:val="none" w:sz="0" w:space="0" w:color="auto"/>
        <w:left w:val="none" w:sz="0" w:space="0" w:color="auto"/>
        <w:bottom w:val="none" w:sz="0" w:space="0" w:color="auto"/>
        <w:right w:val="none" w:sz="0" w:space="0" w:color="auto"/>
      </w:divBdr>
    </w:div>
    <w:div w:id="1825121280">
      <w:bodyDiv w:val="1"/>
      <w:marLeft w:val="0"/>
      <w:marRight w:val="0"/>
      <w:marTop w:val="0"/>
      <w:marBottom w:val="0"/>
      <w:divBdr>
        <w:top w:val="none" w:sz="0" w:space="0" w:color="auto"/>
        <w:left w:val="none" w:sz="0" w:space="0" w:color="auto"/>
        <w:bottom w:val="none" w:sz="0" w:space="0" w:color="auto"/>
        <w:right w:val="none" w:sz="0" w:space="0" w:color="auto"/>
      </w:divBdr>
    </w:div>
    <w:div w:id="1827741022">
      <w:bodyDiv w:val="1"/>
      <w:marLeft w:val="0"/>
      <w:marRight w:val="0"/>
      <w:marTop w:val="0"/>
      <w:marBottom w:val="0"/>
      <w:divBdr>
        <w:top w:val="none" w:sz="0" w:space="0" w:color="auto"/>
        <w:left w:val="none" w:sz="0" w:space="0" w:color="auto"/>
        <w:bottom w:val="none" w:sz="0" w:space="0" w:color="auto"/>
        <w:right w:val="none" w:sz="0" w:space="0" w:color="auto"/>
      </w:divBdr>
    </w:div>
    <w:div w:id="1949578504">
      <w:bodyDiv w:val="1"/>
      <w:marLeft w:val="0"/>
      <w:marRight w:val="0"/>
      <w:marTop w:val="0"/>
      <w:marBottom w:val="0"/>
      <w:divBdr>
        <w:top w:val="none" w:sz="0" w:space="0" w:color="auto"/>
        <w:left w:val="none" w:sz="0" w:space="0" w:color="auto"/>
        <w:bottom w:val="none" w:sz="0" w:space="0" w:color="auto"/>
        <w:right w:val="none" w:sz="0" w:space="0" w:color="auto"/>
      </w:divBdr>
    </w:div>
    <w:div w:id="2116633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customs.gov.u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ukrstat.gov.ua"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setam.net.ua/auction/383203"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s://bi.customs.gov.ua/trade/#/turnoverhs" TargetMode="External"/><Relationship Id="rId1" Type="http://schemas.openxmlformats.org/officeDocument/2006/relationships/hyperlink" Target="http://www.ukrstat.gov.ua/operativ/menu/menu_u/zed.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8FC72-2508-4BAE-9150-8F878F2D0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2927</Words>
  <Characters>20678</Characters>
  <Application>Microsoft Office Word</Application>
  <DocSecurity>4</DocSecurity>
  <Lines>172</Lines>
  <Paragraphs>47</Paragraphs>
  <ScaleCrop>false</ScaleCrop>
  <HeadingPairs>
    <vt:vector size="2" baseType="variant">
      <vt:variant>
        <vt:lpstr>Название</vt:lpstr>
      </vt:variant>
      <vt:variant>
        <vt:i4>1</vt:i4>
      </vt:variant>
    </vt:vector>
  </HeadingPairs>
  <TitlesOfParts>
    <vt:vector size="1" baseType="lpstr">
      <vt:lpstr>Антимонопольний комітет України</vt:lpstr>
    </vt:vector>
  </TitlesOfParts>
  <Company>AkU</Company>
  <LinksUpToDate>false</LinksUpToDate>
  <CharactersWithSpaces>23558</CharactersWithSpaces>
  <SharedDoc>false</SharedDoc>
  <HLinks>
    <vt:vector size="30" baseType="variant">
      <vt:variant>
        <vt:i4>7536680</vt:i4>
      </vt:variant>
      <vt:variant>
        <vt:i4>6</vt:i4>
      </vt:variant>
      <vt:variant>
        <vt:i4>0</vt:i4>
      </vt:variant>
      <vt:variant>
        <vt:i4>5</vt:i4>
      </vt:variant>
      <vt:variant>
        <vt:lpwstr>https://customs.gov.ua/</vt:lpwstr>
      </vt:variant>
      <vt:variant>
        <vt:lpwstr/>
      </vt:variant>
      <vt:variant>
        <vt:i4>6750334</vt:i4>
      </vt:variant>
      <vt:variant>
        <vt:i4>3</vt:i4>
      </vt:variant>
      <vt:variant>
        <vt:i4>0</vt:i4>
      </vt:variant>
      <vt:variant>
        <vt:i4>5</vt:i4>
      </vt:variant>
      <vt:variant>
        <vt:lpwstr>http://ukrstat.gov.ua/</vt:lpwstr>
      </vt:variant>
      <vt:variant>
        <vt:lpwstr/>
      </vt:variant>
      <vt:variant>
        <vt:i4>2359329</vt:i4>
      </vt:variant>
      <vt:variant>
        <vt:i4>0</vt:i4>
      </vt:variant>
      <vt:variant>
        <vt:i4>0</vt:i4>
      </vt:variant>
      <vt:variant>
        <vt:i4>5</vt:i4>
      </vt:variant>
      <vt:variant>
        <vt:lpwstr>https://setam.net.ua/auction/383203</vt:lpwstr>
      </vt:variant>
      <vt:variant>
        <vt:lpwstr/>
      </vt:variant>
      <vt:variant>
        <vt:i4>6422574</vt:i4>
      </vt:variant>
      <vt:variant>
        <vt:i4>3</vt:i4>
      </vt:variant>
      <vt:variant>
        <vt:i4>0</vt:i4>
      </vt:variant>
      <vt:variant>
        <vt:i4>5</vt:i4>
      </vt:variant>
      <vt:variant>
        <vt:lpwstr>https://bi.customs.gov.ua/trade/</vt:lpwstr>
      </vt:variant>
      <vt:variant>
        <vt:lpwstr>/turnoverhs</vt:lpwstr>
      </vt:variant>
      <vt:variant>
        <vt:i4>3473494</vt:i4>
      </vt:variant>
      <vt:variant>
        <vt:i4>0</vt:i4>
      </vt:variant>
      <vt:variant>
        <vt:i4>0</vt:i4>
      </vt:variant>
      <vt:variant>
        <vt:i4>5</vt:i4>
      </vt:variant>
      <vt:variant>
        <vt:lpwstr>http://www.ukrstat.gov.ua/operativ/menu/menu_u/zed.htm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Антимонопольний комітет України</dc:title>
  <dc:creator>Kostuk</dc:creator>
  <cp:lastModifiedBy>Тітенко Вікторія Ігорівна</cp:lastModifiedBy>
  <cp:revision>2</cp:revision>
  <cp:lastPrinted>2020-12-22T14:34:00Z</cp:lastPrinted>
  <dcterms:created xsi:type="dcterms:W3CDTF">2021-01-11T13:31:00Z</dcterms:created>
  <dcterms:modified xsi:type="dcterms:W3CDTF">2021-01-11T13:31:00Z</dcterms:modified>
</cp:coreProperties>
</file>