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065FEC" w:rsidTr="00D03BF7">
        <w:trPr>
          <w:trHeight w:val="707"/>
        </w:trPr>
        <w:tc>
          <w:tcPr>
            <w:tcW w:w="9746" w:type="dxa"/>
            <w:shd w:val="clear" w:color="auto" w:fill="auto"/>
          </w:tcPr>
          <w:p w:rsidR="00065FEC" w:rsidRDefault="00065FEC" w:rsidP="00D03BF7">
            <w:pPr>
              <w:jc w:val="center"/>
              <w:rPr>
                <w:sz w:val="32"/>
                <w:szCs w:val="32"/>
              </w:rPr>
            </w:pPr>
            <w:bookmarkStart w:id="0" w:name="_GoBack"/>
            <w:bookmarkEnd w:id="0"/>
            <w:r>
              <w:rPr>
                <w:noProof/>
                <w:lang w:val="ru-RU" w:eastAsia="ru-RU"/>
              </w:rPr>
              <w:drawing>
                <wp:inline distT="0" distB="0" distL="0" distR="0" wp14:anchorId="27D07202" wp14:editId="02B278A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065FEC" w:rsidRPr="0063067D" w:rsidRDefault="00065FEC" w:rsidP="00D03BF7">
            <w:pPr>
              <w:jc w:val="center"/>
              <w:rPr>
                <w:sz w:val="16"/>
                <w:szCs w:val="16"/>
              </w:rPr>
            </w:pPr>
          </w:p>
          <w:p w:rsidR="00065FEC" w:rsidRDefault="00065FEC" w:rsidP="00D03BF7">
            <w:pPr>
              <w:jc w:val="center"/>
            </w:pPr>
            <w:r>
              <w:rPr>
                <w:b/>
                <w:bCs/>
                <w:sz w:val="32"/>
                <w:szCs w:val="32"/>
              </w:rPr>
              <w:t>АНТИМОНОПОЛЬНИЙ КОМІТЕТ УКРАЇНИ</w:t>
            </w:r>
          </w:p>
        </w:tc>
        <w:tc>
          <w:tcPr>
            <w:tcW w:w="5925" w:type="dxa"/>
            <w:shd w:val="clear" w:color="auto" w:fill="auto"/>
          </w:tcPr>
          <w:p w:rsidR="00065FEC" w:rsidRDefault="00065FEC" w:rsidP="00D03BF7">
            <w:pPr>
              <w:jc w:val="both"/>
              <w:rPr>
                <w:sz w:val="32"/>
                <w:szCs w:val="32"/>
              </w:rPr>
            </w:pPr>
          </w:p>
        </w:tc>
      </w:tr>
    </w:tbl>
    <w:p w:rsidR="00065FEC" w:rsidRPr="0063067D" w:rsidRDefault="00065FEC" w:rsidP="00065FEC">
      <w:pPr>
        <w:jc w:val="center"/>
        <w:rPr>
          <w:b/>
          <w:bCs/>
          <w:sz w:val="28"/>
          <w:szCs w:val="28"/>
        </w:rPr>
      </w:pPr>
    </w:p>
    <w:p w:rsidR="00065FEC" w:rsidRDefault="00065FEC" w:rsidP="00065FEC">
      <w:pPr>
        <w:jc w:val="center"/>
        <w:rPr>
          <w:b/>
          <w:bCs/>
          <w:sz w:val="32"/>
          <w:szCs w:val="32"/>
        </w:rPr>
      </w:pPr>
      <w:r>
        <w:rPr>
          <w:b/>
          <w:bCs/>
          <w:sz w:val="32"/>
          <w:szCs w:val="32"/>
        </w:rPr>
        <w:t>РІШЕННЯ</w:t>
      </w:r>
    </w:p>
    <w:p w:rsidR="00065FEC" w:rsidRPr="0063067D" w:rsidRDefault="00065FEC" w:rsidP="00065FEC">
      <w:pPr>
        <w:jc w:val="center"/>
        <w:rPr>
          <w:b/>
          <w:bCs/>
          <w:sz w:val="28"/>
          <w:szCs w:val="28"/>
        </w:rPr>
      </w:pPr>
    </w:p>
    <w:p w:rsidR="00310E56" w:rsidRDefault="00310E56" w:rsidP="00310E56">
      <w:pPr>
        <w:rPr>
          <w:sz w:val="28"/>
          <w:szCs w:val="28"/>
        </w:rPr>
      </w:pPr>
    </w:p>
    <w:p w:rsidR="00065FEC" w:rsidRPr="00CE23BB" w:rsidRDefault="00310E56" w:rsidP="00310E56">
      <w:pPr>
        <w:jc w:val="center"/>
      </w:pPr>
      <w:r w:rsidRPr="00310E56">
        <w:t>17</w:t>
      </w:r>
      <w:r>
        <w:rPr>
          <w:sz w:val="28"/>
          <w:szCs w:val="28"/>
        </w:rPr>
        <w:t xml:space="preserve"> </w:t>
      </w:r>
      <w:r w:rsidR="00065FEC">
        <w:rPr>
          <w:lang w:val="ru-RU"/>
        </w:rPr>
        <w:t xml:space="preserve">грудня </w:t>
      </w:r>
      <w:r w:rsidR="00065FEC">
        <w:t xml:space="preserve"> 2020 р. </w:t>
      </w:r>
      <w:r w:rsidR="00065FEC">
        <w:tab/>
      </w:r>
      <w:r w:rsidR="00065FEC">
        <w:tab/>
        <w:t xml:space="preserve">              </w:t>
      </w:r>
      <w:r>
        <w:t xml:space="preserve">      Київ</w:t>
      </w:r>
      <w:r>
        <w:tab/>
      </w:r>
      <w:r>
        <w:tab/>
      </w:r>
      <w:r>
        <w:tab/>
        <w:t xml:space="preserve">                    № 783</w:t>
      </w:r>
      <w:r w:rsidR="00065FEC">
        <w:t>-р</w:t>
      </w:r>
    </w:p>
    <w:p w:rsidR="00065FEC" w:rsidRDefault="00065FEC" w:rsidP="00065FEC">
      <w:pPr>
        <w:rPr>
          <w:b/>
          <w:bCs/>
        </w:rPr>
      </w:pPr>
    </w:p>
    <w:p w:rsidR="00065FEC" w:rsidRPr="00CE23BB" w:rsidRDefault="00065FEC" w:rsidP="00065FEC">
      <w:r>
        <w:t xml:space="preserve">Про визнання підтримки суб’єкта </w:t>
      </w:r>
    </w:p>
    <w:p w:rsidR="00065FEC" w:rsidRPr="00CE23BB" w:rsidRDefault="00065FEC" w:rsidP="00065FEC">
      <w:r>
        <w:t xml:space="preserve">господарювання, зазначеної у </w:t>
      </w:r>
    </w:p>
    <w:p w:rsidR="00065FEC" w:rsidRPr="00CE23BB" w:rsidRDefault="00065FEC" w:rsidP="00065FEC">
      <w:r>
        <w:t>повідомленні, такою, що не є державною</w:t>
      </w:r>
    </w:p>
    <w:p w:rsidR="00065FEC" w:rsidRPr="00CE23BB" w:rsidRDefault="00065FEC" w:rsidP="00065FEC">
      <w:r>
        <w:t>допомогою відповідно до Закону</w:t>
      </w:r>
    </w:p>
    <w:p w:rsidR="00065FEC" w:rsidRDefault="00065FEC" w:rsidP="00065FEC"/>
    <w:p w:rsidR="00065FEC" w:rsidRPr="00065FEC" w:rsidRDefault="00065FEC" w:rsidP="00065FEC">
      <w:pPr>
        <w:ind w:firstLine="709"/>
        <w:jc w:val="both"/>
      </w:pPr>
      <w:r>
        <w:t xml:space="preserve">Антимонопольний комітет України (далі – Комітет), розглянувши подання Департаменту моніторингу і </w:t>
      </w:r>
      <w:r w:rsidR="00310E56">
        <w:t>контролю державної допомоги від 15</w:t>
      </w:r>
      <w:r>
        <w:rPr>
          <w:lang w:val="ru-RU"/>
        </w:rPr>
        <w:t>.12</w:t>
      </w:r>
      <w:r w:rsidR="00310E56">
        <w:t xml:space="preserve">.2020 </w:t>
      </w:r>
      <w:r w:rsidR="00310E56">
        <w:br/>
        <w:t>№ 500-01/524-п</w:t>
      </w:r>
      <w:r w:rsidRPr="00516FFF">
        <w:t xml:space="preserve"> </w:t>
      </w:r>
      <w:r>
        <w:t>та повідомлення про нову індивідуальну державну допомогу, надіслане</w:t>
      </w:r>
      <w:r w:rsidRPr="00516FFF">
        <w:t xml:space="preserve"> </w:t>
      </w:r>
      <w:r w:rsidRPr="00065FEC">
        <w:t>Департаментом житлово-комунального господарства Луцької міської</w:t>
      </w:r>
      <w:r w:rsidR="00310E56">
        <w:t xml:space="preserve"> ради за реєстраційним номером у</w:t>
      </w:r>
      <w:r w:rsidRPr="00065FEC">
        <w:t xml:space="preserve"> базі даних 43360 (вх. № 1724-ПДД/1 від 03.09.2020) та л</w:t>
      </w:r>
      <w:r w:rsidR="00310E56">
        <w:t>ист від 23.10.2020                   № 1807-ПДД/4</w:t>
      </w:r>
      <w:r w:rsidRPr="00065FEC">
        <w:t xml:space="preserve"> щодо надання державної допомоги комунальному підприємству «Луцькводоканал»</w:t>
      </w:r>
      <w:r w:rsidR="00310E56">
        <w:t>,</w:t>
      </w:r>
      <w:r w:rsidRPr="00065FEC">
        <w:t xml:space="preserve"> </w:t>
      </w:r>
      <w:r>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за № 501/28631, зі змінами, затвердженими розпорядженням Антимонопольного комітету України від 13.09.2018 </w:t>
      </w:r>
      <w:r w:rsidR="00310E56">
        <w:t xml:space="preserve">                  </w:t>
      </w:r>
      <w:r>
        <w:t>№ 18-рп, зареєстрованим у Міністерстві юстиції України 27.11.2018 за № 1337/32789,</w:t>
      </w:r>
    </w:p>
    <w:p w:rsidR="00B9313F" w:rsidRDefault="00B9313F" w:rsidP="008373B5">
      <w:pPr>
        <w:rPr>
          <w:b/>
          <w:bCs/>
          <w:sz w:val="20"/>
          <w:szCs w:val="20"/>
        </w:rPr>
      </w:pPr>
    </w:p>
    <w:p w:rsidR="00310E56" w:rsidRPr="007A7451" w:rsidRDefault="00310E56" w:rsidP="008373B5">
      <w:pPr>
        <w:rPr>
          <w:b/>
          <w:bCs/>
          <w:sz w:val="20"/>
          <w:szCs w:val="20"/>
        </w:rPr>
      </w:pPr>
    </w:p>
    <w:p w:rsidR="00065FEC" w:rsidRPr="00BB76C2" w:rsidRDefault="00065FEC" w:rsidP="00BB76C2">
      <w:pPr>
        <w:jc w:val="center"/>
        <w:rPr>
          <w:b/>
          <w:bCs/>
          <w:lang w:val="ru-RU"/>
        </w:rPr>
      </w:pPr>
      <w:r>
        <w:rPr>
          <w:b/>
          <w:bCs/>
        </w:rPr>
        <w:t>ВСТАНОВИВ:</w:t>
      </w:r>
    </w:p>
    <w:p w:rsidR="00B9313F" w:rsidRDefault="00B9313F" w:rsidP="00065FEC">
      <w:pPr>
        <w:jc w:val="both"/>
      </w:pPr>
    </w:p>
    <w:p w:rsidR="00310E56" w:rsidRPr="00065FEC" w:rsidRDefault="00310E56" w:rsidP="00065FEC">
      <w:pPr>
        <w:jc w:val="both"/>
      </w:pPr>
    </w:p>
    <w:p w:rsidR="00065FEC" w:rsidRPr="00065FEC" w:rsidRDefault="00065FEC" w:rsidP="00065FEC">
      <w:pPr>
        <w:numPr>
          <w:ilvl w:val="0"/>
          <w:numId w:val="1"/>
        </w:numPr>
        <w:ind w:left="0" w:hanging="426"/>
        <w:contextualSpacing/>
        <w:jc w:val="both"/>
        <w:rPr>
          <w:b/>
          <w:bCs/>
        </w:rPr>
      </w:pPr>
      <w:r w:rsidRPr="00065FEC">
        <w:rPr>
          <w:b/>
          <w:bCs/>
        </w:rPr>
        <w:t>ПОРЯДОК ПОВІДОМЛЕННЯ ПРО ДЕРЖАВНУ ПІДТРИМКУ</w:t>
      </w:r>
    </w:p>
    <w:p w:rsidR="00E627A6" w:rsidRPr="00E627A6" w:rsidRDefault="00E627A6" w:rsidP="00E627A6">
      <w:pPr>
        <w:contextualSpacing/>
        <w:jc w:val="both"/>
        <w:rPr>
          <w:b/>
          <w:bCs/>
        </w:rPr>
      </w:pPr>
    </w:p>
    <w:p w:rsidR="00E627A6" w:rsidRPr="00E627A6" w:rsidRDefault="00E627A6" w:rsidP="00E627A6">
      <w:pPr>
        <w:numPr>
          <w:ilvl w:val="0"/>
          <w:numId w:val="2"/>
        </w:numPr>
        <w:spacing w:after="200"/>
        <w:ind w:left="0"/>
        <w:jc w:val="both"/>
      </w:pPr>
      <w:r w:rsidRPr="00E627A6">
        <w:t>Листом за реєстраційним номером у базі даних 43360 (вх. № 1724-ПДД/1 від 03.09.2020) відповідно до статті  9 Закону України «Про державну допомогу суб’єктам господарювання» (далі – Закон) Департаментом житлово-комунального господарства Луцької міської ради подано повідомлення про нову індивідуальну державну допомогу (далі – Повідомлення).</w:t>
      </w:r>
    </w:p>
    <w:p w:rsidR="00E627A6" w:rsidRPr="00E627A6" w:rsidRDefault="00E627A6" w:rsidP="00E627A6">
      <w:pPr>
        <w:numPr>
          <w:ilvl w:val="0"/>
          <w:numId w:val="2"/>
        </w:numPr>
        <w:spacing w:after="200"/>
        <w:ind w:left="0"/>
        <w:jc w:val="both"/>
      </w:pPr>
      <w:r w:rsidRPr="00E627A6">
        <w:t xml:space="preserve">Листом Антимонопольного комітету України від 17.09.2020 № 500-29/05-12700 </w:t>
      </w:r>
      <w:r w:rsidR="00310E56">
        <w:t>Повідомлення залишено без руху й</w:t>
      </w:r>
      <w:r w:rsidRPr="00E627A6">
        <w:t xml:space="preserve"> надано тридцятиденний строк для надання додаткової інформації.</w:t>
      </w:r>
    </w:p>
    <w:p w:rsidR="00E627A6" w:rsidRPr="00E627A6" w:rsidRDefault="00E627A6" w:rsidP="00E627A6">
      <w:pPr>
        <w:numPr>
          <w:ilvl w:val="0"/>
          <w:numId w:val="2"/>
        </w:numPr>
        <w:spacing w:after="200"/>
        <w:ind w:left="0"/>
        <w:jc w:val="both"/>
      </w:pPr>
      <w:r w:rsidRPr="00E627A6">
        <w:t xml:space="preserve">Листом від 23.10.2020 № 1807-ПДД/4 (далі – Лист) Департаментом житлово-комунального господарства Луцької міської ради відповідно до пункту 2 розділу 9 Закону надано запитувану інформацію. </w:t>
      </w:r>
    </w:p>
    <w:p w:rsidR="00E627A6" w:rsidRDefault="00E627A6" w:rsidP="00E627A6">
      <w:pPr>
        <w:numPr>
          <w:ilvl w:val="0"/>
          <w:numId w:val="2"/>
        </w:numPr>
        <w:spacing w:after="200"/>
        <w:ind w:left="0"/>
        <w:jc w:val="both"/>
      </w:pPr>
      <w:r w:rsidRPr="00E627A6">
        <w:t>Повідомлення було прийнято до розгляду 23.10.2020.</w:t>
      </w:r>
    </w:p>
    <w:p w:rsidR="00BB76C2" w:rsidRPr="00E627A6" w:rsidRDefault="00BB76C2" w:rsidP="00BB76C2">
      <w:pPr>
        <w:spacing w:after="200"/>
        <w:jc w:val="both"/>
      </w:pPr>
    </w:p>
    <w:p w:rsidR="00E627A6" w:rsidRDefault="00E627A6" w:rsidP="00E627A6">
      <w:pPr>
        <w:numPr>
          <w:ilvl w:val="0"/>
          <w:numId w:val="1"/>
        </w:numPr>
        <w:spacing w:after="200"/>
        <w:ind w:left="0" w:hanging="426"/>
        <w:contextualSpacing/>
        <w:jc w:val="both"/>
        <w:rPr>
          <w:b/>
          <w:bCs/>
        </w:rPr>
      </w:pPr>
      <w:r w:rsidRPr="00E627A6">
        <w:rPr>
          <w:b/>
          <w:bCs/>
        </w:rPr>
        <w:lastRenderedPageBreak/>
        <w:t>ВІДОМОСТІ ТА ІНФОРМАЦІЯ ВІД НАДАВАЧА ДЕРЖАВНОЇ ПІДТРИМКИ</w:t>
      </w:r>
    </w:p>
    <w:p w:rsidR="00BB76C2" w:rsidRPr="00BB76C2" w:rsidRDefault="00BB76C2" w:rsidP="00BB76C2">
      <w:pPr>
        <w:spacing w:after="200"/>
        <w:contextualSpacing/>
        <w:jc w:val="both"/>
        <w:rPr>
          <w:b/>
          <w:bCs/>
        </w:rPr>
      </w:pPr>
    </w:p>
    <w:p w:rsidR="00E627A6" w:rsidRPr="00E627A6" w:rsidRDefault="00E627A6" w:rsidP="00E627A6">
      <w:pPr>
        <w:numPr>
          <w:ilvl w:val="1"/>
          <w:numId w:val="3"/>
        </w:numPr>
        <w:spacing w:after="200"/>
        <w:ind w:left="0" w:hanging="426"/>
        <w:jc w:val="both"/>
        <w:rPr>
          <w:b/>
          <w:bCs/>
          <w:color w:val="000000"/>
        </w:rPr>
      </w:pPr>
      <w:r w:rsidRPr="00E627A6">
        <w:rPr>
          <w:b/>
          <w:bCs/>
          <w:color w:val="000000"/>
        </w:rPr>
        <w:t>Надавач підтримки</w:t>
      </w:r>
    </w:p>
    <w:p w:rsidR="00E627A6" w:rsidRPr="00E627A6" w:rsidRDefault="00E627A6" w:rsidP="00E627A6">
      <w:pPr>
        <w:numPr>
          <w:ilvl w:val="0"/>
          <w:numId w:val="2"/>
        </w:numPr>
        <w:tabs>
          <w:tab w:val="num" w:pos="360"/>
        </w:tabs>
        <w:spacing w:after="200"/>
        <w:ind w:left="0"/>
        <w:jc w:val="both"/>
      </w:pPr>
      <w:r w:rsidRPr="00E627A6">
        <w:t>Департамент житлово-комунального господарства Луцької міської ради (далі – Надавач) (</w:t>
      </w:r>
      <w:r w:rsidRPr="00E627A6">
        <w:rPr>
          <w:lang w:eastAsia="ru-RU"/>
        </w:rPr>
        <w:t xml:space="preserve">43016, </w:t>
      </w:r>
      <w:r w:rsidRPr="00E627A6">
        <w:t>м. Луцьк, вул. Богдана Хмельницького, 40а, ідентифікаційний код юридичної особи 34572192).</w:t>
      </w:r>
    </w:p>
    <w:p w:rsidR="00E627A6" w:rsidRPr="00E627A6" w:rsidRDefault="00E627A6" w:rsidP="00E627A6">
      <w:pPr>
        <w:numPr>
          <w:ilvl w:val="1"/>
          <w:numId w:val="3"/>
        </w:numPr>
        <w:spacing w:after="200"/>
        <w:ind w:left="0" w:hanging="426"/>
        <w:jc w:val="both"/>
        <w:rPr>
          <w:b/>
          <w:bCs/>
          <w:color w:val="000000"/>
        </w:rPr>
      </w:pPr>
      <w:r w:rsidRPr="00E627A6">
        <w:rPr>
          <w:b/>
          <w:bCs/>
          <w:color w:val="000000"/>
        </w:rPr>
        <w:t>Отримувач підтримки</w:t>
      </w:r>
    </w:p>
    <w:p w:rsidR="00E627A6" w:rsidRPr="00E627A6" w:rsidRDefault="00E627A6" w:rsidP="00E627A6">
      <w:pPr>
        <w:numPr>
          <w:ilvl w:val="0"/>
          <w:numId w:val="2"/>
        </w:numPr>
        <w:tabs>
          <w:tab w:val="num" w:pos="360"/>
        </w:tabs>
        <w:spacing w:after="200"/>
        <w:ind w:left="0" w:hanging="426"/>
        <w:jc w:val="both"/>
      </w:pPr>
      <w:r w:rsidRPr="00E627A6">
        <w:t>Комунальне підприємство «Луцькводоканал» (далі – Отримувач, КП «Луцькводоканал», Підприємство) (43010, м. Луцьк, вул. Дубнівська, 26, ідентифікаційний код юридичної особи 03339489).</w:t>
      </w:r>
    </w:p>
    <w:p w:rsidR="00E627A6" w:rsidRPr="00E627A6" w:rsidRDefault="00E627A6" w:rsidP="00E627A6">
      <w:pPr>
        <w:numPr>
          <w:ilvl w:val="0"/>
          <w:numId w:val="2"/>
        </w:numPr>
        <w:spacing w:after="200"/>
        <w:ind w:left="0"/>
        <w:jc w:val="both"/>
      </w:pPr>
      <w:r w:rsidRPr="00E627A6">
        <w:t>Відповідно до пункту 1.1 Статуту КП «Луцькводоканал», затвердженого рішенням Луцької міської ради від 27.11.2019 № 66/70 (далі – Статут), Підприємство засноване на комунальній власності територіальної громади міста Луцька. Засновником (власником) Підприємства є територіальна громада</w:t>
      </w:r>
      <w:r w:rsidR="00310E56">
        <w:t xml:space="preserve"> міста Луцька</w:t>
      </w:r>
      <w:r w:rsidRPr="00E627A6">
        <w:t xml:space="preserve">  в особі Луцької міської ради.</w:t>
      </w:r>
    </w:p>
    <w:p w:rsidR="00E627A6" w:rsidRPr="00E627A6" w:rsidRDefault="00E627A6" w:rsidP="00E627A6">
      <w:pPr>
        <w:numPr>
          <w:ilvl w:val="1"/>
          <w:numId w:val="3"/>
        </w:numPr>
        <w:spacing w:after="200"/>
        <w:ind w:left="0" w:hanging="426"/>
        <w:jc w:val="both"/>
        <w:rPr>
          <w:b/>
          <w:bCs/>
          <w:color w:val="000000"/>
        </w:rPr>
      </w:pPr>
      <w:r w:rsidRPr="00E627A6">
        <w:rPr>
          <w:b/>
          <w:bCs/>
          <w:color w:val="000000"/>
        </w:rPr>
        <w:t>Мета (ціль) підтримки</w:t>
      </w:r>
    </w:p>
    <w:p w:rsidR="00E627A6" w:rsidRPr="00E627A6" w:rsidRDefault="00E627A6" w:rsidP="00E627A6">
      <w:pPr>
        <w:numPr>
          <w:ilvl w:val="0"/>
          <w:numId w:val="2"/>
        </w:numPr>
        <w:spacing w:after="200"/>
        <w:ind w:left="0"/>
        <w:contextualSpacing/>
        <w:jc w:val="both"/>
        <w:rPr>
          <w:lang w:eastAsia="ru-RU"/>
        </w:rPr>
      </w:pPr>
      <w:r w:rsidRPr="00E627A6">
        <w:rPr>
          <w:lang w:eastAsia="ru-RU"/>
        </w:rPr>
        <w:t>Створення умов, що сприятимуть сталому функціонуванню підприємства, обмеження шкідливого впливу на навколишнє природне середовище та здоров'я людини, розширення та модернізація діючих потужностей підприємства, зменшення втрат води в мережах, покращення якості обслуговування населення.</w:t>
      </w:r>
    </w:p>
    <w:p w:rsidR="00E627A6" w:rsidRPr="00E627A6" w:rsidRDefault="00E627A6" w:rsidP="00E627A6">
      <w:pPr>
        <w:contextualSpacing/>
        <w:jc w:val="both"/>
        <w:rPr>
          <w:lang w:eastAsia="ru-RU"/>
        </w:rPr>
      </w:pPr>
    </w:p>
    <w:p w:rsidR="00E627A6" w:rsidRPr="00E627A6" w:rsidRDefault="00E627A6" w:rsidP="00E627A6">
      <w:pPr>
        <w:numPr>
          <w:ilvl w:val="0"/>
          <w:numId w:val="2"/>
        </w:numPr>
        <w:spacing w:after="200"/>
        <w:ind w:left="0"/>
        <w:contextualSpacing/>
        <w:jc w:val="both"/>
        <w:rPr>
          <w:lang w:eastAsia="ru-RU"/>
        </w:rPr>
      </w:pPr>
      <w:r w:rsidRPr="00E627A6">
        <w:rPr>
          <w:lang w:eastAsia="ru-RU"/>
        </w:rPr>
        <w:t xml:space="preserve">Цілю підтримки є сприяння суб’єктам господарювання  </w:t>
      </w:r>
      <w:r w:rsidRPr="00E627A6">
        <w:rPr>
          <w:lang w:val="ru-RU" w:eastAsia="ru-RU"/>
        </w:rPr>
        <w:t>в окремих економічних сферах (зонах) за умови, що це не суперечить міжнародним договорам України, згода на обов’язковість яких надана Верховною Радою України</w:t>
      </w:r>
      <w:r w:rsidR="00310E56">
        <w:rPr>
          <w:lang w:val="ru-RU" w:eastAsia="ru-RU"/>
        </w:rPr>
        <w:t>.</w:t>
      </w:r>
    </w:p>
    <w:p w:rsidR="00E627A6" w:rsidRPr="00E627A6" w:rsidRDefault="00E627A6" w:rsidP="00E627A6">
      <w:pPr>
        <w:jc w:val="both"/>
        <w:rPr>
          <w:highlight w:val="yellow"/>
        </w:rPr>
      </w:pPr>
    </w:p>
    <w:p w:rsidR="00E627A6" w:rsidRPr="00E627A6" w:rsidRDefault="00E627A6" w:rsidP="00E627A6">
      <w:pPr>
        <w:numPr>
          <w:ilvl w:val="1"/>
          <w:numId w:val="3"/>
        </w:numPr>
        <w:spacing w:after="200"/>
        <w:ind w:left="0" w:hanging="426"/>
        <w:jc w:val="both"/>
        <w:rPr>
          <w:b/>
          <w:bCs/>
          <w:color w:val="000000"/>
        </w:rPr>
      </w:pPr>
      <w:r w:rsidRPr="00E627A6">
        <w:rPr>
          <w:b/>
          <w:bCs/>
          <w:color w:val="000000"/>
        </w:rPr>
        <w:t>Очікуваний результат</w:t>
      </w:r>
    </w:p>
    <w:p w:rsidR="00E627A6" w:rsidRPr="00E627A6" w:rsidRDefault="00E627A6" w:rsidP="00E627A6">
      <w:pPr>
        <w:numPr>
          <w:ilvl w:val="0"/>
          <w:numId w:val="2"/>
        </w:numPr>
        <w:spacing w:after="200"/>
        <w:ind w:left="0"/>
        <w:contextualSpacing/>
        <w:jc w:val="both"/>
      </w:pPr>
      <w:r w:rsidRPr="00E627A6">
        <w:t xml:space="preserve">Реалізація </w:t>
      </w:r>
      <w:r w:rsidRPr="00E627A6">
        <w:rPr>
          <w:lang w:eastAsia="ru-RU"/>
        </w:rPr>
        <w:t>комплексу</w:t>
      </w:r>
      <w:r w:rsidRPr="00E627A6">
        <w:t xml:space="preserve"> заходів щодо забезпечення безперебійного та цілодобового надання послуг водопостачання та водовідведення для населення міста.</w:t>
      </w:r>
    </w:p>
    <w:p w:rsidR="00E627A6" w:rsidRPr="00E627A6" w:rsidRDefault="00E627A6" w:rsidP="00E627A6">
      <w:pPr>
        <w:jc w:val="both"/>
      </w:pPr>
    </w:p>
    <w:p w:rsidR="00E627A6" w:rsidRPr="00E627A6" w:rsidRDefault="00E627A6" w:rsidP="00E627A6">
      <w:pPr>
        <w:numPr>
          <w:ilvl w:val="1"/>
          <w:numId w:val="3"/>
        </w:numPr>
        <w:spacing w:after="200"/>
        <w:ind w:left="0" w:hanging="426"/>
        <w:jc w:val="both"/>
        <w:rPr>
          <w:b/>
          <w:bCs/>
          <w:color w:val="000000"/>
        </w:rPr>
      </w:pPr>
      <w:r w:rsidRPr="00E627A6">
        <w:rPr>
          <w:b/>
          <w:bCs/>
          <w:color w:val="000000"/>
        </w:rPr>
        <w:t>Форма підтримки</w:t>
      </w:r>
    </w:p>
    <w:p w:rsidR="00E627A6" w:rsidRPr="00E627A6" w:rsidRDefault="00E627A6" w:rsidP="00310E56">
      <w:pPr>
        <w:numPr>
          <w:ilvl w:val="0"/>
          <w:numId w:val="2"/>
        </w:numPr>
        <w:tabs>
          <w:tab w:val="num" w:pos="360"/>
        </w:tabs>
        <w:spacing w:after="200"/>
        <w:ind w:left="0"/>
        <w:jc w:val="both"/>
      </w:pPr>
      <w:r w:rsidRPr="00E627A6">
        <w:t>Субсидія.</w:t>
      </w:r>
    </w:p>
    <w:p w:rsidR="00E627A6" w:rsidRPr="00E627A6" w:rsidRDefault="00E627A6" w:rsidP="00E627A6">
      <w:pPr>
        <w:numPr>
          <w:ilvl w:val="1"/>
          <w:numId w:val="3"/>
        </w:numPr>
        <w:spacing w:after="200"/>
        <w:ind w:left="0" w:hanging="426"/>
        <w:jc w:val="both"/>
        <w:rPr>
          <w:b/>
          <w:bCs/>
          <w:color w:val="000000"/>
        </w:rPr>
      </w:pPr>
      <w:r w:rsidRPr="00E627A6">
        <w:rPr>
          <w:b/>
          <w:bCs/>
          <w:color w:val="000000"/>
        </w:rPr>
        <w:t>Обсяг підтримки</w:t>
      </w:r>
    </w:p>
    <w:p w:rsidR="00E627A6" w:rsidRPr="00E627A6" w:rsidRDefault="00E627A6" w:rsidP="00E627A6">
      <w:pPr>
        <w:numPr>
          <w:ilvl w:val="0"/>
          <w:numId w:val="2"/>
        </w:numPr>
        <w:tabs>
          <w:tab w:val="num" w:pos="360"/>
        </w:tabs>
        <w:spacing w:after="200"/>
        <w:ind w:left="0"/>
        <w:jc w:val="both"/>
      </w:pPr>
      <w:r w:rsidRPr="00E627A6">
        <w:rPr>
          <w:lang w:eastAsia="ru-RU"/>
        </w:rPr>
        <w:t xml:space="preserve"> Загальний обсяг </w:t>
      </w:r>
      <w:r w:rsidR="00310E56">
        <w:rPr>
          <w:lang w:eastAsia="ru-RU"/>
        </w:rPr>
        <w:t xml:space="preserve">– </w:t>
      </w:r>
      <w:r w:rsidRPr="00E627A6">
        <w:rPr>
          <w:lang w:eastAsia="ru-RU"/>
        </w:rPr>
        <w:t xml:space="preserve">102 815 000 </w:t>
      </w:r>
      <w:r w:rsidRPr="00E627A6">
        <w:t>грн.</w:t>
      </w:r>
    </w:p>
    <w:p w:rsidR="00E627A6" w:rsidRPr="00E627A6" w:rsidRDefault="00E627A6" w:rsidP="00E627A6">
      <w:pPr>
        <w:numPr>
          <w:ilvl w:val="1"/>
          <w:numId w:val="3"/>
        </w:numPr>
        <w:spacing w:after="200"/>
        <w:ind w:left="0" w:hanging="426"/>
        <w:jc w:val="both"/>
        <w:rPr>
          <w:b/>
          <w:bCs/>
          <w:color w:val="000000"/>
        </w:rPr>
      </w:pPr>
      <w:r w:rsidRPr="00E627A6">
        <w:rPr>
          <w:b/>
          <w:bCs/>
          <w:color w:val="000000"/>
        </w:rPr>
        <w:t xml:space="preserve"> Підстава для надання підтримки</w:t>
      </w:r>
    </w:p>
    <w:p w:rsidR="00E627A6" w:rsidRPr="00E627A6" w:rsidRDefault="00E627A6" w:rsidP="00E627A6">
      <w:pPr>
        <w:numPr>
          <w:ilvl w:val="0"/>
          <w:numId w:val="2"/>
        </w:numPr>
        <w:spacing w:after="200"/>
        <w:ind w:left="0"/>
        <w:contextualSpacing/>
        <w:jc w:val="both"/>
        <w:rPr>
          <w:lang w:eastAsia="ru-RU"/>
        </w:rPr>
      </w:pPr>
      <w:r w:rsidRPr="00E627A6">
        <w:rPr>
          <w:lang w:eastAsia="ru-RU"/>
        </w:rPr>
        <w:t xml:space="preserve">Проєкт Програми підтримки комунального підприємства «Луцькводоканал» на 2021 рік (далі – Програма), затверджений рішенням виконавчого комітету Луцької міської ради </w:t>
      </w:r>
      <w:r w:rsidRPr="00E627A6">
        <w:rPr>
          <w:lang w:eastAsia="ru-RU"/>
        </w:rPr>
        <w:br/>
        <w:t>від 23.07.2020 № 365-1.</w:t>
      </w:r>
    </w:p>
    <w:p w:rsidR="00E627A6" w:rsidRPr="00E627A6" w:rsidRDefault="00E627A6" w:rsidP="00E627A6">
      <w:pPr>
        <w:jc w:val="both"/>
      </w:pPr>
    </w:p>
    <w:p w:rsidR="00E627A6" w:rsidRPr="00E627A6" w:rsidRDefault="00E627A6" w:rsidP="00E627A6">
      <w:pPr>
        <w:numPr>
          <w:ilvl w:val="1"/>
          <w:numId w:val="3"/>
        </w:numPr>
        <w:spacing w:after="200"/>
        <w:ind w:left="0" w:hanging="426"/>
        <w:jc w:val="both"/>
        <w:rPr>
          <w:b/>
          <w:bCs/>
          <w:color w:val="000000"/>
        </w:rPr>
      </w:pPr>
      <w:r w:rsidRPr="00E627A6">
        <w:rPr>
          <w:b/>
          <w:bCs/>
          <w:color w:val="000000"/>
        </w:rPr>
        <w:t>Тривалість підтримки</w:t>
      </w:r>
    </w:p>
    <w:p w:rsidR="00B9313F" w:rsidRDefault="00E627A6" w:rsidP="00B9313F">
      <w:pPr>
        <w:numPr>
          <w:ilvl w:val="0"/>
          <w:numId w:val="2"/>
        </w:numPr>
        <w:spacing w:after="200"/>
        <w:ind w:left="0"/>
        <w:jc w:val="both"/>
      </w:pPr>
      <w:r w:rsidRPr="00E627A6">
        <w:rPr>
          <w:lang w:eastAsia="ru-RU"/>
        </w:rPr>
        <w:t>З 01.01.2021 по 31.12.2021.</w:t>
      </w:r>
    </w:p>
    <w:p w:rsidR="00BB76C2" w:rsidRDefault="00BB76C2" w:rsidP="00BB76C2">
      <w:pPr>
        <w:spacing w:after="200"/>
        <w:jc w:val="both"/>
        <w:rPr>
          <w:lang w:eastAsia="ru-RU"/>
        </w:rPr>
      </w:pPr>
    </w:p>
    <w:p w:rsidR="00BB76C2" w:rsidRPr="00E627A6" w:rsidRDefault="00BB76C2" w:rsidP="00BB76C2">
      <w:pPr>
        <w:spacing w:after="200"/>
        <w:jc w:val="both"/>
      </w:pPr>
    </w:p>
    <w:p w:rsidR="00E627A6" w:rsidRPr="00E627A6" w:rsidRDefault="00BB76C2" w:rsidP="00BB76C2">
      <w:pPr>
        <w:numPr>
          <w:ilvl w:val="1"/>
          <w:numId w:val="3"/>
        </w:numPr>
        <w:spacing w:after="200"/>
        <w:ind w:left="0" w:hanging="426"/>
        <w:jc w:val="both"/>
        <w:rPr>
          <w:b/>
          <w:bCs/>
          <w:color w:val="000000"/>
        </w:rPr>
      </w:pPr>
      <w:r>
        <w:rPr>
          <w:b/>
          <w:bCs/>
          <w:color w:val="000000"/>
        </w:rPr>
        <w:lastRenderedPageBreak/>
        <w:t>І</w:t>
      </w:r>
      <w:r>
        <w:rPr>
          <w:b/>
          <w:bCs/>
          <w:color w:val="000000"/>
          <w:lang w:val="ru-RU"/>
        </w:rPr>
        <w:t>нформа</w:t>
      </w:r>
      <w:r>
        <w:rPr>
          <w:b/>
          <w:bCs/>
          <w:color w:val="000000"/>
        </w:rPr>
        <w:t>ція щодо умов надання державної підтримки</w:t>
      </w:r>
      <w:r w:rsidR="00E627A6" w:rsidRPr="00E627A6">
        <w:rPr>
          <w:b/>
          <w:bCs/>
          <w:color w:val="000000"/>
        </w:rPr>
        <w:t xml:space="preserve"> </w:t>
      </w:r>
    </w:p>
    <w:p w:rsidR="00E627A6" w:rsidRPr="00E627A6" w:rsidRDefault="00E627A6" w:rsidP="00E627A6">
      <w:pPr>
        <w:numPr>
          <w:ilvl w:val="0"/>
          <w:numId w:val="2"/>
        </w:numPr>
        <w:spacing w:after="200"/>
        <w:ind w:left="0"/>
        <w:contextualSpacing/>
        <w:jc w:val="both"/>
        <w:rPr>
          <w:bCs/>
        </w:rPr>
      </w:pPr>
      <w:r w:rsidRPr="00E627A6">
        <w:rPr>
          <w:lang w:eastAsia="ru-RU"/>
        </w:rPr>
        <w:t>Відповідно</w:t>
      </w:r>
      <w:r w:rsidRPr="00E627A6">
        <w:rPr>
          <w:bCs/>
        </w:rPr>
        <w:t xml:space="preserve">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до законів України.</w:t>
      </w:r>
    </w:p>
    <w:p w:rsidR="00E627A6" w:rsidRPr="00E627A6" w:rsidRDefault="00E627A6" w:rsidP="00E627A6">
      <w:pPr>
        <w:contextualSpacing/>
        <w:jc w:val="both"/>
        <w:rPr>
          <w:bCs/>
          <w:lang w:eastAsia="ru-RU"/>
        </w:rPr>
      </w:pPr>
    </w:p>
    <w:p w:rsidR="00E627A6" w:rsidRPr="00E627A6" w:rsidRDefault="00E627A6" w:rsidP="00E627A6">
      <w:pPr>
        <w:numPr>
          <w:ilvl w:val="0"/>
          <w:numId w:val="2"/>
        </w:numPr>
        <w:spacing w:after="200"/>
        <w:ind w:left="0"/>
        <w:contextualSpacing/>
        <w:jc w:val="both"/>
        <w:rPr>
          <w:lang w:eastAsia="ru-RU"/>
        </w:rPr>
      </w:pPr>
      <w:r w:rsidRPr="00E627A6">
        <w:rPr>
          <w:lang w:eastAsia="ru-RU"/>
        </w:rPr>
        <w:t>Державна підтримка КП «Луцькводоканал» надається з метою забезпечення належного виконання функції природної монополії – надання послуг централізованого водопостачання та</w:t>
      </w:r>
      <w:r w:rsidR="00310E56">
        <w:rPr>
          <w:lang w:eastAsia="ru-RU"/>
        </w:rPr>
        <w:t xml:space="preserve"> водовідведення для мешканців міста</w:t>
      </w:r>
      <w:r w:rsidRPr="00E627A6">
        <w:rPr>
          <w:lang w:eastAsia="ru-RU"/>
        </w:rPr>
        <w:t xml:space="preserve"> Луцька та прилеглих селищ.</w:t>
      </w:r>
    </w:p>
    <w:p w:rsidR="00E627A6" w:rsidRPr="00E627A6" w:rsidRDefault="00E627A6" w:rsidP="00E627A6">
      <w:pPr>
        <w:contextualSpacing/>
        <w:jc w:val="both"/>
        <w:rPr>
          <w:lang w:eastAsia="ru-RU"/>
        </w:rPr>
      </w:pPr>
    </w:p>
    <w:p w:rsidR="00E627A6" w:rsidRDefault="00E627A6" w:rsidP="00E627A6">
      <w:pPr>
        <w:contextualSpacing/>
        <w:jc w:val="both"/>
        <w:rPr>
          <w:lang w:eastAsia="ru-RU"/>
        </w:rPr>
      </w:pPr>
      <w:r w:rsidRPr="00E627A6">
        <w:rPr>
          <w:lang w:eastAsia="ru-RU"/>
        </w:rPr>
        <w:t>Основними критеріями вибору саме цього</w:t>
      </w:r>
      <w:r w:rsidR="00310E56">
        <w:rPr>
          <w:lang w:eastAsia="ru-RU"/>
        </w:rPr>
        <w:t xml:space="preserve"> отримувача державної допомоги –</w:t>
      </w:r>
      <w:r w:rsidRPr="00E627A6">
        <w:rPr>
          <w:lang w:eastAsia="ru-RU"/>
        </w:rPr>
        <w:t xml:space="preserve"> </w:t>
      </w:r>
      <w:r w:rsidR="00310E56">
        <w:rPr>
          <w:lang w:eastAsia="ru-RU"/>
        </w:rPr>
        <w:t xml:space="preserve">                              КП «Луцькводоканал» було так</w:t>
      </w:r>
      <w:r w:rsidRPr="00E627A6">
        <w:rPr>
          <w:lang w:eastAsia="ru-RU"/>
        </w:rPr>
        <w:t xml:space="preserve">е: </w:t>
      </w:r>
    </w:p>
    <w:p w:rsidR="00310E56" w:rsidRPr="00E627A6" w:rsidRDefault="00310E56" w:rsidP="00E627A6">
      <w:pPr>
        <w:contextualSpacing/>
        <w:jc w:val="both"/>
        <w:rPr>
          <w:lang w:eastAsia="ru-RU"/>
        </w:rPr>
      </w:pPr>
    </w:p>
    <w:p w:rsidR="00E627A6" w:rsidRPr="00E627A6" w:rsidRDefault="00E627A6" w:rsidP="00E627A6">
      <w:pPr>
        <w:numPr>
          <w:ilvl w:val="0"/>
          <w:numId w:val="12"/>
        </w:numPr>
        <w:spacing w:after="200"/>
        <w:contextualSpacing/>
        <w:jc w:val="both"/>
        <w:rPr>
          <w:lang w:eastAsia="ru-RU"/>
        </w:rPr>
      </w:pPr>
      <w:r w:rsidRPr="00E627A6">
        <w:rPr>
          <w:lang w:eastAsia="ru-RU"/>
        </w:rPr>
        <w:t>у Підприємства немає конкурентів у межах м. Луцька та сіл Прилуцьке, Рованці, Боратин, Великий Омеляник, Жидичин, Підгайці, Липини, Липняни, Крупа, Лище, Зміїнець, Тарасове, Голишів, Новостав, Струмівка, система водопостача</w:t>
      </w:r>
      <w:r w:rsidR="00310E56">
        <w:rPr>
          <w:lang w:eastAsia="ru-RU"/>
        </w:rPr>
        <w:t>ння та водовідведення є єдиною в</w:t>
      </w:r>
      <w:r w:rsidRPr="00E627A6">
        <w:rPr>
          <w:lang w:eastAsia="ru-RU"/>
        </w:rPr>
        <w:t xml:space="preserve"> межах зазначених населених пунктів;</w:t>
      </w:r>
    </w:p>
    <w:p w:rsidR="00E627A6" w:rsidRPr="00E627A6" w:rsidRDefault="00E627A6" w:rsidP="00E627A6">
      <w:pPr>
        <w:numPr>
          <w:ilvl w:val="0"/>
          <w:numId w:val="12"/>
        </w:numPr>
        <w:spacing w:after="200"/>
        <w:contextualSpacing/>
        <w:jc w:val="both"/>
        <w:rPr>
          <w:lang w:eastAsia="ru-RU"/>
        </w:rPr>
      </w:pPr>
      <w:r w:rsidRPr="00E627A6">
        <w:rPr>
          <w:lang w:eastAsia="ru-RU"/>
        </w:rPr>
        <w:t xml:space="preserve">обсяг приватного фінансування у сферу водопостачання є незначним, будівництво альтернативної системи водопостачання є технічно неможливим; </w:t>
      </w:r>
    </w:p>
    <w:p w:rsidR="00E627A6" w:rsidRPr="00E627A6" w:rsidRDefault="00E627A6" w:rsidP="00E627A6">
      <w:pPr>
        <w:numPr>
          <w:ilvl w:val="0"/>
          <w:numId w:val="12"/>
        </w:numPr>
        <w:spacing w:after="200"/>
        <w:contextualSpacing/>
        <w:jc w:val="both"/>
        <w:rPr>
          <w:lang w:eastAsia="ru-RU"/>
        </w:rPr>
      </w:pPr>
      <w:r w:rsidRPr="00E627A6">
        <w:rPr>
          <w:lang w:eastAsia="ru-RU"/>
        </w:rPr>
        <w:t>КП «Луцькводоканал»</w:t>
      </w:r>
      <w:r w:rsidR="00310E56">
        <w:rPr>
          <w:lang w:eastAsia="ru-RU"/>
        </w:rPr>
        <w:t xml:space="preserve"> –</w:t>
      </w:r>
      <w:r w:rsidRPr="00E627A6">
        <w:rPr>
          <w:lang w:eastAsia="ru-RU"/>
        </w:rPr>
        <w:t xml:space="preserve"> це єдиний майновий комплекс, який забезпечує виконання функції природної монополії, не призначений для отримання переваг певними суб’єктами господарювання, створює користь для суспільства в цілому</w:t>
      </w:r>
      <w:r w:rsidR="00310E56">
        <w:rPr>
          <w:lang w:eastAsia="ru-RU"/>
        </w:rPr>
        <w:t>,</w:t>
      </w:r>
      <w:r w:rsidRPr="00E627A6">
        <w:rPr>
          <w:lang w:eastAsia="ru-RU"/>
        </w:rPr>
        <w:t xml:space="preserve"> оскільки  система централізованого водопостачання не є привабливою для приватного інвестування через значну затратність її експлуатації, водночас постачання питної води населенню є необхідним для забезпечення питних, фізіологічних, санітарно-гігієнічних та побутових потреб.</w:t>
      </w:r>
    </w:p>
    <w:p w:rsidR="00E627A6" w:rsidRPr="00E627A6" w:rsidRDefault="00E627A6" w:rsidP="00E627A6">
      <w:pPr>
        <w:contextualSpacing/>
        <w:jc w:val="both"/>
        <w:rPr>
          <w:bCs/>
          <w:lang w:eastAsia="ru-RU"/>
        </w:rPr>
      </w:pPr>
    </w:p>
    <w:p w:rsidR="00E627A6" w:rsidRPr="00310E56" w:rsidRDefault="00E627A6" w:rsidP="00E627A6">
      <w:pPr>
        <w:numPr>
          <w:ilvl w:val="0"/>
          <w:numId w:val="2"/>
        </w:numPr>
        <w:spacing w:after="200"/>
        <w:ind w:left="0"/>
        <w:contextualSpacing/>
        <w:jc w:val="both"/>
        <w:rPr>
          <w:bCs/>
          <w:lang w:eastAsia="ru-RU"/>
        </w:rPr>
      </w:pPr>
      <w:r w:rsidRPr="00E627A6">
        <w:rPr>
          <w:rFonts w:eastAsiaTheme="minorHAnsi"/>
          <w:lang w:eastAsia="en-US"/>
        </w:rPr>
        <w:t xml:space="preserve">Основними </w:t>
      </w:r>
      <w:r w:rsidRPr="00E627A6">
        <w:rPr>
          <w:lang w:eastAsia="ru-RU"/>
        </w:rPr>
        <w:t>проблемами</w:t>
      </w:r>
      <w:r w:rsidRPr="00E627A6">
        <w:rPr>
          <w:rFonts w:eastAsiaTheme="minorHAnsi"/>
          <w:lang w:eastAsia="en-US"/>
        </w:rPr>
        <w:t>, на розв’язання яких спрямована Програма</w:t>
      </w:r>
      <w:r w:rsidR="00310E56">
        <w:rPr>
          <w:rFonts w:eastAsiaTheme="minorHAnsi"/>
          <w:lang w:eastAsia="en-US"/>
        </w:rPr>
        <w:t>,</w:t>
      </w:r>
      <w:r w:rsidRPr="00E627A6">
        <w:rPr>
          <w:rFonts w:eastAsiaTheme="minorHAnsi"/>
          <w:lang w:eastAsia="en-US"/>
        </w:rPr>
        <w:t xml:space="preserve"> є:</w:t>
      </w:r>
    </w:p>
    <w:p w:rsidR="00310E56" w:rsidRPr="00E627A6" w:rsidRDefault="00310E56" w:rsidP="00310E56">
      <w:pPr>
        <w:spacing w:after="200"/>
        <w:contextualSpacing/>
        <w:jc w:val="both"/>
        <w:rPr>
          <w:bCs/>
          <w:lang w:eastAsia="ru-RU"/>
        </w:rPr>
      </w:pPr>
    </w:p>
    <w:p w:rsidR="00E627A6" w:rsidRPr="00E627A6" w:rsidRDefault="00E627A6" w:rsidP="00E627A6">
      <w:pPr>
        <w:shd w:val="clear" w:color="auto" w:fill="FFFFFF"/>
        <w:suppressAutoHyphens/>
        <w:ind w:right="-2" w:firstLine="720"/>
        <w:jc w:val="both"/>
        <w:rPr>
          <w:lang w:eastAsia="zh-CN"/>
        </w:rPr>
      </w:pPr>
      <w:r w:rsidRPr="00E627A6">
        <w:rPr>
          <w:lang w:eastAsia="zh-CN"/>
        </w:rPr>
        <w:t>- моніторинг подачі та споживання питної води;</w:t>
      </w:r>
    </w:p>
    <w:p w:rsidR="00E627A6" w:rsidRPr="00E627A6" w:rsidRDefault="00E627A6" w:rsidP="00E627A6">
      <w:pPr>
        <w:shd w:val="clear" w:color="auto" w:fill="FFFFFF"/>
        <w:suppressAutoHyphens/>
        <w:ind w:right="-2" w:firstLine="720"/>
        <w:jc w:val="both"/>
        <w:rPr>
          <w:lang w:eastAsia="zh-CN"/>
        </w:rPr>
      </w:pPr>
      <w:r w:rsidRPr="00E627A6">
        <w:rPr>
          <w:lang w:eastAsia="zh-CN"/>
        </w:rPr>
        <w:t>- зменшення заборгованості за спожиту електричну енергію;</w:t>
      </w:r>
    </w:p>
    <w:p w:rsidR="00E627A6" w:rsidRPr="00E627A6" w:rsidRDefault="00E627A6" w:rsidP="00E627A6">
      <w:pPr>
        <w:shd w:val="clear" w:color="auto" w:fill="FFFFFF"/>
        <w:suppressAutoHyphens/>
        <w:ind w:right="-2" w:firstLine="720"/>
        <w:jc w:val="both"/>
        <w:rPr>
          <w:lang w:eastAsia="zh-CN"/>
        </w:rPr>
      </w:pPr>
      <w:r w:rsidRPr="00E627A6">
        <w:rPr>
          <w:lang w:eastAsia="zh-CN"/>
        </w:rPr>
        <w:t>- покращення екологічної ситуації в басейні річки Стир;</w:t>
      </w:r>
    </w:p>
    <w:p w:rsidR="00E627A6" w:rsidRPr="00E627A6" w:rsidRDefault="00E627A6" w:rsidP="00E627A6">
      <w:pPr>
        <w:shd w:val="clear" w:color="auto" w:fill="FFFFFF"/>
        <w:suppressAutoHyphens/>
        <w:ind w:right="-2" w:firstLine="720"/>
        <w:jc w:val="both"/>
        <w:rPr>
          <w:rFonts w:eastAsia="Calibri"/>
          <w:lang w:eastAsia="zh-CN"/>
        </w:rPr>
      </w:pPr>
      <w:r w:rsidRPr="00E627A6">
        <w:rPr>
          <w:lang w:eastAsia="zh-CN"/>
        </w:rPr>
        <w:t>- </w:t>
      </w:r>
      <w:r w:rsidRPr="00E627A6">
        <w:rPr>
          <w:rFonts w:eastAsia="Calibri"/>
          <w:lang w:eastAsia="zh-CN"/>
        </w:rPr>
        <w:t>економія природних, матеріальних та енергетичних ресурсів;</w:t>
      </w:r>
    </w:p>
    <w:p w:rsidR="00E627A6" w:rsidRPr="00E627A6" w:rsidRDefault="00E627A6" w:rsidP="00E627A6">
      <w:pPr>
        <w:shd w:val="clear" w:color="auto" w:fill="FFFFFF"/>
        <w:ind w:right="-2" w:firstLine="720"/>
        <w:jc w:val="both"/>
        <w:rPr>
          <w:rFonts w:eastAsia="Calibri"/>
          <w:lang w:eastAsia="en-US"/>
        </w:rPr>
      </w:pPr>
      <w:r w:rsidRPr="00E627A6">
        <w:rPr>
          <w:rFonts w:asciiTheme="minorHAnsi" w:eastAsiaTheme="minorHAnsi" w:hAnsiTheme="minorHAnsi" w:cstheme="minorBidi"/>
          <w:sz w:val="22"/>
          <w:szCs w:val="22"/>
          <w:lang w:eastAsia="zh-CN"/>
        </w:rPr>
        <w:t>-</w:t>
      </w:r>
      <w:r w:rsidR="00310E56">
        <w:rPr>
          <w:rFonts w:eastAsia="Calibri"/>
          <w:lang w:eastAsia="en-US"/>
        </w:rPr>
        <w:t xml:space="preserve"> реалізація проє</w:t>
      </w:r>
      <w:r w:rsidRPr="00E627A6">
        <w:rPr>
          <w:rFonts w:eastAsia="Calibri"/>
          <w:lang w:eastAsia="en-US"/>
        </w:rPr>
        <w:t>кту Північної Екологічної Фінансової Корпорації (далі – НЕФКО) «Модернізація та реконструкція систем водопостачання і водовідведення у місті Луцьк» шляхом співпраці з НЕФКО;</w:t>
      </w:r>
    </w:p>
    <w:p w:rsidR="00E627A6" w:rsidRPr="00E627A6" w:rsidRDefault="00310E56" w:rsidP="00E627A6">
      <w:pPr>
        <w:shd w:val="clear" w:color="auto" w:fill="FFFFFF"/>
        <w:ind w:right="-2" w:firstLine="720"/>
        <w:jc w:val="both"/>
        <w:rPr>
          <w:rFonts w:eastAsia="Calibri"/>
          <w:lang w:eastAsia="en-US"/>
        </w:rPr>
      </w:pPr>
      <w:r>
        <w:rPr>
          <w:rFonts w:eastAsia="Calibri"/>
          <w:lang w:eastAsia="en-US"/>
        </w:rPr>
        <w:t>- реалізація проє</w:t>
      </w:r>
      <w:r w:rsidR="00E627A6" w:rsidRPr="00E627A6">
        <w:rPr>
          <w:rFonts w:eastAsia="Calibri"/>
          <w:lang w:eastAsia="en-US"/>
        </w:rPr>
        <w:t>кту «Комплексна модернізація систем водопостачання та водовідведення в місті Луцьк» шляхом співпраці з Європейським інвестиційним банком (далі – ЄІБ).</w:t>
      </w:r>
    </w:p>
    <w:p w:rsidR="00310E56" w:rsidRPr="00E627A6" w:rsidRDefault="00310E56" w:rsidP="00310E56">
      <w:pPr>
        <w:shd w:val="clear" w:color="auto" w:fill="FFFFFF"/>
        <w:ind w:right="-2"/>
        <w:jc w:val="both"/>
        <w:rPr>
          <w:rFonts w:eastAsia="Calibri"/>
          <w:lang w:eastAsia="en-US"/>
        </w:rPr>
      </w:pPr>
    </w:p>
    <w:p w:rsidR="00E627A6" w:rsidRPr="00B9313F" w:rsidRDefault="00E627A6" w:rsidP="00E627A6">
      <w:pPr>
        <w:numPr>
          <w:ilvl w:val="0"/>
          <w:numId w:val="2"/>
        </w:numPr>
        <w:shd w:val="clear" w:color="auto" w:fill="FFFFFF"/>
        <w:spacing w:after="200"/>
        <w:ind w:left="0" w:right="150"/>
        <w:contextualSpacing/>
        <w:jc w:val="both"/>
        <w:rPr>
          <w:rFonts w:asciiTheme="minorHAnsi" w:eastAsiaTheme="minorHAnsi" w:hAnsiTheme="minorHAnsi" w:cstheme="minorBidi"/>
          <w:sz w:val="28"/>
          <w:szCs w:val="28"/>
          <w:lang w:eastAsia="en-US"/>
        </w:rPr>
      </w:pPr>
      <w:r w:rsidRPr="00E627A6">
        <w:rPr>
          <w:rFonts w:eastAsiaTheme="minorHAnsi"/>
          <w:lang w:eastAsia="en-US"/>
        </w:rPr>
        <w:t xml:space="preserve">Напрями діяльності та заходи витрат відповідно до Програми: </w:t>
      </w:r>
    </w:p>
    <w:p w:rsidR="00B9313F" w:rsidRPr="00E627A6" w:rsidRDefault="00B9313F" w:rsidP="00B9313F">
      <w:pPr>
        <w:shd w:val="clear" w:color="auto" w:fill="FFFFFF"/>
        <w:spacing w:after="200"/>
        <w:ind w:right="150"/>
        <w:contextualSpacing/>
        <w:jc w:val="both"/>
        <w:rPr>
          <w:rFonts w:asciiTheme="minorHAnsi" w:eastAsiaTheme="minorHAnsi" w:hAnsiTheme="minorHAnsi" w:cstheme="minorBidi"/>
          <w:sz w:val="28"/>
          <w:szCs w:val="28"/>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8"/>
        <w:gridCol w:w="2947"/>
        <w:gridCol w:w="1134"/>
        <w:gridCol w:w="3778"/>
      </w:tblGrid>
      <w:tr w:rsidR="00310E56" w:rsidRPr="00E627A6" w:rsidTr="00310E56">
        <w:tc>
          <w:tcPr>
            <w:tcW w:w="1888" w:type="dxa"/>
            <w:shd w:val="clear" w:color="auto" w:fill="auto"/>
            <w:vAlign w:val="center"/>
          </w:tcPr>
          <w:p w:rsidR="00310E56" w:rsidRPr="00E627A6" w:rsidRDefault="00310E56" w:rsidP="00E627A6">
            <w:pPr>
              <w:spacing w:after="200"/>
              <w:jc w:val="center"/>
              <w:rPr>
                <w:rFonts w:eastAsia="Calibri"/>
                <w:b/>
                <w:lang w:val="ru-RU" w:eastAsia="en-US"/>
              </w:rPr>
            </w:pPr>
            <w:r w:rsidRPr="00E627A6">
              <w:rPr>
                <w:rFonts w:eastAsia="Calibri"/>
                <w:b/>
                <w:lang w:val="ru-RU" w:eastAsia="en-US"/>
              </w:rPr>
              <w:t xml:space="preserve">Напрям діяльності </w:t>
            </w:r>
          </w:p>
        </w:tc>
        <w:tc>
          <w:tcPr>
            <w:tcW w:w="2947" w:type="dxa"/>
            <w:shd w:val="clear" w:color="auto" w:fill="auto"/>
            <w:vAlign w:val="center"/>
          </w:tcPr>
          <w:p w:rsidR="00310E56" w:rsidRPr="00E627A6" w:rsidRDefault="00310E56" w:rsidP="00E627A6">
            <w:pPr>
              <w:spacing w:after="200"/>
              <w:jc w:val="center"/>
              <w:rPr>
                <w:rFonts w:eastAsia="Calibri"/>
                <w:b/>
                <w:lang w:val="ru-RU" w:eastAsia="en-US"/>
              </w:rPr>
            </w:pPr>
            <w:r w:rsidRPr="00E627A6">
              <w:rPr>
                <w:rFonts w:eastAsia="Calibri"/>
                <w:b/>
                <w:lang w:val="ru-RU" w:eastAsia="en-US"/>
              </w:rPr>
              <w:t>Перелі</w:t>
            </w:r>
            <w:proofErr w:type="gramStart"/>
            <w:r w:rsidRPr="00E627A6">
              <w:rPr>
                <w:rFonts w:eastAsia="Calibri"/>
                <w:b/>
                <w:lang w:val="ru-RU" w:eastAsia="en-US"/>
              </w:rPr>
              <w:t>к</w:t>
            </w:r>
            <w:proofErr w:type="gramEnd"/>
            <w:r w:rsidRPr="00E627A6">
              <w:rPr>
                <w:rFonts w:eastAsia="Calibri"/>
                <w:b/>
                <w:lang w:val="ru-RU" w:eastAsia="en-US"/>
              </w:rPr>
              <w:t xml:space="preserve"> заходів Програми</w:t>
            </w:r>
          </w:p>
        </w:tc>
        <w:tc>
          <w:tcPr>
            <w:tcW w:w="1134" w:type="dxa"/>
            <w:shd w:val="clear" w:color="auto" w:fill="auto"/>
            <w:vAlign w:val="center"/>
          </w:tcPr>
          <w:p w:rsidR="00310E56" w:rsidRPr="00E627A6" w:rsidRDefault="00310E56" w:rsidP="00E627A6">
            <w:pPr>
              <w:spacing w:after="200"/>
              <w:jc w:val="center"/>
              <w:rPr>
                <w:rFonts w:eastAsia="Calibri"/>
                <w:b/>
                <w:lang w:val="ru-RU" w:eastAsia="en-US"/>
              </w:rPr>
            </w:pPr>
            <w:r w:rsidRPr="00E627A6">
              <w:rPr>
                <w:rFonts w:eastAsia="Calibri"/>
                <w:b/>
                <w:lang w:eastAsia="en-US"/>
              </w:rPr>
              <w:t xml:space="preserve">Сума в </w:t>
            </w:r>
            <w:r w:rsidRPr="00E627A6">
              <w:rPr>
                <w:rFonts w:eastAsia="Calibri"/>
                <w:b/>
                <w:lang w:val="ru-RU" w:eastAsia="en-US"/>
              </w:rPr>
              <w:t>тис. грн</w:t>
            </w:r>
          </w:p>
        </w:tc>
        <w:tc>
          <w:tcPr>
            <w:tcW w:w="3778" w:type="dxa"/>
            <w:shd w:val="clear" w:color="auto" w:fill="auto"/>
            <w:vAlign w:val="center"/>
          </w:tcPr>
          <w:p w:rsidR="00310E56" w:rsidRPr="00E627A6" w:rsidRDefault="00310E56" w:rsidP="00E627A6">
            <w:pPr>
              <w:spacing w:after="200"/>
              <w:jc w:val="center"/>
              <w:rPr>
                <w:rFonts w:eastAsia="Calibri"/>
                <w:b/>
                <w:lang w:val="ru-RU" w:eastAsia="en-US"/>
              </w:rPr>
            </w:pPr>
            <w:r w:rsidRPr="00E627A6">
              <w:rPr>
                <w:rFonts w:eastAsia="Calibri"/>
                <w:b/>
                <w:lang w:val="ru-RU" w:eastAsia="en-US"/>
              </w:rPr>
              <w:t>Очікуваний результат</w:t>
            </w:r>
          </w:p>
        </w:tc>
      </w:tr>
      <w:tr w:rsidR="00310E56" w:rsidRPr="00E627A6" w:rsidTr="00310E56">
        <w:tc>
          <w:tcPr>
            <w:tcW w:w="1888" w:type="dxa"/>
            <w:shd w:val="clear" w:color="auto" w:fill="auto"/>
            <w:vAlign w:val="center"/>
          </w:tcPr>
          <w:p w:rsidR="00310E56" w:rsidRPr="00E627A6" w:rsidRDefault="00310E56" w:rsidP="00E627A6">
            <w:pPr>
              <w:spacing w:after="200"/>
              <w:jc w:val="center"/>
              <w:rPr>
                <w:rFonts w:eastAsia="Calibri"/>
                <w:b/>
                <w:lang w:val="ru-RU" w:eastAsia="en-US"/>
              </w:rPr>
            </w:pPr>
            <w:r>
              <w:rPr>
                <w:rFonts w:eastAsia="Calibri"/>
                <w:b/>
                <w:lang w:val="ru-RU" w:eastAsia="en-US"/>
              </w:rPr>
              <w:t>1</w:t>
            </w:r>
          </w:p>
        </w:tc>
        <w:tc>
          <w:tcPr>
            <w:tcW w:w="2947" w:type="dxa"/>
            <w:shd w:val="clear" w:color="auto" w:fill="auto"/>
            <w:vAlign w:val="center"/>
          </w:tcPr>
          <w:p w:rsidR="00310E56" w:rsidRPr="00E627A6" w:rsidRDefault="00310E56" w:rsidP="00E627A6">
            <w:pPr>
              <w:spacing w:after="200"/>
              <w:jc w:val="center"/>
              <w:rPr>
                <w:rFonts w:eastAsia="Calibri"/>
                <w:b/>
                <w:lang w:val="ru-RU" w:eastAsia="en-US"/>
              </w:rPr>
            </w:pPr>
            <w:r>
              <w:rPr>
                <w:rFonts w:eastAsia="Calibri"/>
                <w:b/>
                <w:lang w:val="ru-RU" w:eastAsia="en-US"/>
              </w:rPr>
              <w:t>2</w:t>
            </w:r>
          </w:p>
        </w:tc>
        <w:tc>
          <w:tcPr>
            <w:tcW w:w="1134" w:type="dxa"/>
            <w:shd w:val="clear" w:color="auto" w:fill="auto"/>
            <w:vAlign w:val="center"/>
          </w:tcPr>
          <w:p w:rsidR="00310E56" w:rsidRPr="00E627A6" w:rsidRDefault="00310E56" w:rsidP="00E627A6">
            <w:pPr>
              <w:spacing w:after="200"/>
              <w:jc w:val="center"/>
              <w:rPr>
                <w:rFonts w:eastAsia="Calibri"/>
                <w:b/>
                <w:lang w:eastAsia="en-US"/>
              </w:rPr>
            </w:pPr>
            <w:r>
              <w:rPr>
                <w:rFonts w:eastAsia="Calibri"/>
                <w:b/>
                <w:lang w:eastAsia="en-US"/>
              </w:rPr>
              <w:t>3</w:t>
            </w:r>
          </w:p>
        </w:tc>
        <w:tc>
          <w:tcPr>
            <w:tcW w:w="3778" w:type="dxa"/>
            <w:shd w:val="clear" w:color="auto" w:fill="auto"/>
            <w:vAlign w:val="center"/>
          </w:tcPr>
          <w:p w:rsidR="00310E56" w:rsidRPr="00E627A6" w:rsidRDefault="00310E56" w:rsidP="00E627A6">
            <w:pPr>
              <w:spacing w:after="200"/>
              <w:jc w:val="center"/>
              <w:rPr>
                <w:rFonts w:eastAsia="Calibri"/>
                <w:b/>
                <w:lang w:val="ru-RU" w:eastAsia="en-US"/>
              </w:rPr>
            </w:pPr>
            <w:r>
              <w:rPr>
                <w:rFonts w:eastAsia="Calibri"/>
                <w:b/>
                <w:lang w:val="ru-RU" w:eastAsia="en-US"/>
              </w:rPr>
              <w:t>4</w:t>
            </w:r>
          </w:p>
        </w:tc>
      </w:tr>
      <w:tr w:rsidR="00310E56" w:rsidRPr="00E627A6" w:rsidTr="00310E56">
        <w:tc>
          <w:tcPr>
            <w:tcW w:w="1888" w:type="dxa"/>
            <w:shd w:val="clear" w:color="auto" w:fill="auto"/>
            <w:vAlign w:val="center"/>
          </w:tcPr>
          <w:p w:rsidR="00310E56" w:rsidRDefault="00310E56" w:rsidP="00E627A6">
            <w:pPr>
              <w:spacing w:after="200"/>
              <w:jc w:val="center"/>
              <w:rPr>
                <w:rFonts w:eastAsia="Calibri"/>
                <w:b/>
                <w:lang w:val="ru-RU" w:eastAsia="en-US"/>
              </w:rPr>
            </w:pPr>
            <w:r>
              <w:rPr>
                <w:rFonts w:eastAsia="Calibri"/>
                <w:b/>
                <w:lang w:val="ru-RU" w:eastAsia="en-US"/>
              </w:rPr>
              <w:lastRenderedPageBreak/>
              <w:t>1</w:t>
            </w:r>
          </w:p>
        </w:tc>
        <w:tc>
          <w:tcPr>
            <w:tcW w:w="2947" w:type="dxa"/>
            <w:shd w:val="clear" w:color="auto" w:fill="auto"/>
            <w:vAlign w:val="center"/>
          </w:tcPr>
          <w:p w:rsidR="00310E56" w:rsidRDefault="00310E56" w:rsidP="00E627A6">
            <w:pPr>
              <w:spacing w:after="200"/>
              <w:jc w:val="center"/>
              <w:rPr>
                <w:rFonts w:eastAsia="Calibri"/>
                <w:b/>
                <w:lang w:val="ru-RU" w:eastAsia="en-US"/>
              </w:rPr>
            </w:pPr>
            <w:r>
              <w:rPr>
                <w:rFonts w:eastAsia="Calibri"/>
                <w:b/>
                <w:lang w:val="ru-RU" w:eastAsia="en-US"/>
              </w:rPr>
              <w:t>2</w:t>
            </w:r>
          </w:p>
        </w:tc>
        <w:tc>
          <w:tcPr>
            <w:tcW w:w="1134" w:type="dxa"/>
            <w:shd w:val="clear" w:color="auto" w:fill="auto"/>
            <w:vAlign w:val="center"/>
          </w:tcPr>
          <w:p w:rsidR="00310E56" w:rsidRDefault="00310E56" w:rsidP="00E627A6">
            <w:pPr>
              <w:spacing w:after="200"/>
              <w:jc w:val="center"/>
              <w:rPr>
                <w:rFonts w:eastAsia="Calibri"/>
                <w:b/>
                <w:lang w:eastAsia="en-US"/>
              </w:rPr>
            </w:pPr>
            <w:r>
              <w:rPr>
                <w:rFonts w:eastAsia="Calibri"/>
                <w:b/>
                <w:lang w:eastAsia="en-US"/>
              </w:rPr>
              <w:t>3</w:t>
            </w:r>
          </w:p>
        </w:tc>
        <w:tc>
          <w:tcPr>
            <w:tcW w:w="3778" w:type="dxa"/>
            <w:shd w:val="clear" w:color="auto" w:fill="auto"/>
            <w:vAlign w:val="center"/>
          </w:tcPr>
          <w:p w:rsidR="00310E56" w:rsidRDefault="00310E56" w:rsidP="00E627A6">
            <w:pPr>
              <w:spacing w:after="200"/>
              <w:jc w:val="center"/>
              <w:rPr>
                <w:rFonts w:eastAsia="Calibri"/>
                <w:b/>
                <w:lang w:val="ru-RU" w:eastAsia="en-US"/>
              </w:rPr>
            </w:pPr>
            <w:r>
              <w:rPr>
                <w:rFonts w:eastAsia="Calibri"/>
                <w:b/>
                <w:lang w:val="ru-RU" w:eastAsia="en-US"/>
              </w:rPr>
              <w:t>4</w:t>
            </w:r>
          </w:p>
        </w:tc>
      </w:tr>
      <w:tr w:rsidR="00310E56" w:rsidRPr="00E627A6" w:rsidTr="00310E56">
        <w:tc>
          <w:tcPr>
            <w:tcW w:w="1888" w:type="dxa"/>
            <w:vMerge w:val="restart"/>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Моніторинг функціонування та забезпечення сталої роботи системи водопостачання та водовідведення</w:t>
            </w: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1. Відновлення потужностей Дубнівського, Гнідавського та Омелянівського водозаборі</w:t>
            </w:r>
            <w:proofErr w:type="gramStart"/>
            <w:r w:rsidRPr="00E627A6">
              <w:rPr>
                <w:rFonts w:eastAsia="Calibri"/>
                <w:lang w:val="ru-RU" w:eastAsia="en-US"/>
              </w:rPr>
              <w:t>в</w:t>
            </w:r>
            <w:proofErr w:type="gramEnd"/>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2 500,0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Відновлення потужностей Дубнівського, Гнідавського та Омелянівського водозаборів</w:t>
            </w:r>
            <w:r w:rsidR="00140BEE">
              <w:rPr>
                <w:rFonts w:eastAsia="Calibri"/>
                <w:lang w:val="ru-RU" w:eastAsia="en-US"/>
              </w:rPr>
              <w:t>,</w:t>
            </w:r>
            <w:r w:rsidRPr="00E627A6">
              <w:rPr>
                <w:rFonts w:eastAsia="Calibri"/>
                <w:lang w:val="ru-RU" w:eastAsia="en-US"/>
              </w:rPr>
              <w:t xml:space="preserve"> зниженої внаслідок тривалої, інтенсивної експлуатації</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2. Придбання та встановлення люкі</w:t>
            </w:r>
            <w:proofErr w:type="gramStart"/>
            <w:r w:rsidRPr="00E627A6">
              <w:rPr>
                <w:rFonts w:eastAsia="Calibri"/>
                <w:lang w:val="ru-RU" w:eastAsia="en-US"/>
              </w:rPr>
              <w:t>в</w:t>
            </w:r>
            <w:proofErr w:type="gramEnd"/>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200,0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Забезпечення безпечної експлуатації дорожньої інфраструктури</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3. Придбання пожежних гідрантів</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150,0</w:t>
            </w:r>
          </w:p>
        </w:tc>
        <w:tc>
          <w:tcPr>
            <w:tcW w:w="3778" w:type="dxa"/>
            <w:shd w:val="clear" w:color="auto" w:fill="auto"/>
            <w:vAlign w:val="center"/>
          </w:tcPr>
          <w:p w:rsidR="00310E56" w:rsidRPr="00E627A6" w:rsidRDefault="00140BEE" w:rsidP="00E627A6">
            <w:pPr>
              <w:spacing w:after="200"/>
              <w:rPr>
                <w:rFonts w:eastAsia="Calibri"/>
                <w:lang w:val="ru-RU" w:eastAsia="en-US"/>
              </w:rPr>
            </w:pPr>
            <w:r>
              <w:rPr>
                <w:rFonts w:eastAsia="Calibri"/>
                <w:lang w:val="ru-RU" w:eastAsia="en-US"/>
              </w:rPr>
              <w:t>Забезпечення пожежної безпеки в</w:t>
            </w:r>
            <w:r w:rsidR="00310E56" w:rsidRPr="00E627A6">
              <w:rPr>
                <w:rFonts w:eastAsia="Calibri"/>
                <w:lang w:val="ru-RU" w:eastAsia="en-US"/>
              </w:rPr>
              <w:t xml:space="preserve"> мі</w:t>
            </w:r>
            <w:proofErr w:type="gramStart"/>
            <w:r w:rsidR="00310E56" w:rsidRPr="00E627A6">
              <w:rPr>
                <w:rFonts w:eastAsia="Calibri"/>
                <w:lang w:val="ru-RU" w:eastAsia="en-US"/>
              </w:rPr>
              <w:t>ст</w:t>
            </w:r>
            <w:proofErr w:type="gramEnd"/>
            <w:r w:rsidR="00310E56" w:rsidRPr="00E627A6">
              <w:rPr>
                <w:rFonts w:eastAsia="Calibri"/>
                <w:lang w:val="ru-RU" w:eastAsia="en-US"/>
              </w:rPr>
              <w:t>і Луцьку</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4. Погашення заборгованості за спожиту електричну енергію за 2019 р.</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4 500,0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Стале функціонування </w:t>
            </w:r>
            <w:proofErr w:type="gramStart"/>
            <w:r w:rsidRPr="00E627A6">
              <w:rPr>
                <w:rFonts w:eastAsia="Calibri"/>
                <w:lang w:val="ru-RU" w:eastAsia="en-US"/>
              </w:rPr>
              <w:t>п</w:t>
            </w:r>
            <w:proofErr w:type="gramEnd"/>
            <w:r w:rsidRPr="00E627A6">
              <w:rPr>
                <w:rFonts w:eastAsia="Calibri"/>
                <w:lang w:val="ru-RU" w:eastAsia="en-US"/>
              </w:rPr>
              <w:t>ідприємства</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5. Благоустрій проїжджих частин доріг </w:t>
            </w:r>
            <w:proofErr w:type="gramStart"/>
            <w:r w:rsidRPr="00E627A6">
              <w:rPr>
                <w:rFonts w:eastAsia="Calibri"/>
                <w:lang w:val="ru-RU" w:eastAsia="en-US"/>
              </w:rPr>
              <w:t>п</w:t>
            </w:r>
            <w:proofErr w:type="gramEnd"/>
            <w:r w:rsidRPr="00E627A6">
              <w:rPr>
                <w:rFonts w:eastAsia="Calibri"/>
                <w:lang w:val="ru-RU" w:eastAsia="en-US"/>
              </w:rPr>
              <w:t>ісля усунення аварійних ситуацій на мережах</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600,0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Забезпечення безпечної експлуатації дорожньої інфраструктури</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6. Автоматизація процесів управління обладнанням</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1 000,0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Економія природних, матеріальних та енергетичних ресурсі</w:t>
            </w:r>
            <w:proofErr w:type="gramStart"/>
            <w:r w:rsidRPr="00E627A6">
              <w:rPr>
                <w:rFonts w:eastAsia="Calibri"/>
                <w:lang w:val="ru-RU" w:eastAsia="en-US"/>
              </w:rPr>
              <w:t>в</w:t>
            </w:r>
            <w:proofErr w:type="gramEnd"/>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7. Капітальний ремонт мереж водопостачання та запірно-регулювальної арматури</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2 500,0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Зменшення кількості пориві</w:t>
            </w:r>
            <w:proofErr w:type="gramStart"/>
            <w:r w:rsidRPr="00E627A6">
              <w:rPr>
                <w:rFonts w:eastAsia="Calibri"/>
                <w:lang w:val="ru-RU" w:eastAsia="en-US"/>
              </w:rPr>
              <w:t>в</w:t>
            </w:r>
            <w:proofErr w:type="gramEnd"/>
            <w:r w:rsidRPr="00E627A6">
              <w:rPr>
                <w:rFonts w:eastAsia="Calibri"/>
                <w:lang w:val="ru-RU" w:eastAsia="en-US"/>
              </w:rPr>
              <w:t xml:space="preserve"> </w:t>
            </w:r>
            <w:proofErr w:type="gramStart"/>
            <w:r w:rsidRPr="00E627A6">
              <w:rPr>
                <w:rFonts w:eastAsia="Calibri"/>
                <w:lang w:val="ru-RU" w:eastAsia="en-US"/>
              </w:rPr>
              <w:t>водопроводу</w:t>
            </w:r>
            <w:proofErr w:type="gramEnd"/>
            <w:r w:rsidRPr="00E627A6">
              <w:rPr>
                <w:rFonts w:eastAsia="Calibri"/>
                <w:lang w:val="ru-RU" w:eastAsia="en-US"/>
              </w:rPr>
              <w:t xml:space="preserve"> і, як наслідок</w:t>
            </w:r>
            <w:r w:rsidR="00140BEE">
              <w:rPr>
                <w:rFonts w:eastAsia="Calibri"/>
                <w:lang w:val="ru-RU" w:eastAsia="en-US"/>
              </w:rPr>
              <w:t>,</w:t>
            </w:r>
            <w:r w:rsidRPr="00E627A6">
              <w:rPr>
                <w:rFonts w:eastAsia="Calibri"/>
                <w:lang w:val="ru-RU" w:eastAsia="en-US"/>
              </w:rPr>
              <w:t xml:space="preserve"> зменшення втрат води</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8. Придбання гідроізолюючих </w:t>
            </w:r>
            <w:proofErr w:type="gramStart"/>
            <w:r w:rsidRPr="00E627A6">
              <w:rPr>
                <w:rFonts w:eastAsia="Calibri"/>
                <w:lang w:val="ru-RU" w:eastAsia="en-US"/>
              </w:rPr>
              <w:t>матер</w:t>
            </w:r>
            <w:proofErr w:type="gramEnd"/>
            <w:r w:rsidRPr="00E627A6">
              <w:rPr>
                <w:rFonts w:eastAsia="Calibri"/>
                <w:lang w:val="ru-RU" w:eastAsia="en-US"/>
              </w:rPr>
              <w:t>іалів</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1 000,0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Оперативна ліквідація пориві</w:t>
            </w:r>
            <w:proofErr w:type="gramStart"/>
            <w:r w:rsidRPr="00E627A6">
              <w:rPr>
                <w:rFonts w:eastAsia="Calibri"/>
                <w:lang w:val="ru-RU" w:eastAsia="en-US"/>
              </w:rPr>
              <w:t>в</w:t>
            </w:r>
            <w:proofErr w:type="gramEnd"/>
            <w:r w:rsidRPr="00E627A6">
              <w:rPr>
                <w:rFonts w:eastAsia="Calibri"/>
                <w:lang w:val="ru-RU" w:eastAsia="en-US"/>
              </w:rPr>
              <w:t xml:space="preserve"> </w:t>
            </w:r>
            <w:proofErr w:type="gramStart"/>
            <w:r w:rsidRPr="00E627A6">
              <w:rPr>
                <w:rFonts w:eastAsia="Calibri"/>
                <w:lang w:val="ru-RU" w:eastAsia="en-US"/>
              </w:rPr>
              <w:t>водопроводу</w:t>
            </w:r>
            <w:proofErr w:type="gramEnd"/>
            <w:r w:rsidRPr="00E627A6">
              <w:rPr>
                <w:rFonts w:eastAsia="Calibri"/>
                <w:lang w:val="ru-RU" w:eastAsia="en-US"/>
              </w:rPr>
              <w:t xml:space="preserve"> і, як наслідок</w:t>
            </w:r>
            <w:r w:rsidR="00140BEE">
              <w:rPr>
                <w:rFonts w:eastAsia="Calibri"/>
                <w:lang w:val="ru-RU" w:eastAsia="en-US"/>
              </w:rPr>
              <w:t>,</w:t>
            </w:r>
            <w:r w:rsidRPr="00E627A6">
              <w:rPr>
                <w:rFonts w:eastAsia="Calibri"/>
                <w:lang w:val="ru-RU" w:eastAsia="en-US"/>
              </w:rPr>
              <w:t xml:space="preserve"> зменшення втрат води</w:t>
            </w:r>
          </w:p>
        </w:tc>
      </w:tr>
      <w:tr w:rsidR="00310E56" w:rsidRPr="00E627A6" w:rsidTr="00310E56">
        <w:tc>
          <w:tcPr>
            <w:tcW w:w="1888" w:type="dxa"/>
            <w:vMerge/>
            <w:shd w:val="clear" w:color="auto" w:fill="auto"/>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9. Надання поворотної фінансової допомоги </w:t>
            </w:r>
            <w:proofErr w:type="gramStart"/>
            <w:r w:rsidRPr="00E627A6">
              <w:rPr>
                <w:rFonts w:eastAsia="Calibri"/>
                <w:lang w:val="ru-RU" w:eastAsia="en-US"/>
              </w:rPr>
              <w:t>для оплати</w:t>
            </w:r>
            <w:proofErr w:type="gramEnd"/>
            <w:r w:rsidRPr="00E627A6">
              <w:rPr>
                <w:rFonts w:eastAsia="Calibri"/>
                <w:lang w:val="ru-RU" w:eastAsia="en-US"/>
              </w:rPr>
              <w:t xml:space="preserve"> електричної енергії</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5 000,0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Стале функціонування </w:t>
            </w:r>
            <w:proofErr w:type="gramStart"/>
            <w:r w:rsidRPr="00E627A6">
              <w:rPr>
                <w:rFonts w:eastAsia="Calibri"/>
                <w:lang w:val="ru-RU" w:eastAsia="en-US"/>
              </w:rPr>
              <w:t>п</w:t>
            </w:r>
            <w:proofErr w:type="gramEnd"/>
            <w:r w:rsidRPr="00E627A6">
              <w:rPr>
                <w:rFonts w:eastAsia="Calibri"/>
                <w:lang w:val="ru-RU" w:eastAsia="en-US"/>
              </w:rPr>
              <w:t>ідприємства</w:t>
            </w:r>
          </w:p>
        </w:tc>
      </w:tr>
      <w:tr w:rsidR="00310E56" w:rsidRPr="00E627A6" w:rsidTr="00310E56">
        <w:trPr>
          <w:trHeight w:val="1247"/>
        </w:trPr>
        <w:tc>
          <w:tcPr>
            <w:tcW w:w="1888" w:type="dxa"/>
            <w:shd w:val="clear" w:color="auto" w:fill="auto"/>
            <w:vAlign w:val="center"/>
          </w:tcPr>
          <w:p w:rsidR="00140BEE" w:rsidRDefault="00310E56" w:rsidP="00E627A6">
            <w:pPr>
              <w:spacing w:after="200"/>
              <w:rPr>
                <w:rFonts w:eastAsia="Calibri"/>
                <w:lang w:val="ru-RU" w:eastAsia="en-US"/>
              </w:rPr>
            </w:pPr>
            <w:r w:rsidRPr="00E627A6">
              <w:rPr>
                <w:rFonts w:eastAsia="Calibri"/>
                <w:lang w:val="ru-RU" w:eastAsia="en-US"/>
              </w:rPr>
              <w:t>Залучення та супровід інвестиційних кошті</w:t>
            </w:r>
            <w:proofErr w:type="gramStart"/>
            <w:r w:rsidRPr="00E627A6">
              <w:rPr>
                <w:rFonts w:eastAsia="Calibri"/>
                <w:lang w:val="ru-RU" w:eastAsia="en-US"/>
              </w:rPr>
              <w:t>в</w:t>
            </w:r>
            <w:proofErr w:type="gramEnd"/>
          </w:p>
          <w:p w:rsidR="00140BEE" w:rsidRDefault="00140BEE" w:rsidP="00E627A6">
            <w:pPr>
              <w:spacing w:after="200"/>
              <w:rPr>
                <w:rFonts w:eastAsia="Calibri"/>
                <w:lang w:val="ru-RU" w:eastAsia="en-US"/>
              </w:rPr>
            </w:pPr>
          </w:p>
          <w:p w:rsidR="00140BEE" w:rsidRDefault="00140BEE" w:rsidP="00E627A6">
            <w:pPr>
              <w:spacing w:after="200"/>
              <w:rPr>
                <w:rFonts w:eastAsia="Calibri"/>
                <w:lang w:val="ru-RU" w:eastAsia="en-US"/>
              </w:rPr>
            </w:pPr>
          </w:p>
          <w:p w:rsidR="00140BEE" w:rsidRPr="00E627A6" w:rsidRDefault="00140BEE" w:rsidP="00140BEE">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eastAsia="en-US"/>
              </w:rPr>
            </w:pPr>
            <w:r w:rsidRPr="00E627A6">
              <w:rPr>
                <w:rFonts w:eastAsia="Calibri"/>
                <w:lang w:val="ru-RU" w:eastAsia="en-US"/>
              </w:rPr>
              <w:t xml:space="preserve">1. Співфінансування проекту </w:t>
            </w:r>
            <w:proofErr w:type="gramStart"/>
            <w:r w:rsidRPr="00E627A6">
              <w:rPr>
                <w:rFonts w:eastAsia="Calibri"/>
                <w:lang w:val="ru-RU" w:eastAsia="en-US"/>
              </w:rPr>
              <w:t>П</w:t>
            </w:r>
            <w:proofErr w:type="gramEnd"/>
            <w:r w:rsidRPr="00E627A6">
              <w:rPr>
                <w:rFonts w:eastAsia="Calibri"/>
                <w:lang w:val="ru-RU" w:eastAsia="en-US"/>
              </w:rPr>
              <w:t>івнічної Екологічної Фінансової Корпорації (НЕФКО)</w:t>
            </w:r>
            <w:r w:rsidRPr="00E627A6">
              <w:rPr>
                <w:rFonts w:eastAsia="Calibri"/>
                <w:lang w:eastAsia="en-US"/>
              </w:rPr>
              <w:t xml:space="preserve"> </w:t>
            </w:r>
            <w:r w:rsidRPr="00E627A6">
              <w:rPr>
                <w:rFonts w:eastAsia="Calibri"/>
                <w:lang w:val="ru-RU" w:eastAsia="en-US"/>
              </w:rPr>
              <w:t>«Модернізація та реконструкція систем в</w:t>
            </w:r>
            <w:r w:rsidR="00140BEE">
              <w:rPr>
                <w:rFonts w:eastAsia="Calibri"/>
                <w:lang w:val="ru-RU" w:eastAsia="en-US"/>
              </w:rPr>
              <w:t>одопостачання і водовідведення в</w:t>
            </w:r>
            <w:r w:rsidRPr="00E627A6">
              <w:rPr>
                <w:rFonts w:eastAsia="Calibri"/>
                <w:lang w:val="ru-RU" w:eastAsia="en-US"/>
              </w:rPr>
              <w:t xml:space="preserve"> </w:t>
            </w:r>
            <w:r w:rsidR="00140BEE">
              <w:rPr>
                <w:rFonts w:eastAsia="Calibri"/>
                <w:lang w:val="ru-RU" w:eastAsia="en-US"/>
              </w:rPr>
              <w:t xml:space="preserve">             </w:t>
            </w:r>
            <w:r w:rsidRPr="00E627A6">
              <w:rPr>
                <w:rFonts w:eastAsia="Calibri"/>
                <w:lang w:val="ru-RU" w:eastAsia="en-US"/>
              </w:rPr>
              <w:t>м. Луцьку</w:t>
            </w:r>
            <w:r w:rsidRPr="00E627A6">
              <w:rPr>
                <w:rFonts w:eastAsia="Calibri"/>
                <w:lang w:eastAsia="en-US"/>
              </w:rPr>
              <w:t>»</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5 400,0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Своєчасне та в повному обсязі виконання зобов’язань перед НЕФКО</w:t>
            </w:r>
          </w:p>
        </w:tc>
      </w:tr>
      <w:tr w:rsidR="00310E56" w:rsidRPr="00E627A6" w:rsidTr="006B0CFB">
        <w:trPr>
          <w:trHeight w:val="430"/>
        </w:trPr>
        <w:tc>
          <w:tcPr>
            <w:tcW w:w="1888" w:type="dxa"/>
            <w:shd w:val="clear" w:color="auto" w:fill="auto"/>
            <w:vAlign w:val="center"/>
          </w:tcPr>
          <w:p w:rsidR="00310E56" w:rsidRPr="00140BEE" w:rsidRDefault="00140BEE" w:rsidP="00140BEE">
            <w:pPr>
              <w:spacing w:after="200"/>
              <w:jc w:val="center"/>
              <w:rPr>
                <w:rFonts w:eastAsia="Calibri"/>
                <w:b/>
                <w:lang w:val="ru-RU" w:eastAsia="en-US"/>
              </w:rPr>
            </w:pPr>
            <w:r w:rsidRPr="00140BEE">
              <w:rPr>
                <w:rFonts w:eastAsia="Calibri"/>
                <w:b/>
                <w:lang w:val="ru-RU" w:eastAsia="en-US"/>
              </w:rPr>
              <w:lastRenderedPageBreak/>
              <w:t>1</w:t>
            </w:r>
          </w:p>
        </w:tc>
        <w:tc>
          <w:tcPr>
            <w:tcW w:w="2947" w:type="dxa"/>
            <w:shd w:val="clear" w:color="auto" w:fill="auto"/>
            <w:vAlign w:val="center"/>
          </w:tcPr>
          <w:p w:rsidR="00310E56" w:rsidRPr="00140BEE" w:rsidRDefault="00140BEE" w:rsidP="00140BEE">
            <w:pPr>
              <w:spacing w:after="200"/>
              <w:jc w:val="center"/>
              <w:rPr>
                <w:rFonts w:eastAsia="Calibri"/>
                <w:b/>
                <w:lang w:val="ru-RU" w:eastAsia="en-US"/>
              </w:rPr>
            </w:pPr>
            <w:r w:rsidRPr="00140BEE">
              <w:rPr>
                <w:rFonts w:eastAsia="Calibri"/>
                <w:b/>
                <w:lang w:val="ru-RU" w:eastAsia="en-US"/>
              </w:rPr>
              <w:t>2</w:t>
            </w:r>
          </w:p>
        </w:tc>
        <w:tc>
          <w:tcPr>
            <w:tcW w:w="1134" w:type="dxa"/>
            <w:shd w:val="clear" w:color="auto" w:fill="auto"/>
            <w:vAlign w:val="center"/>
          </w:tcPr>
          <w:p w:rsidR="00310E56" w:rsidRPr="00140BEE" w:rsidRDefault="00140BEE" w:rsidP="00E627A6">
            <w:pPr>
              <w:spacing w:after="200"/>
              <w:jc w:val="center"/>
              <w:rPr>
                <w:rFonts w:eastAsia="Calibri"/>
                <w:b/>
                <w:lang w:val="ru-RU" w:eastAsia="en-US"/>
              </w:rPr>
            </w:pPr>
            <w:r w:rsidRPr="00140BEE">
              <w:rPr>
                <w:rFonts w:eastAsia="Calibri"/>
                <w:b/>
                <w:lang w:val="ru-RU" w:eastAsia="en-US"/>
              </w:rPr>
              <w:t>3</w:t>
            </w:r>
          </w:p>
        </w:tc>
        <w:tc>
          <w:tcPr>
            <w:tcW w:w="3778" w:type="dxa"/>
            <w:shd w:val="clear" w:color="auto" w:fill="auto"/>
            <w:vAlign w:val="center"/>
          </w:tcPr>
          <w:p w:rsidR="00310E56" w:rsidRPr="00140BEE" w:rsidRDefault="00140BEE" w:rsidP="00140BEE">
            <w:pPr>
              <w:spacing w:after="200"/>
              <w:jc w:val="center"/>
              <w:rPr>
                <w:rFonts w:eastAsia="Calibri"/>
                <w:b/>
                <w:lang w:val="ru-RU" w:eastAsia="en-US"/>
              </w:rPr>
            </w:pPr>
            <w:r w:rsidRPr="00140BEE">
              <w:rPr>
                <w:rFonts w:eastAsia="Calibri"/>
                <w:b/>
                <w:lang w:val="ru-RU" w:eastAsia="en-US"/>
              </w:rPr>
              <w:t>4</w:t>
            </w:r>
          </w:p>
        </w:tc>
      </w:tr>
      <w:tr w:rsidR="00310E56" w:rsidRPr="00E627A6" w:rsidTr="00310E56">
        <w:trPr>
          <w:trHeight w:val="1247"/>
        </w:trPr>
        <w:tc>
          <w:tcPr>
            <w:tcW w:w="1888" w:type="dxa"/>
            <w:vMerge w:val="restart"/>
            <w:shd w:val="clear" w:color="auto" w:fill="auto"/>
            <w:vAlign w:val="center"/>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2. Фінансування проекту </w:t>
            </w:r>
            <w:proofErr w:type="gramStart"/>
            <w:r w:rsidRPr="00E627A6">
              <w:rPr>
                <w:rFonts w:eastAsia="Calibri"/>
                <w:lang w:val="ru-RU" w:eastAsia="en-US"/>
              </w:rPr>
              <w:t>П</w:t>
            </w:r>
            <w:proofErr w:type="gramEnd"/>
            <w:r w:rsidRPr="00E627A6">
              <w:rPr>
                <w:rFonts w:eastAsia="Calibri"/>
                <w:lang w:val="ru-RU" w:eastAsia="en-US"/>
              </w:rPr>
              <w:t>івнічної Екологічної Фінансової Корпорації (НЕФКО) «Модернізація та реконструкція систем в</w:t>
            </w:r>
            <w:r w:rsidR="00140BEE">
              <w:rPr>
                <w:rFonts w:eastAsia="Calibri"/>
                <w:lang w:val="ru-RU" w:eastAsia="en-US"/>
              </w:rPr>
              <w:t>одопостачання і водовідведення в</w:t>
            </w:r>
            <w:r w:rsidRPr="00E627A6">
              <w:rPr>
                <w:rFonts w:eastAsia="Calibri"/>
                <w:lang w:val="ru-RU" w:eastAsia="en-US"/>
              </w:rPr>
              <w:t xml:space="preserve"> </w:t>
            </w:r>
            <w:r w:rsidR="00140BEE">
              <w:rPr>
                <w:rFonts w:eastAsia="Calibri"/>
                <w:lang w:val="ru-RU" w:eastAsia="en-US"/>
              </w:rPr>
              <w:t xml:space="preserve">             </w:t>
            </w:r>
            <w:r w:rsidRPr="00E627A6">
              <w:rPr>
                <w:rFonts w:eastAsia="Calibri"/>
                <w:lang w:val="ru-RU" w:eastAsia="en-US"/>
              </w:rPr>
              <w:t xml:space="preserve">м. Луцьку </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48 000,0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Забезпечення проведення модернізації та реконструкції систем водопостачання і водовідведення у м. Луцьку</w:t>
            </w:r>
          </w:p>
        </w:tc>
      </w:tr>
      <w:tr w:rsidR="00310E56" w:rsidRPr="00E627A6" w:rsidTr="00310E56">
        <w:trPr>
          <w:trHeight w:val="379"/>
        </w:trPr>
        <w:tc>
          <w:tcPr>
            <w:tcW w:w="1888" w:type="dxa"/>
            <w:vMerge/>
            <w:shd w:val="clear" w:color="auto" w:fill="auto"/>
            <w:vAlign w:val="center"/>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3. Співфінансування проекту Європейського інвестиційного банку (ЄІБ) </w:t>
            </w:r>
            <w:r w:rsidRPr="00E627A6">
              <w:rPr>
                <w:rFonts w:eastAsia="Calibri"/>
                <w:lang w:eastAsia="en-US"/>
              </w:rPr>
              <w:t>«М</w:t>
            </w:r>
            <w:r w:rsidRPr="00E627A6">
              <w:rPr>
                <w:rFonts w:eastAsia="Calibri"/>
                <w:lang w:val="ru-RU" w:eastAsia="en-US"/>
              </w:rPr>
              <w:t xml:space="preserve">одернізація систем водопостачання та водовідведення в </w:t>
            </w:r>
            <w:r w:rsidR="00140BEE">
              <w:rPr>
                <w:rFonts w:eastAsia="Calibri"/>
                <w:lang w:val="ru-RU" w:eastAsia="en-US"/>
              </w:rPr>
              <w:t xml:space="preserve">             </w:t>
            </w:r>
            <w:r w:rsidRPr="00E627A6">
              <w:rPr>
                <w:rFonts w:eastAsia="Calibri"/>
                <w:lang w:val="ru-RU" w:eastAsia="en-US"/>
              </w:rPr>
              <w:t>м. Луцьку»</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18 200,0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Забезпечення здійснення комплексної модернізації систем водопостачання та водовідведення в м. Луцьку</w:t>
            </w:r>
          </w:p>
        </w:tc>
      </w:tr>
      <w:tr w:rsidR="00310E56" w:rsidRPr="00E627A6" w:rsidTr="00310E56">
        <w:tc>
          <w:tcPr>
            <w:tcW w:w="1888" w:type="dxa"/>
            <w:vMerge w:val="restart"/>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Покращення якісних показників </w:t>
            </w:r>
            <w:proofErr w:type="gramStart"/>
            <w:r w:rsidRPr="00E627A6">
              <w:rPr>
                <w:rFonts w:eastAsia="Calibri"/>
                <w:lang w:val="ru-RU" w:eastAsia="en-US"/>
              </w:rPr>
              <w:t>ст</w:t>
            </w:r>
            <w:proofErr w:type="gramEnd"/>
            <w:r w:rsidRPr="00E627A6">
              <w:rPr>
                <w:rFonts w:eastAsia="Calibri"/>
                <w:lang w:val="ru-RU" w:eastAsia="en-US"/>
              </w:rPr>
              <w:t>ічних вод</w:t>
            </w: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1. Будівництво КНС для перекачування промивних вод Дубнівського водозабору</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11 665,0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Theme="minorHAnsi"/>
                <w:lang w:val="ru-RU" w:eastAsia="en-US"/>
              </w:rPr>
              <w:t>З</w:t>
            </w:r>
            <w:r w:rsidRPr="00E627A6">
              <w:rPr>
                <w:rFonts w:eastAsiaTheme="minorHAnsi"/>
                <w:iCs/>
                <w:lang w:val="ru-RU" w:eastAsia="en-US"/>
              </w:rPr>
              <w:t>абезпечення належного санітарно-екологічного стану в мі</w:t>
            </w:r>
            <w:proofErr w:type="gramStart"/>
            <w:r w:rsidRPr="00E627A6">
              <w:rPr>
                <w:rFonts w:eastAsiaTheme="minorHAnsi"/>
                <w:iCs/>
                <w:lang w:val="ru-RU" w:eastAsia="en-US"/>
              </w:rPr>
              <w:t>ст</w:t>
            </w:r>
            <w:proofErr w:type="gramEnd"/>
            <w:r w:rsidRPr="00E627A6">
              <w:rPr>
                <w:rFonts w:eastAsiaTheme="minorHAnsi"/>
                <w:iCs/>
                <w:lang w:val="ru-RU" w:eastAsia="en-US"/>
              </w:rPr>
              <w:t>і Луцьку, унеможливлення потрапляння неочищених промивних вод у русло р. Стир</w:t>
            </w:r>
          </w:p>
        </w:tc>
      </w:tr>
      <w:tr w:rsidR="00310E56" w:rsidRPr="00E627A6" w:rsidTr="00310E56">
        <w:tc>
          <w:tcPr>
            <w:tcW w:w="1888" w:type="dxa"/>
            <w:vMerge/>
            <w:shd w:val="clear" w:color="auto" w:fill="auto"/>
            <w:vAlign w:val="center"/>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2. Встановлення системи озонування повітря на КНС № 1</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600,0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 xml:space="preserve">Мінімізація неприємних запахів у </w:t>
            </w:r>
            <w:proofErr w:type="gramStart"/>
            <w:r w:rsidRPr="00E627A6">
              <w:rPr>
                <w:rFonts w:eastAsia="Calibri"/>
                <w:lang w:val="ru-RU" w:eastAsia="en-US"/>
              </w:rPr>
              <w:t>межах</w:t>
            </w:r>
            <w:proofErr w:type="gramEnd"/>
            <w:r w:rsidRPr="00E627A6">
              <w:rPr>
                <w:rFonts w:eastAsia="Calibri"/>
                <w:lang w:val="ru-RU" w:eastAsia="en-US"/>
              </w:rPr>
              <w:t xml:space="preserve"> санітарних зон КНС</w:t>
            </w:r>
          </w:p>
        </w:tc>
      </w:tr>
      <w:tr w:rsidR="00310E56" w:rsidRPr="00E627A6" w:rsidTr="00310E56">
        <w:tc>
          <w:tcPr>
            <w:tcW w:w="1888" w:type="dxa"/>
            <w:vMerge/>
            <w:shd w:val="clear" w:color="auto" w:fill="auto"/>
            <w:vAlign w:val="center"/>
          </w:tcPr>
          <w:p w:rsidR="00310E56" w:rsidRPr="00E627A6" w:rsidRDefault="00310E56" w:rsidP="00E627A6">
            <w:pPr>
              <w:spacing w:after="200"/>
              <w:rPr>
                <w:rFonts w:eastAsia="Calibri"/>
                <w:lang w:val="ru-RU" w:eastAsia="en-US"/>
              </w:rPr>
            </w:pPr>
          </w:p>
        </w:tc>
        <w:tc>
          <w:tcPr>
            <w:tcW w:w="2947"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3. Капітальний ремонт мереж водовідведення</w:t>
            </w:r>
          </w:p>
        </w:tc>
        <w:tc>
          <w:tcPr>
            <w:tcW w:w="1134" w:type="dxa"/>
            <w:shd w:val="clear" w:color="auto" w:fill="auto"/>
            <w:vAlign w:val="center"/>
          </w:tcPr>
          <w:p w:rsidR="00310E56" w:rsidRPr="00E627A6" w:rsidRDefault="00310E56" w:rsidP="00E627A6">
            <w:pPr>
              <w:spacing w:after="200"/>
              <w:jc w:val="center"/>
              <w:rPr>
                <w:rFonts w:eastAsia="Calibri"/>
                <w:lang w:val="ru-RU" w:eastAsia="en-US"/>
              </w:rPr>
            </w:pPr>
            <w:r w:rsidRPr="00E627A6">
              <w:rPr>
                <w:rFonts w:eastAsia="Calibri"/>
                <w:lang w:val="ru-RU" w:eastAsia="en-US"/>
              </w:rPr>
              <w:t>1 500,0</w:t>
            </w:r>
          </w:p>
        </w:tc>
        <w:tc>
          <w:tcPr>
            <w:tcW w:w="3778" w:type="dxa"/>
            <w:shd w:val="clear" w:color="auto" w:fill="auto"/>
            <w:vAlign w:val="center"/>
          </w:tcPr>
          <w:p w:rsidR="00310E56" w:rsidRPr="00E627A6" w:rsidRDefault="00310E56" w:rsidP="00E627A6">
            <w:pPr>
              <w:spacing w:after="200"/>
              <w:rPr>
                <w:rFonts w:eastAsia="Calibri"/>
                <w:lang w:val="ru-RU" w:eastAsia="en-US"/>
              </w:rPr>
            </w:pPr>
            <w:r w:rsidRPr="00E627A6">
              <w:rPr>
                <w:rFonts w:eastAsia="Calibri"/>
                <w:lang w:val="ru-RU" w:eastAsia="en-US"/>
              </w:rPr>
              <w:t>Зменшення кількості витокі</w:t>
            </w:r>
            <w:proofErr w:type="gramStart"/>
            <w:r w:rsidRPr="00E627A6">
              <w:rPr>
                <w:rFonts w:eastAsia="Calibri"/>
                <w:lang w:val="ru-RU" w:eastAsia="en-US"/>
              </w:rPr>
              <w:t>в</w:t>
            </w:r>
            <w:proofErr w:type="gramEnd"/>
            <w:r w:rsidRPr="00E627A6">
              <w:rPr>
                <w:rFonts w:eastAsia="Calibri"/>
                <w:lang w:val="ru-RU" w:eastAsia="en-US"/>
              </w:rPr>
              <w:t xml:space="preserve"> і, </w:t>
            </w:r>
            <w:proofErr w:type="gramStart"/>
            <w:r w:rsidRPr="00E627A6">
              <w:rPr>
                <w:rFonts w:eastAsia="Calibri"/>
                <w:lang w:val="ru-RU" w:eastAsia="en-US"/>
              </w:rPr>
              <w:t>як</w:t>
            </w:r>
            <w:proofErr w:type="gramEnd"/>
            <w:r w:rsidRPr="00E627A6">
              <w:rPr>
                <w:rFonts w:eastAsia="Calibri"/>
                <w:lang w:val="ru-RU" w:eastAsia="en-US"/>
              </w:rPr>
              <w:t xml:space="preserve"> наслідок</w:t>
            </w:r>
            <w:r w:rsidR="00140BEE">
              <w:rPr>
                <w:rFonts w:eastAsia="Calibri"/>
                <w:lang w:val="ru-RU" w:eastAsia="en-US"/>
              </w:rPr>
              <w:t>,</w:t>
            </w:r>
            <w:r w:rsidRPr="00E627A6">
              <w:rPr>
                <w:rFonts w:eastAsia="Calibri"/>
                <w:lang w:val="ru-RU" w:eastAsia="en-US"/>
              </w:rPr>
              <w:t xml:space="preserve"> зменшення забруднення ґрунту</w:t>
            </w:r>
          </w:p>
        </w:tc>
      </w:tr>
      <w:tr w:rsidR="00E627A6" w:rsidRPr="00E627A6" w:rsidTr="006B0CFB">
        <w:tc>
          <w:tcPr>
            <w:tcW w:w="9747" w:type="dxa"/>
            <w:gridSpan w:val="4"/>
            <w:shd w:val="clear" w:color="auto" w:fill="auto"/>
            <w:vAlign w:val="center"/>
          </w:tcPr>
          <w:p w:rsidR="00E627A6" w:rsidRPr="00E627A6" w:rsidRDefault="00E627A6" w:rsidP="00E627A6">
            <w:pPr>
              <w:spacing w:after="200"/>
              <w:rPr>
                <w:rFonts w:eastAsia="Calibri"/>
                <w:b/>
                <w:lang w:eastAsia="en-US"/>
              </w:rPr>
            </w:pPr>
            <w:r w:rsidRPr="00E627A6">
              <w:rPr>
                <w:rFonts w:eastAsia="Calibri"/>
                <w:b/>
                <w:lang w:val="ru-RU" w:eastAsia="en-US"/>
              </w:rPr>
              <w:t>Всього</w:t>
            </w:r>
            <w:r w:rsidR="00140BEE">
              <w:rPr>
                <w:rFonts w:eastAsia="Calibri"/>
                <w:b/>
                <w:lang w:val="ru-RU" w:eastAsia="en-US"/>
              </w:rPr>
              <w:t>:</w:t>
            </w:r>
            <w:r w:rsidRPr="00E627A6">
              <w:rPr>
                <w:rFonts w:eastAsia="Calibri"/>
                <w:b/>
                <w:lang w:eastAsia="en-US"/>
              </w:rPr>
              <w:t xml:space="preserve">  </w:t>
            </w:r>
            <w:r w:rsidRPr="00E627A6">
              <w:rPr>
                <w:rFonts w:eastAsia="Calibri"/>
                <w:b/>
                <w:lang w:val="ru-RU" w:eastAsia="en-US"/>
              </w:rPr>
              <w:t>102 815,0</w:t>
            </w:r>
            <w:r w:rsidR="00140BEE">
              <w:rPr>
                <w:rFonts w:eastAsia="Calibri"/>
                <w:b/>
                <w:lang w:eastAsia="en-US"/>
              </w:rPr>
              <w:t xml:space="preserve"> тис</w:t>
            </w:r>
            <w:proofErr w:type="gramStart"/>
            <w:r w:rsidR="00140BEE">
              <w:rPr>
                <w:rFonts w:eastAsia="Calibri"/>
                <w:b/>
                <w:lang w:eastAsia="en-US"/>
              </w:rPr>
              <w:t>.</w:t>
            </w:r>
            <w:proofErr w:type="gramEnd"/>
            <w:r w:rsidR="00140BEE">
              <w:rPr>
                <w:rFonts w:eastAsia="Calibri"/>
                <w:b/>
                <w:lang w:eastAsia="en-US"/>
              </w:rPr>
              <w:t xml:space="preserve"> </w:t>
            </w:r>
            <w:proofErr w:type="gramStart"/>
            <w:r w:rsidR="00140BEE">
              <w:rPr>
                <w:rFonts w:eastAsia="Calibri"/>
                <w:b/>
                <w:lang w:eastAsia="en-US"/>
              </w:rPr>
              <w:t>г</w:t>
            </w:r>
            <w:proofErr w:type="gramEnd"/>
            <w:r w:rsidR="00140BEE">
              <w:rPr>
                <w:rFonts w:eastAsia="Calibri"/>
                <w:b/>
                <w:lang w:eastAsia="en-US"/>
              </w:rPr>
              <w:t>рн</w:t>
            </w:r>
          </w:p>
        </w:tc>
      </w:tr>
    </w:tbl>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bCs/>
        </w:rPr>
        <w:t>Фінансування КП «Луцькводоканал» здійснюватиметься в межах бюджетних асигнувань та</w:t>
      </w:r>
      <w:r w:rsidR="00140BEE">
        <w:rPr>
          <w:bCs/>
        </w:rPr>
        <w:t xml:space="preserve"> відповідно до проєкту Програми</w:t>
      </w:r>
      <w:r w:rsidRPr="00E627A6">
        <w:rPr>
          <w:bCs/>
        </w:rPr>
        <w:t xml:space="preserve"> фінансування відбуватиметься шляхом перерахування коштів на рахунок державної казначейської служби на підставі укладених договорів про виконання робіт, актів прийому-передачі виконаних робіт, накладних на придбання устаткування, обладнання тощо, в результаті здійснення КП «Луцькводоканал» закупівлі товарів, робіт, послуг згідно із Законом України «Про публічні закупівлі».</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rFonts w:eastAsiaTheme="minorHAnsi"/>
          <w:lang w:eastAsia="en-US"/>
        </w:rPr>
        <w:t>КП «</w:t>
      </w:r>
      <w:r w:rsidRPr="00E627A6">
        <w:rPr>
          <w:bCs/>
        </w:rPr>
        <w:t>Луцькводоканал</w:t>
      </w:r>
      <w:r w:rsidRPr="00E627A6">
        <w:rPr>
          <w:rFonts w:eastAsiaTheme="minorHAnsi"/>
          <w:lang w:eastAsia="en-US"/>
        </w:rPr>
        <w:t xml:space="preserve">» є учасником Програми «Розвиток муніципальної інфраструктури України» в секторі водопостачання та водовідведення, яка фінансується за рахунок кредиту Європейського інвестиційного банку. </w:t>
      </w:r>
      <w:r w:rsidRPr="00E627A6">
        <w:rPr>
          <w:rFonts w:eastAsiaTheme="minorHAnsi"/>
          <w:lang w:val="ru-RU" w:eastAsia="en-US"/>
        </w:rPr>
        <w:t xml:space="preserve">У 2021 році </w:t>
      </w:r>
      <w:proofErr w:type="gramStart"/>
      <w:r w:rsidRPr="00E627A6">
        <w:rPr>
          <w:rFonts w:eastAsiaTheme="minorHAnsi"/>
          <w:lang w:val="ru-RU" w:eastAsia="en-US"/>
        </w:rPr>
        <w:t>П</w:t>
      </w:r>
      <w:proofErr w:type="gramEnd"/>
      <w:r w:rsidRPr="00E627A6">
        <w:rPr>
          <w:rFonts w:eastAsiaTheme="minorHAnsi"/>
          <w:lang w:val="ru-RU" w:eastAsia="en-US"/>
        </w:rPr>
        <w:t>ідприємство</w:t>
      </w:r>
      <w:r w:rsidRPr="00E627A6">
        <w:rPr>
          <w:rFonts w:eastAsiaTheme="minorHAnsi"/>
          <w:lang w:eastAsia="en-US"/>
        </w:rPr>
        <w:t xml:space="preserve"> </w:t>
      </w:r>
      <w:r w:rsidRPr="00E627A6">
        <w:rPr>
          <w:rFonts w:eastAsiaTheme="minorHAnsi"/>
          <w:lang w:val="ru-RU" w:eastAsia="en-US"/>
        </w:rPr>
        <w:t>планує розпочати реалізацію Проекту «Модернізація системи</w:t>
      </w:r>
      <w:r w:rsidRPr="00E627A6">
        <w:rPr>
          <w:rFonts w:eastAsiaTheme="minorHAnsi"/>
          <w:lang w:eastAsia="en-US"/>
        </w:rPr>
        <w:t xml:space="preserve"> </w:t>
      </w:r>
      <w:r w:rsidRPr="00E627A6">
        <w:rPr>
          <w:rFonts w:eastAsiaTheme="minorHAnsi"/>
          <w:lang w:val="ru-RU" w:eastAsia="en-US"/>
        </w:rPr>
        <w:t>водопостачання та водо</w:t>
      </w:r>
      <w:r w:rsidR="00140BEE">
        <w:rPr>
          <w:rFonts w:eastAsiaTheme="minorHAnsi"/>
          <w:lang w:val="ru-RU" w:eastAsia="en-US"/>
        </w:rPr>
        <w:t>відведення у м. Луцьку». Це</w:t>
      </w:r>
      <w:r w:rsidRPr="00E627A6">
        <w:rPr>
          <w:rFonts w:eastAsiaTheme="minorHAnsi"/>
          <w:lang w:val="ru-RU" w:eastAsia="en-US"/>
        </w:rPr>
        <w:t>й Проект</w:t>
      </w:r>
      <w:r w:rsidRPr="00E627A6">
        <w:rPr>
          <w:rFonts w:eastAsiaTheme="minorHAnsi"/>
          <w:lang w:eastAsia="en-US"/>
        </w:rPr>
        <w:t xml:space="preserve"> </w:t>
      </w:r>
      <w:r w:rsidRPr="00E627A6">
        <w:rPr>
          <w:rFonts w:eastAsiaTheme="minorHAnsi"/>
          <w:lang w:val="ru-RU" w:eastAsia="en-US"/>
        </w:rPr>
        <w:t>передбачає співфінансування з бюджету міста в розмі</w:t>
      </w:r>
      <w:proofErr w:type="gramStart"/>
      <w:r w:rsidRPr="00E627A6">
        <w:rPr>
          <w:rFonts w:eastAsiaTheme="minorHAnsi"/>
          <w:lang w:val="ru-RU" w:eastAsia="en-US"/>
        </w:rPr>
        <w:t>р</w:t>
      </w:r>
      <w:proofErr w:type="gramEnd"/>
      <w:r w:rsidRPr="00E627A6">
        <w:rPr>
          <w:rFonts w:eastAsiaTheme="minorHAnsi"/>
          <w:lang w:val="ru-RU" w:eastAsia="en-US"/>
        </w:rPr>
        <w:t>і 20</w:t>
      </w:r>
      <w:r w:rsidR="00140BEE">
        <w:rPr>
          <w:rFonts w:eastAsiaTheme="minorHAnsi"/>
          <w:lang w:val="ru-RU" w:eastAsia="en-US"/>
        </w:rPr>
        <w:t xml:space="preserve"> </w:t>
      </w:r>
      <w:r w:rsidRPr="00E627A6">
        <w:rPr>
          <w:rFonts w:eastAsiaTheme="minorHAnsi"/>
          <w:lang w:val="ru-RU" w:eastAsia="en-US"/>
        </w:rPr>
        <w:t>% суми</w:t>
      </w:r>
      <w:r w:rsidRPr="00E627A6">
        <w:rPr>
          <w:rFonts w:eastAsiaTheme="minorHAnsi"/>
          <w:lang w:eastAsia="en-US"/>
        </w:rPr>
        <w:t xml:space="preserve"> </w:t>
      </w:r>
      <w:r w:rsidRPr="00E627A6">
        <w:rPr>
          <w:rFonts w:eastAsiaTheme="minorHAnsi"/>
          <w:lang w:val="ru-RU" w:eastAsia="en-US"/>
        </w:rPr>
        <w:t>запозичення.</w:t>
      </w:r>
      <w:r w:rsidRPr="00E627A6">
        <w:rPr>
          <w:rFonts w:eastAsiaTheme="minorHAnsi"/>
          <w:lang w:eastAsia="en-US"/>
        </w:rPr>
        <w:t xml:space="preserve"> </w:t>
      </w:r>
      <w:r w:rsidRPr="00E627A6">
        <w:rPr>
          <w:rFonts w:eastAsiaTheme="minorHAnsi"/>
          <w:lang w:val="ru-RU" w:eastAsia="en-US"/>
        </w:rPr>
        <w:t xml:space="preserve">Відповідно до розробленого </w:t>
      </w:r>
      <w:proofErr w:type="gramStart"/>
      <w:r w:rsidRPr="00E627A6">
        <w:rPr>
          <w:rFonts w:eastAsiaTheme="minorHAnsi"/>
          <w:lang w:val="ru-RU" w:eastAsia="en-US"/>
        </w:rPr>
        <w:t>техн</w:t>
      </w:r>
      <w:proofErr w:type="gramEnd"/>
      <w:r w:rsidRPr="00E627A6">
        <w:rPr>
          <w:rFonts w:eastAsiaTheme="minorHAnsi"/>
          <w:lang w:val="ru-RU" w:eastAsia="en-US"/>
        </w:rPr>
        <w:t>іко-економічного обґрунтування</w:t>
      </w:r>
      <w:r w:rsidRPr="00E627A6">
        <w:rPr>
          <w:rFonts w:eastAsiaTheme="minorHAnsi"/>
          <w:lang w:eastAsia="en-US"/>
        </w:rPr>
        <w:t xml:space="preserve"> </w:t>
      </w:r>
      <w:r w:rsidRPr="00E627A6">
        <w:rPr>
          <w:rFonts w:eastAsiaTheme="minorHAnsi"/>
          <w:lang w:val="ru-RU" w:eastAsia="en-US"/>
        </w:rPr>
        <w:t>реалізація Проекту розбита на 5 років. У Програмі підтримки КП</w:t>
      </w:r>
      <w:r w:rsidRPr="00E627A6">
        <w:rPr>
          <w:rFonts w:eastAsiaTheme="minorHAnsi"/>
          <w:lang w:eastAsia="en-US"/>
        </w:rPr>
        <w:t xml:space="preserve"> </w:t>
      </w:r>
      <w:r w:rsidRPr="00E627A6">
        <w:rPr>
          <w:rFonts w:eastAsiaTheme="minorHAnsi"/>
          <w:lang w:val="ru-RU" w:eastAsia="en-US"/>
        </w:rPr>
        <w:t>«Луцькводоканал» на 2021 рік зазначена сума співфінансування</w:t>
      </w:r>
      <w:r w:rsidRPr="00E627A6">
        <w:rPr>
          <w:rFonts w:eastAsiaTheme="minorHAnsi"/>
          <w:lang w:eastAsia="en-US"/>
        </w:rPr>
        <w:t xml:space="preserve"> </w:t>
      </w:r>
      <w:r w:rsidRPr="00E627A6">
        <w:rPr>
          <w:rFonts w:eastAsiaTheme="minorHAnsi"/>
          <w:lang w:val="ru-RU" w:eastAsia="en-US"/>
        </w:rPr>
        <w:t>першого року реалізації Проекту.</w:t>
      </w:r>
    </w:p>
    <w:p w:rsidR="00E627A6" w:rsidRPr="00E627A6" w:rsidRDefault="00E627A6" w:rsidP="00E627A6">
      <w:pPr>
        <w:spacing w:after="200"/>
        <w:ind w:left="720"/>
        <w:contextualSpacing/>
        <w:rPr>
          <w:bCs/>
        </w:rPr>
      </w:pPr>
    </w:p>
    <w:p w:rsidR="00E627A6" w:rsidRPr="00E627A6" w:rsidRDefault="00140BEE" w:rsidP="00E627A6">
      <w:pPr>
        <w:numPr>
          <w:ilvl w:val="0"/>
          <w:numId w:val="2"/>
        </w:numPr>
        <w:spacing w:after="200"/>
        <w:ind w:left="0"/>
        <w:contextualSpacing/>
        <w:jc w:val="both"/>
        <w:rPr>
          <w:bCs/>
        </w:rPr>
      </w:pPr>
      <w:r>
        <w:rPr>
          <w:bCs/>
        </w:rPr>
        <w:lastRenderedPageBreak/>
        <w:t>Міністерство фінансів України</w:t>
      </w:r>
      <w:r w:rsidR="00E627A6" w:rsidRPr="00E627A6">
        <w:rPr>
          <w:bCs/>
        </w:rPr>
        <w:t xml:space="preserve"> своїм наказом від 06 листопада 2020 року № 681 «Про погодження Обсягу та умов здійснення місцевого запозичення Луцькою міською радою у 2020 році» погодило отримання кредиту від НЕФКО для фінансування впровадж</w:t>
      </w:r>
      <w:r>
        <w:rPr>
          <w:bCs/>
        </w:rPr>
        <w:t>ення заходів інвестиційного проє</w:t>
      </w:r>
      <w:r w:rsidR="00E627A6" w:rsidRPr="00E627A6">
        <w:rPr>
          <w:bCs/>
        </w:rPr>
        <w:t>кту «Підвищення енергоефек</w:t>
      </w:r>
      <w:r>
        <w:rPr>
          <w:bCs/>
        </w:rPr>
        <w:t>тивності та надій</w:t>
      </w:r>
      <w:r w:rsidR="00E627A6" w:rsidRPr="00E627A6">
        <w:rPr>
          <w:bCs/>
        </w:rPr>
        <w:t xml:space="preserve">ності системи водопостачання та водовідведення міста Луцька». </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bCs/>
        </w:rPr>
        <w:t>Виконавцем послуг із централізованого водопостачання та водовідведення в місті Луцьк  є КП «Луцькводоканал» на підставі постанови Національної комісії, що здійснює державне регулювання у сферах енергетики та комунальних послуг (далі – НКРЕКП) № 397 від 28.03.2017 «Про переоформлення ліцензії на централізоване водопостачання та водовідведення, виданої КП «Луцькводоканал».</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bCs/>
          <w:lang w:val="ru-RU"/>
        </w:rPr>
        <w:t xml:space="preserve">КП «Луцькводоканал» є єдиним виконавцем послуг </w:t>
      </w:r>
      <w:r w:rsidR="00140BEE">
        <w:rPr>
          <w:bCs/>
          <w:lang w:val="ru-RU"/>
        </w:rPr>
        <w:t>і</w:t>
      </w:r>
      <w:r w:rsidRPr="00E627A6">
        <w:rPr>
          <w:bCs/>
          <w:lang w:val="ru-RU"/>
        </w:rPr>
        <w:t xml:space="preserve">з централізованого водопостачання та водовідведення та включене до Зведеного переліку природних монополій, розміщеного на сайті Антимонопольного комітету України станом на </w:t>
      </w:r>
      <w:r w:rsidRPr="00E627A6">
        <w:rPr>
          <w:bCs/>
        </w:rPr>
        <w:t>жовтень</w:t>
      </w:r>
      <w:r w:rsidR="00140BEE">
        <w:rPr>
          <w:bCs/>
          <w:lang w:val="ru-RU"/>
        </w:rPr>
        <w:t xml:space="preserve"> 2020 року за</w:t>
      </w:r>
      <w:r w:rsidRPr="00E627A6">
        <w:rPr>
          <w:bCs/>
          <w:lang w:val="ru-RU"/>
        </w:rPr>
        <w:t xml:space="preserve"> № 145.</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bCs/>
          <w:lang w:val="ru-RU"/>
        </w:rPr>
        <w:t xml:space="preserve">Кошти місцевого бюджету будуть використані виключно на реалізацію Програми </w:t>
      </w:r>
      <w:proofErr w:type="gramStart"/>
      <w:r w:rsidRPr="00E627A6">
        <w:rPr>
          <w:bCs/>
          <w:lang w:val="ru-RU"/>
        </w:rPr>
        <w:t>п</w:t>
      </w:r>
      <w:proofErr w:type="gramEnd"/>
      <w:r w:rsidRPr="00E627A6">
        <w:rPr>
          <w:bCs/>
          <w:lang w:val="ru-RU"/>
        </w:rPr>
        <w:t>ідтримки КП «Луцькводоканал»</w:t>
      </w:r>
      <w:r w:rsidRPr="00E627A6">
        <w:rPr>
          <w:bCs/>
        </w:rPr>
        <w:t>.</w:t>
      </w:r>
    </w:p>
    <w:p w:rsidR="00E627A6" w:rsidRPr="00E627A6" w:rsidRDefault="00E627A6" w:rsidP="00E627A6">
      <w:pPr>
        <w:contextualSpacing/>
        <w:jc w:val="both"/>
        <w:rPr>
          <w:bCs/>
        </w:rPr>
      </w:pPr>
    </w:p>
    <w:p w:rsidR="00E627A6" w:rsidRDefault="00E627A6" w:rsidP="00E627A6">
      <w:pPr>
        <w:numPr>
          <w:ilvl w:val="0"/>
          <w:numId w:val="2"/>
        </w:numPr>
        <w:spacing w:after="200"/>
        <w:ind w:left="0"/>
        <w:contextualSpacing/>
        <w:jc w:val="both"/>
        <w:rPr>
          <w:bCs/>
        </w:rPr>
      </w:pPr>
      <w:r w:rsidRPr="00E627A6">
        <w:rPr>
          <w:bCs/>
        </w:rPr>
        <w:t>Перелік заходів Програми підтримки КП «Луцькводоканал» на 2021 рік передбачає закупівлю товарів, які будуть використовуватись для створення умов, що сприятимуть сталому функціонуванню підприємства при наданні послуг централізованого водопостачання та водовідведення, обмеження шкідливого впливу на навколишнє природнє середовище та здоров’я людини,</w:t>
      </w:r>
      <w:r w:rsidR="00140BEE">
        <w:rPr>
          <w:bCs/>
        </w:rPr>
        <w:t xml:space="preserve"> розширення і модернізацію</w:t>
      </w:r>
      <w:r w:rsidRPr="00E627A6">
        <w:rPr>
          <w:bCs/>
        </w:rPr>
        <w:t xml:space="preserve"> діючих потужностей, покращення якості обслуговування споживачів.</w:t>
      </w:r>
    </w:p>
    <w:p w:rsidR="00BB76C2" w:rsidRPr="00E627A6" w:rsidRDefault="00BB76C2" w:rsidP="00BB76C2">
      <w:pPr>
        <w:spacing w:after="200"/>
        <w:contextualSpacing/>
        <w:jc w:val="both"/>
        <w:rPr>
          <w:bCs/>
        </w:rPr>
      </w:pPr>
    </w:p>
    <w:p w:rsidR="00E627A6" w:rsidRPr="00E627A6" w:rsidRDefault="00140BEE" w:rsidP="00E627A6">
      <w:pPr>
        <w:numPr>
          <w:ilvl w:val="0"/>
          <w:numId w:val="2"/>
        </w:numPr>
        <w:spacing w:after="200"/>
        <w:ind w:left="0"/>
        <w:contextualSpacing/>
        <w:jc w:val="both"/>
        <w:rPr>
          <w:bCs/>
        </w:rPr>
      </w:pPr>
      <w:r>
        <w:rPr>
          <w:rFonts w:eastAsiaTheme="minorHAnsi"/>
          <w:lang w:eastAsia="en-US"/>
        </w:rPr>
        <w:t>Закупівлю</w:t>
      </w:r>
      <w:r w:rsidR="00E627A6" w:rsidRPr="00E627A6">
        <w:rPr>
          <w:rFonts w:eastAsiaTheme="minorHAnsi"/>
          <w:lang w:eastAsia="en-US"/>
        </w:rPr>
        <w:t xml:space="preserve"> </w:t>
      </w:r>
      <w:r w:rsidR="00E627A6" w:rsidRPr="00E627A6">
        <w:rPr>
          <w:bCs/>
        </w:rPr>
        <w:t>товарів</w:t>
      </w:r>
      <w:r w:rsidR="00E627A6" w:rsidRPr="00E627A6">
        <w:rPr>
          <w:rFonts w:eastAsiaTheme="minorHAnsi"/>
          <w:lang w:eastAsia="en-US"/>
        </w:rPr>
        <w:t>, матеріалів, інвентарю, техніки, на які виділятиметься держав</w:t>
      </w:r>
      <w:r>
        <w:rPr>
          <w:rFonts w:eastAsiaTheme="minorHAnsi"/>
          <w:lang w:eastAsia="en-US"/>
        </w:rPr>
        <w:t>на підтримка, буде здійснювати КП «Луцькводоканал» відповідно</w:t>
      </w:r>
      <w:r w:rsidR="00E627A6" w:rsidRPr="00E627A6">
        <w:rPr>
          <w:rFonts w:eastAsiaTheme="minorHAnsi"/>
          <w:lang w:eastAsia="en-US"/>
        </w:rPr>
        <w:t xml:space="preserve"> до вимог Бюджетного кодексу України та Закону України «Про </w:t>
      </w:r>
      <w:r w:rsidR="00E627A6" w:rsidRPr="00E627A6">
        <w:rPr>
          <w:bCs/>
        </w:rPr>
        <w:t>публічні</w:t>
      </w:r>
      <w:r w:rsidR="00E627A6" w:rsidRPr="00E627A6">
        <w:rPr>
          <w:rFonts w:eastAsiaTheme="minorHAnsi"/>
          <w:lang w:eastAsia="en-US"/>
        </w:rPr>
        <w:t xml:space="preserve"> закупівлі». </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rFonts w:eastAsiaTheme="minorHAnsi"/>
          <w:lang w:eastAsia="en-US"/>
        </w:rPr>
        <w:t>Роботи</w:t>
      </w:r>
      <w:r w:rsidR="00140BEE">
        <w:rPr>
          <w:rFonts w:eastAsiaTheme="minorHAnsi"/>
          <w:lang w:val="ru-RU" w:eastAsia="en-US"/>
        </w:rPr>
        <w:t xml:space="preserve"> з</w:t>
      </w:r>
      <w:r w:rsidRPr="00E627A6">
        <w:rPr>
          <w:rFonts w:eastAsiaTheme="minorHAnsi"/>
          <w:lang w:val="ru-RU" w:eastAsia="en-US"/>
        </w:rPr>
        <w:t xml:space="preserve"> реалізації Програми будуть викону</w:t>
      </w:r>
      <w:r w:rsidR="00140BEE">
        <w:rPr>
          <w:rFonts w:eastAsiaTheme="minorHAnsi"/>
          <w:lang w:val="ru-RU" w:eastAsia="en-US"/>
        </w:rPr>
        <w:t>вати працівник</w:t>
      </w:r>
      <w:r w:rsidRPr="00E627A6">
        <w:rPr>
          <w:rFonts w:eastAsiaTheme="minorHAnsi"/>
          <w:lang w:val="ru-RU" w:eastAsia="en-US"/>
        </w:rPr>
        <w:t>и К</w:t>
      </w:r>
      <w:r w:rsidR="00140BEE">
        <w:rPr>
          <w:rFonts w:eastAsiaTheme="minorHAnsi"/>
          <w:lang w:val="ru-RU" w:eastAsia="en-US"/>
        </w:rPr>
        <w:t>П «Луцькводоканал» та залучені підрядні організації</w:t>
      </w:r>
      <w:r w:rsidRPr="00E627A6">
        <w:rPr>
          <w:rFonts w:eastAsiaTheme="minorHAnsi"/>
          <w:lang w:val="ru-RU" w:eastAsia="en-US"/>
        </w:rPr>
        <w:t xml:space="preserve">. Залучення </w:t>
      </w:r>
      <w:proofErr w:type="gramStart"/>
      <w:r w:rsidRPr="00E627A6">
        <w:rPr>
          <w:rFonts w:eastAsiaTheme="minorHAnsi"/>
          <w:lang w:val="ru-RU" w:eastAsia="en-US"/>
        </w:rPr>
        <w:t>п</w:t>
      </w:r>
      <w:proofErr w:type="gramEnd"/>
      <w:r w:rsidRPr="00E627A6">
        <w:rPr>
          <w:rFonts w:eastAsiaTheme="minorHAnsi"/>
          <w:lang w:val="ru-RU" w:eastAsia="en-US"/>
        </w:rPr>
        <w:t>ідрядних організацій для виконання  роб</w:t>
      </w:r>
      <w:r w:rsidR="00140BEE">
        <w:rPr>
          <w:rFonts w:eastAsiaTheme="minorHAnsi"/>
          <w:lang w:val="ru-RU" w:eastAsia="en-US"/>
        </w:rPr>
        <w:t>іт / послуг буде здійснюватись відповідно</w:t>
      </w:r>
      <w:r w:rsidRPr="00E627A6">
        <w:rPr>
          <w:rFonts w:eastAsiaTheme="minorHAnsi"/>
          <w:lang w:val="ru-RU" w:eastAsia="en-US"/>
        </w:rPr>
        <w:t xml:space="preserve"> до норм Закону України «Про публічні закупівлі». </w:t>
      </w:r>
      <w:r w:rsidRPr="00E627A6">
        <w:rPr>
          <w:rFonts w:eastAsiaTheme="minorHAnsi"/>
          <w:lang w:eastAsia="en-US"/>
        </w:rPr>
        <w:t xml:space="preserve"> </w:t>
      </w:r>
      <w:r w:rsidRPr="00140BEE">
        <w:rPr>
          <w:rFonts w:eastAsiaTheme="minorHAnsi"/>
          <w:lang w:eastAsia="en-US"/>
        </w:rPr>
        <w:t>Фінансування залученим підрядним організаціям (які буде визначено відповідно до З</w:t>
      </w:r>
      <w:r w:rsidR="00140BEE" w:rsidRPr="00140BEE">
        <w:rPr>
          <w:rFonts w:eastAsiaTheme="minorHAnsi"/>
          <w:lang w:eastAsia="en-US"/>
        </w:rPr>
        <w:t xml:space="preserve">акону </w:t>
      </w:r>
      <w:r w:rsidRPr="00140BEE">
        <w:rPr>
          <w:rFonts w:eastAsiaTheme="minorHAnsi"/>
          <w:lang w:eastAsia="en-US"/>
        </w:rPr>
        <w:t>У</w:t>
      </w:r>
      <w:r w:rsidR="00140BEE" w:rsidRPr="00140BEE">
        <w:rPr>
          <w:rFonts w:eastAsiaTheme="minorHAnsi"/>
          <w:lang w:eastAsia="en-US"/>
        </w:rPr>
        <w:t>країни</w:t>
      </w:r>
      <w:r w:rsidRPr="00140BEE">
        <w:rPr>
          <w:rFonts w:eastAsiaTheme="minorHAnsi"/>
          <w:lang w:eastAsia="en-US"/>
        </w:rPr>
        <w:t xml:space="preserve"> «Про публіч</w:t>
      </w:r>
      <w:r w:rsidR="00140BEE">
        <w:rPr>
          <w:rFonts w:eastAsiaTheme="minorHAnsi"/>
          <w:lang w:eastAsia="en-US"/>
        </w:rPr>
        <w:t>ні закупівлі») буде перераховано в</w:t>
      </w:r>
      <w:r w:rsidRPr="00140BEE">
        <w:rPr>
          <w:rFonts w:eastAsiaTheme="minorHAnsi"/>
          <w:lang w:eastAsia="en-US"/>
        </w:rPr>
        <w:t xml:space="preserve"> повному обсязі (пропо</w:t>
      </w:r>
      <w:r w:rsidR="00140BEE">
        <w:rPr>
          <w:rFonts w:eastAsiaTheme="minorHAnsi"/>
          <w:lang w:eastAsia="en-US"/>
        </w:rPr>
        <w:t>рційно виконаним ними роботам) у</w:t>
      </w:r>
      <w:r w:rsidRPr="00140BEE">
        <w:rPr>
          <w:rFonts w:eastAsiaTheme="minorHAnsi"/>
          <w:lang w:eastAsia="en-US"/>
        </w:rPr>
        <w:t xml:space="preserve"> межах виділених бюджетних коштів.</w:t>
      </w:r>
    </w:p>
    <w:p w:rsidR="00E627A6" w:rsidRPr="00E627A6" w:rsidRDefault="00E627A6" w:rsidP="00E627A6">
      <w:pPr>
        <w:contextualSpacing/>
        <w:jc w:val="both"/>
        <w:rPr>
          <w:bCs/>
        </w:rPr>
      </w:pPr>
    </w:p>
    <w:p w:rsidR="00E627A6" w:rsidRPr="00E627A6" w:rsidRDefault="00E627A6" w:rsidP="00E627A6">
      <w:pPr>
        <w:numPr>
          <w:ilvl w:val="0"/>
          <w:numId w:val="2"/>
        </w:numPr>
        <w:spacing w:after="200"/>
        <w:ind w:left="0"/>
        <w:contextualSpacing/>
        <w:jc w:val="both"/>
        <w:rPr>
          <w:bCs/>
        </w:rPr>
      </w:pPr>
      <w:r w:rsidRPr="00E627A6">
        <w:rPr>
          <w:rFonts w:eastAsiaTheme="minorHAnsi"/>
          <w:lang w:val="ru-RU" w:eastAsia="en-US"/>
        </w:rPr>
        <w:t xml:space="preserve">Залучення </w:t>
      </w:r>
      <w:proofErr w:type="gramStart"/>
      <w:r w:rsidRPr="00E627A6">
        <w:rPr>
          <w:rFonts w:eastAsiaTheme="minorHAnsi"/>
          <w:lang w:val="ru-RU" w:eastAsia="en-US"/>
        </w:rPr>
        <w:t>п</w:t>
      </w:r>
      <w:proofErr w:type="gramEnd"/>
      <w:r w:rsidRPr="00E627A6">
        <w:rPr>
          <w:rFonts w:eastAsiaTheme="minorHAnsi"/>
          <w:lang w:val="ru-RU" w:eastAsia="en-US"/>
        </w:rPr>
        <w:t>ідрядних організацій з</w:t>
      </w:r>
      <w:r w:rsidR="00140BEE">
        <w:rPr>
          <w:rFonts w:eastAsiaTheme="minorHAnsi"/>
          <w:lang w:val="ru-RU" w:eastAsia="en-US"/>
        </w:rPr>
        <w:t>аплановано для виконання так</w:t>
      </w:r>
      <w:r w:rsidRPr="00E627A6">
        <w:rPr>
          <w:rFonts w:eastAsiaTheme="minorHAnsi"/>
          <w:lang w:val="ru-RU" w:eastAsia="en-US"/>
        </w:rPr>
        <w:t xml:space="preserve">их заходів Програми: </w:t>
      </w:r>
    </w:p>
    <w:p w:rsidR="00E627A6" w:rsidRPr="00E627A6" w:rsidRDefault="00E627A6" w:rsidP="00E627A6">
      <w:pPr>
        <w:spacing w:after="200"/>
        <w:ind w:left="720"/>
        <w:contextualSpacing/>
        <w:rPr>
          <w:rFonts w:asciiTheme="minorHAnsi" w:eastAsiaTheme="minorHAnsi" w:hAnsiTheme="minorHAnsi" w:cstheme="minorBidi"/>
          <w:sz w:val="22"/>
          <w:szCs w:val="22"/>
          <w:lang w:val="ru-RU" w:eastAsia="en-US"/>
        </w:rPr>
      </w:pP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в</w:t>
      </w:r>
      <w:r w:rsidRPr="00E627A6">
        <w:rPr>
          <w:rFonts w:eastAsiaTheme="minorHAnsi"/>
          <w:lang w:val="ru-RU" w:eastAsia="en-US"/>
        </w:rPr>
        <w:t>ідновлення потужностей Дубнівського, Гнідавського та Омелянівського водозаборів</w:t>
      </w:r>
      <w:r w:rsidRPr="00E627A6">
        <w:rPr>
          <w:rFonts w:eastAsiaTheme="minorHAnsi"/>
          <w:lang w:eastAsia="en-US"/>
        </w:rPr>
        <w:t>;</w:t>
      </w:r>
      <w:r w:rsidRPr="00E627A6">
        <w:rPr>
          <w:rFonts w:eastAsiaTheme="minorHAnsi"/>
          <w:lang w:val="ru-RU" w:eastAsia="en-US"/>
        </w:rPr>
        <w:t xml:space="preserve"> </w:t>
      </w: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а</w:t>
      </w:r>
      <w:r w:rsidRPr="00E627A6">
        <w:rPr>
          <w:rFonts w:eastAsiaTheme="minorHAnsi"/>
          <w:lang w:val="ru-RU" w:eastAsia="en-US"/>
        </w:rPr>
        <w:t>втоматизація процесів управління обладнання</w:t>
      </w:r>
      <w:r w:rsidRPr="00E627A6">
        <w:rPr>
          <w:rFonts w:eastAsiaTheme="minorHAnsi"/>
          <w:lang w:eastAsia="en-US"/>
        </w:rPr>
        <w:t>;</w:t>
      </w: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к</w:t>
      </w:r>
      <w:r w:rsidRPr="00E627A6">
        <w:rPr>
          <w:rFonts w:eastAsiaTheme="minorHAnsi"/>
          <w:lang w:val="ru-RU" w:eastAsia="en-US"/>
        </w:rPr>
        <w:t>апітальний ремонт мереж водопостачання та запірно-регулювальної арматури</w:t>
      </w:r>
      <w:r w:rsidRPr="00E627A6">
        <w:rPr>
          <w:rFonts w:eastAsiaTheme="minorHAnsi"/>
          <w:lang w:eastAsia="en-US"/>
        </w:rPr>
        <w:t>;</w:t>
      </w:r>
      <w:r w:rsidRPr="00E627A6">
        <w:rPr>
          <w:rFonts w:eastAsiaTheme="minorHAnsi"/>
          <w:lang w:val="ru-RU" w:eastAsia="en-US"/>
        </w:rPr>
        <w:t xml:space="preserve"> </w:t>
      </w: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б</w:t>
      </w:r>
      <w:r w:rsidRPr="00E627A6">
        <w:rPr>
          <w:rFonts w:eastAsiaTheme="minorHAnsi"/>
          <w:lang w:val="ru-RU" w:eastAsia="en-US"/>
        </w:rPr>
        <w:t xml:space="preserve">удівництво </w:t>
      </w:r>
      <w:r w:rsidRPr="00E627A6">
        <w:rPr>
          <w:rFonts w:eastAsiaTheme="minorHAnsi"/>
          <w:lang w:eastAsia="en-US"/>
        </w:rPr>
        <w:t>каналізаційної насосної станції</w:t>
      </w:r>
      <w:r w:rsidRPr="00E627A6">
        <w:rPr>
          <w:rFonts w:eastAsiaTheme="minorHAnsi"/>
          <w:lang w:val="ru-RU" w:eastAsia="en-US"/>
        </w:rPr>
        <w:t xml:space="preserve"> для перекачування промивних вод Дубнівського водозабору</w:t>
      </w:r>
      <w:r w:rsidRPr="00E627A6">
        <w:rPr>
          <w:rFonts w:eastAsiaTheme="minorHAnsi"/>
          <w:lang w:eastAsia="en-US"/>
        </w:rPr>
        <w:t>;</w:t>
      </w:r>
      <w:r w:rsidRPr="00E627A6">
        <w:rPr>
          <w:rFonts w:eastAsiaTheme="minorHAnsi"/>
          <w:lang w:val="ru-RU" w:eastAsia="en-US"/>
        </w:rPr>
        <w:t xml:space="preserve"> </w:t>
      </w: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в</w:t>
      </w:r>
      <w:r w:rsidRPr="00E627A6">
        <w:rPr>
          <w:rFonts w:eastAsiaTheme="minorHAnsi"/>
          <w:lang w:val="ru-RU" w:eastAsia="en-US"/>
        </w:rPr>
        <w:t xml:space="preserve">становлення системи озонування повітря на </w:t>
      </w:r>
      <w:r w:rsidR="00623D08">
        <w:rPr>
          <w:rFonts w:eastAsiaTheme="minorHAnsi"/>
          <w:lang w:eastAsia="en-US"/>
        </w:rPr>
        <w:t xml:space="preserve">каналізаційній насосній </w:t>
      </w:r>
      <w:r w:rsidRPr="00E627A6">
        <w:rPr>
          <w:rFonts w:eastAsiaTheme="minorHAnsi"/>
          <w:lang w:eastAsia="en-US"/>
        </w:rPr>
        <w:t>станції</w:t>
      </w:r>
      <w:r w:rsidRPr="00E627A6">
        <w:rPr>
          <w:rFonts w:eastAsiaTheme="minorHAnsi"/>
          <w:lang w:val="ru-RU" w:eastAsia="en-US"/>
        </w:rPr>
        <w:t xml:space="preserve"> №</w:t>
      </w:r>
      <w:r w:rsidRPr="00E627A6">
        <w:rPr>
          <w:rFonts w:eastAsiaTheme="minorHAnsi"/>
          <w:lang w:eastAsia="en-US"/>
        </w:rPr>
        <w:t xml:space="preserve"> </w:t>
      </w:r>
      <w:r w:rsidRPr="00E627A6">
        <w:rPr>
          <w:rFonts w:eastAsiaTheme="minorHAnsi"/>
          <w:lang w:val="ru-RU" w:eastAsia="en-US"/>
        </w:rPr>
        <w:t>1</w:t>
      </w:r>
      <w:r w:rsidRPr="00E627A6">
        <w:rPr>
          <w:rFonts w:eastAsiaTheme="minorHAnsi"/>
          <w:lang w:eastAsia="en-US"/>
        </w:rPr>
        <w:t>;</w:t>
      </w:r>
    </w:p>
    <w:p w:rsidR="00E627A6" w:rsidRPr="00E627A6" w:rsidRDefault="00E627A6" w:rsidP="00E627A6">
      <w:pPr>
        <w:numPr>
          <w:ilvl w:val="0"/>
          <w:numId w:val="8"/>
        </w:numPr>
        <w:spacing w:after="200"/>
        <w:contextualSpacing/>
        <w:jc w:val="both"/>
        <w:rPr>
          <w:rFonts w:eastAsiaTheme="minorHAnsi"/>
          <w:lang w:eastAsia="en-US"/>
        </w:rPr>
      </w:pPr>
      <w:r w:rsidRPr="00E627A6">
        <w:rPr>
          <w:rFonts w:eastAsiaTheme="minorHAnsi"/>
          <w:lang w:eastAsia="en-US"/>
        </w:rPr>
        <w:t>к</w:t>
      </w:r>
      <w:r w:rsidRPr="00E627A6">
        <w:rPr>
          <w:rFonts w:eastAsiaTheme="minorHAnsi"/>
          <w:lang w:val="ru-RU" w:eastAsia="en-US"/>
        </w:rPr>
        <w:t>апітальний ремонт мереж водовідведення</w:t>
      </w:r>
      <w:r w:rsidRPr="00E627A6">
        <w:rPr>
          <w:rFonts w:eastAsiaTheme="minorHAnsi"/>
          <w:lang w:eastAsia="en-US"/>
        </w:rPr>
        <w:t>.</w:t>
      </w:r>
    </w:p>
    <w:p w:rsidR="00E627A6" w:rsidRPr="00E627A6" w:rsidRDefault="00E627A6" w:rsidP="00E627A6">
      <w:pPr>
        <w:ind w:left="720"/>
        <w:contextualSpacing/>
        <w:jc w:val="both"/>
        <w:rPr>
          <w:rFonts w:eastAsiaTheme="minorHAnsi"/>
          <w:lang w:eastAsia="en-US"/>
        </w:rPr>
      </w:pPr>
    </w:p>
    <w:p w:rsidR="00E627A6" w:rsidRPr="00E627A6" w:rsidRDefault="00E627A6" w:rsidP="00E627A6">
      <w:pPr>
        <w:numPr>
          <w:ilvl w:val="0"/>
          <w:numId w:val="2"/>
        </w:numPr>
        <w:spacing w:after="200"/>
        <w:jc w:val="both"/>
      </w:pPr>
      <w:r w:rsidRPr="00E627A6">
        <w:rPr>
          <w:lang w:val="ru-RU"/>
        </w:rPr>
        <w:t xml:space="preserve">КП «Луцькводоканал» здійснює надання послуг централізованого водопостачання та водовідведення відповідно </w:t>
      </w:r>
      <w:proofErr w:type="gramStart"/>
      <w:r w:rsidRPr="00E627A6">
        <w:rPr>
          <w:lang w:val="ru-RU"/>
        </w:rPr>
        <w:t>до</w:t>
      </w:r>
      <w:proofErr w:type="gramEnd"/>
      <w:r w:rsidRPr="00E627A6">
        <w:rPr>
          <w:lang w:val="ru-RU"/>
        </w:rPr>
        <w:t xml:space="preserve"> тарифів, затверджених постановою НКРЕКП від 16.06.2016  №</w:t>
      </w:r>
      <w:r w:rsidRPr="00E627A6">
        <w:t xml:space="preserve"> </w:t>
      </w:r>
      <w:r w:rsidR="00623D08">
        <w:rPr>
          <w:lang w:val="ru-RU"/>
        </w:rPr>
        <w:t>1141. У структурі чинн</w:t>
      </w:r>
      <w:r w:rsidRPr="00E627A6">
        <w:rPr>
          <w:lang w:val="ru-RU"/>
        </w:rPr>
        <w:t>их тарифів на централізоване водопостачання та водовідведення, затверджених  для КП «Луцькводоканал»</w:t>
      </w:r>
      <w:r w:rsidR="00623D08">
        <w:rPr>
          <w:lang w:val="ru-RU"/>
        </w:rPr>
        <w:t>,</w:t>
      </w:r>
      <w:r w:rsidRPr="00E627A6">
        <w:rPr>
          <w:lang w:val="ru-RU"/>
        </w:rPr>
        <w:t xml:space="preserve"> не передбачено отримання прибутку від надання послуг, що</w:t>
      </w:r>
      <w:r w:rsidRPr="00E627A6">
        <w:t xml:space="preserve">, за інформацією Надавача, </w:t>
      </w:r>
      <w:r w:rsidRPr="00E627A6">
        <w:rPr>
          <w:lang w:val="ru-RU"/>
        </w:rPr>
        <w:t xml:space="preserve">позбавляє </w:t>
      </w:r>
      <w:proofErr w:type="gramStart"/>
      <w:r w:rsidRPr="00E627A6">
        <w:rPr>
          <w:lang w:val="ru-RU"/>
        </w:rPr>
        <w:t>П</w:t>
      </w:r>
      <w:proofErr w:type="gramEnd"/>
      <w:r w:rsidRPr="00E627A6">
        <w:rPr>
          <w:lang w:val="ru-RU"/>
        </w:rPr>
        <w:t xml:space="preserve">ідприємство </w:t>
      </w:r>
      <w:r w:rsidRPr="00E627A6">
        <w:rPr>
          <w:lang w:val="ru-RU"/>
        </w:rPr>
        <w:lastRenderedPageBreak/>
        <w:t>можливості</w:t>
      </w:r>
      <w:r w:rsidR="00623D08">
        <w:rPr>
          <w:lang w:val="ru-RU"/>
        </w:rPr>
        <w:t xml:space="preserve"> здійснити заходи, передбачені в</w:t>
      </w:r>
      <w:r w:rsidRPr="00E627A6">
        <w:rPr>
          <w:lang w:val="ru-RU"/>
        </w:rPr>
        <w:t xml:space="preserve"> Програмі</w:t>
      </w:r>
      <w:r w:rsidR="00623D08">
        <w:rPr>
          <w:lang w:val="ru-RU"/>
        </w:rPr>
        <w:t>,</w:t>
      </w:r>
      <w:r w:rsidRPr="00E627A6">
        <w:rPr>
          <w:lang w:val="ru-RU"/>
        </w:rPr>
        <w:t xml:space="preserve"> за власні кошти, тобто без залучення місцевих ресурсів. Крім того, враховуючи співвідношення обсягу послуг централізованого водопостачання та водовідведення із загальним обсягом послуг – </w:t>
      </w:r>
      <w:r w:rsidR="00623D08">
        <w:rPr>
          <w:lang w:val="ru-RU"/>
        </w:rPr>
        <w:t xml:space="preserve">              </w:t>
      </w:r>
      <w:r w:rsidRPr="00E627A6">
        <w:rPr>
          <w:lang w:val="ru-RU"/>
        </w:rPr>
        <w:t>99,6</w:t>
      </w:r>
      <w:r w:rsidR="00623D08">
        <w:rPr>
          <w:lang w:val="ru-RU"/>
        </w:rPr>
        <w:t xml:space="preserve"> </w:t>
      </w:r>
      <w:r w:rsidRPr="00E627A6">
        <w:rPr>
          <w:lang w:val="ru-RU"/>
        </w:rPr>
        <w:t xml:space="preserve">%, у </w:t>
      </w:r>
      <w:proofErr w:type="gramStart"/>
      <w:r w:rsidRPr="00E627A6">
        <w:rPr>
          <w:lang w:val="ru-RU"/>
        </w:rPr>
        <w:t>П</w:t>
      </w:r>
      <w:proofErr w:type="gramEnd"/>
      <w:r w:rsidRPr="00E627A6">
        <w:rPr>
          <w:lang w:val="ru-RU"/>
        </w:rPr>
        <w:t>ідприємства відсутня можливість накопичити значні кошти для виконання заходів, передбачених у Програмі, за рахунок надання інших послуг.</w:t>
      </w:r>
    </w:p>
    <w:p w:rsidR="00E627A6" w:rsidRPr="00E627A6" w:rsidRDefault="00E627A6" w:rsidP="00E627A6">
      <w:pPr>
        <w:ind w:left="360"/>
        <w:jc w:val="both"/>
      </w:pPr>
    </w:p>
    <w:p w:rsidR="00E627A6" w:rsidRPr="00E627A6" w:rsidRDefault="00E627A6" w:rsidP="00E627A6">
      <w:pPr>
        <w:numPr>
          <w:ilvl w:val="0"/>
          <w:numId w:val="2"/>
        </w:numPr>
        <w:spacing w:after="200"/>
        <w:jc w:val="both"/>
      </w:pPr>
      <w:r w:rsidRPr="00E627A6">
        <w:t>У Листі Надавач зазначає, що з</w:t>
      </w:r>
      <w:r w:rsidRPr="00E627A6">
        <w:rPr>
          <w:lang w:val="ru-RU"/>
        </w:rPr>
        <w:t>а результатами аналізу інформації щодо обсягів надання послуг централізованого водопостачання та водовід</w:t>
      </w:r>
      <w:r w:rsidR="00623D08">
        <w:rPr>
          <w:lang w:val="ru-RU"/>
        </w:rPr>
        <w:t>ведення та оплати споживачами наданих послуг</w:t>
      </w:r>
      <w:r w:rsidRPr="00E627A6">
        <w:rPr>
          <w:lang w:val="ru-RU"/>
        </w:rPr>
        <w:t xml:space="preserve"> у 2019 році (нараховано</w:t>
      </w:r>
      <w:r w:rsidR="00623D08">
        <w:rPr>
          <w:lang w:val="ru-RU"/>
        </w:rPr>
        <w:t xml:space="preserve"> </w:t>
      </w:r>
      <w:r w:rsidRPr="00E627A6">
        <w:rPr>
          <w:lang w:val="ru-RU"/>
        </w:rPr>
        <w:t>/</w:t>
      </w:r>
      <w:r w:rsidR="00623D08">
        <w:rPr>
          <w:lang w:val="ru-RU"/>
        </w:rPr>
        <w:t xml:space="preserve"> </w:t>
      </w:r>
      <w:r w:rsidRPr="00E627A6">
        <w:rPr>
          <w:lang w:val="ru-RU"/>
        </w:rPr>
        <w:t>оплачено)</w:t>
      </w:r>
      <w:r w:rsidR="00623D08">
        <w:rPr>
          <w:lang w:val="ru-RU"/>
        </w:rPr>
        <w:t>,</w:t>
      </w:r>
      <w:r w:rsidRPr="00E627A6">
        <w:rPr>
          <w:lang w:val="ru-RU"/>
        </w:rPr>
        <w:t xml:space="preserve"> у Підприємства утворилась заборгованість за спожиту електричну енергію. Згідно з довідкою КП «Луцькводоканал»</w:t>
      </w:r>
      <w:r w:rsidR="00623D08">
        <w:rPr>
          <w:lang w:val="ru-RU"/>
        </w:rPr>
        <w:t>,</w:t>
      </w:r>
      <w:r w:rsidRPr="00E627A6">
        <w:rPr>
          <w:lang w:val="ru-RU"/>
        </w:rPr>
        <w:t xml:space="preserve"> у 2019 році</w:t>
      </w:r>
      <w:r w:rsidR="00623D08">
        <w:rPr>
          <w:lang w:val="ru-RU"/>
        </w:rPr>
        <w:t xml:space="preserve"> споживачам було надано послуг у</w:t>
      </w:r>
      <w:r w:rsidRPr="00E627A6">
        <w:rPr>
          <w:lang w:val="ru-RU"/>
        </w:rPr>
        <w:t xml:space="preserve"> загальному</w:t>
      </w:r>
      <w:r w:rsidR="00623D08">
        <w:rPr>
          <w:lang w:val="ru-RU"/>
        </w:rPr>
        <w:t xml:space="preserve"> обсязі</w:t>
      </w:r>
      <w:r w:rsidRPr="00E627A6">
        <w:rPr>
          <w:lang w:val="ru-RU"/>
        </w:rPr>
        <w:t xml:space="preserve"> на 156 448 тис</w:t>
      </w:r>
      <w:proofErr w:type="gramStart"/>
      <w:r w:rsidRPr="00E627A6">
        <w:rPr>
          <w:lang w:val="ru-RU"/>
        </w:rPr>
        <w:t>.</w:t>
      </w:r>
      <w:proofErr w:type="gramEnd"/>
      <w:r w:rsidRPr="00E627A6">
        <w:t xml:space="preserve"> </w:t>
      </w:r>
      <w:proofErr w:type="gramStart"/>
      <w:r w:rsidRPr="00E627A6">
        <w:rPr>
          <w:lang w:val="ru-RU"/>
        </w:rPr>
        <w:t>г</w:t>
      </w:r>
      <w:proofErr w:type="gramEnd"/>
      <w:r w:rsidRPr="00E627A6">
        <w:rPr>
          <w:lang w:val="ru-RU"/>
        </w:rPr>
        <w:t>рн, тоді як оплачено 151 981 тис.</w:t>
      </w:r>
      <w:r w:rsidRPr="00E627A6">
        <w:t xml:space="preserve"> </w:t>
      </w:r>
      <w:r w:rsidR="00623D08">
        <w:rPr>
          <w:lang w:val="ru-RU"/>
        </w:rPr>
        <w:t>грн. У</w:t>
      </w:r>
      <w:r w:rsidRPr="00E627A6">
        <w:rPr>
          <w:lang w:val="ru-RU"/>
        </w:rPr>
        <w:t xml:space="preserve"> </w:t>
      </w:r>
      <w:proofErr w:type="gramStart"/>
      <w:r w:rsidRPr="00E627A6">
        <w:rPr>
          <w:lang w:val="ru-RU"/>
        </w:rPr>
        <w:t>свою</w:t>
      </w:r>
      <w:proofErr w:type="gramEnd"/>
      <w:r w:rsidRPr="00E627A6">
        <w:rPr>
          <w:lang w:val="ru-RU"/>
        </w:rPr>
        <w:t xml:space="preserve"> чергу, Порядком при формуванні тарифів на нови</w:t>
      </w:r>
      <w:r w:rsidR="00623D08">
        <w:rPr>
          <w:lang w:val="ru-RU"/>
        </w:rPr>
        <w:t>й період не передбачається право</w:t>
      </w:r>
      <w:r w:rsidRPr="00E627A6">
        <w:rPr>
          <w:lang w:val="ru-RU"/>
        </w:rPr>
        <w:t xml:space="preserve"> на погашення будь-якої кредиторськ</w:t>
      </w:r>
      <w:r w:rsidR="00623D08">
        <w:rPr>
          <w:lang w:val="ru-RU"/>
        </w:rPr>
        <w:t>ої заборгованості, у</w:t>
      </w:r>
      <w:r w:rsidRPr="00E627A6">
        <w:rPr>
          <w:lang w:val="ru-RU"/>
        </w:rPr>
        <w:t xml:space="preserve"> т.</w:t>
      </w:r>
      <w:r w:rsidR="00623D08">
        <w:rPr>
          <w:lang w:val="ru-RU"/>
        </w:rPr>
        <w:t xml:space="preserve"> </w:t>
      </w:r>
      <w:r w:rsidRPr="00E627A6">
        <w:rPr>
          <w:lang w:val="ru-RU"/>
        </w:rPr>
        <w:t>ч.</w:t>
      </w:r>
      <w:r w:rsidR="00623D08">
        <w:rPr>
          <w:lang w:val="ru-RU"/>
        </w:rPr>
        <w:t xml:space="preserve"> заборгованості, що утворилась у</w:t>
      </w:r>
      <w:r w:rsidRPr="00E627A6">
        <w:rPr>
          <w:lang w:val="ru-RU"/>
        </w:rPr>
        <w:t xml:space="preserve"> попередні періоди при наданні послуг водопостачання та водовідведення. Відповідно внаслідок заборгованості споживачів за надані послуги та відсутності вільних обігових коштів </w:t>
      </w:r>
      <w:proofErr w:type="gramStart"/>
      <w:r w:rsidRPr="00E627A6">
        <w:rPr>
          <w:lang w:val="ru-RU"/>
        </w:rPr>
        <w:t>П</w:t>
      </w:r>
      <w:proofErr w:type="gramEnd"/>
      <w:r w:rsidRPr="00E627A6">
        <w:rPr>
          <w:lang w:val="ru-RU"/>
        </w:rPr>
        <w:t>ідприємство потребує державно</w:t>
      </w:r>
      <w:r w:rsidR="00623D08">
        <w:rPr>
          <w:lang w:val="ru-RU"/>
        </w:rPr>
        <w:t>ї підтримки для надання послуг у</w:t>
      </w:r>
      <w:r w:rsidRPr="00E627A6">
        <w:rPr>
          <w:lang w:val="ru-RU"/>
        </w:rPr>
        <w:t xml:space="preserve"> частині оплати заборгованості за електричну енергію, що утворилась у 2019 році.</w:t>
      </w:r>
    </w:p>
    <w:p w:rsidR="00E627A6" w:rsidRPr="00E627A6" w:rsidRDefault="00E627A6" w:rsidP="00E627A6">
      <w:pPr>
        <w:numPr>
          <w:ilvl w:val="0"/>
          <w:numId w:val="2"/>
        </w:numPr>
        <w:spacing w:after="200"/>
        <w:jc w:val="both"/>
      </w:pPr>
      <w:r w:rsidRPr="00E627A6">
        <w:rPr>
          <w:lang w:eastAsia="ru-RU"/>
        </w:rPr>
        <w:t xml:space="preserve">КП «Луцькводоканал» здійснює закупівлю електричної енергії згідно з Договором про постачання електричної енергії від 20.10.2019 № 1, укладеним </w:t>
      </w:r>
      <w:r w:rsidR="00623D08">
        <w:rPr>
          <w:lang w:eastAsia="ru-RU"/>
        </w:rPr>
        <w:t>і</w:t>
      </w:r>
      <w:r w:rsidRPr="00E627A6">
        <w:rPr>
          <w:lang w:eastAsia="ru-RU"/>
        </w:rPr>
        <w:t xml:space="preserve">з Дочірнім підприємством «ЕВОДА Трейд». </w:t>
      </w:r>
      <w:r w:rsidRPr="00E627A6">
        <w:rPr>
          <w:lang w:val="ru-RU" w:eastAsia="ru-RU"/>
        </w:rPr>
        <w:t>Згідно з договоро</w:t>
      </w:r>
      <w:r w:rsidR="00623D08">
        <w:rPr>
          <w:lang w:val="ru-RU" w:eastAsia="ru-RU"/>
        </w:rPr>
        <w:t>м КП «Луцькводоканал» здійснювало</w:t>
      </w:r>
      <w:r w:rsidRPr="00E627A6">
        <w:rPr>
          <w:lang w:val="ru-RU" w:eastAsia="ru-RU"/>
        </w:rPr>
        <w:t xml:space="preserve"> авансову оплату за постачання електричної енергії (60</w:t>
      </w:r>
      <w:r w:rsidR="00623D08">
        <w:rPr>
          <w:lang w:val="ru-RU" w:eastAsia="ru-RU"/>
        </w:rPr>
        <w:t xml:space="preserve"> </w:t>
      </w:r>
      <w:r w:rsidRPr="00E627A6">
        <w:rPr>
          <w:lang w:val="ru-RU" w:eastAsia="ru-RU"/>
        </w:rPr>
        <w:t xml:space="preserve">% вартості електричної енергії, що повинна </w:t>
      </w:r>
      <w:proofErr w:type="gramStart"/>
      <w:r w:rsidRPr="00E627A6">
        <w:rPr>
          <w:lang w:val="ru-RU" w:eastAsia="ru-RU"/>
        </w:rPr>
        <w:t>бути</w:t>
      </w:r>
      <w:proofErr w:type="gramEnd"/>
      <w:r w:rsidRPr="00E627A6">
        <w:rPr>
          <w:lang w:val="ru-RU" w:eastAsia="ru-RU"/>
        </w:rPr>
        <w:t xml:space="preserve"> поставлена в наступному розрахунковому місяці)</w:t>
      </w:r>
      <w:r w:rsidRPr="00E627A6">
        <w:rPr>
          <w:lang w:eastAsia="ru-RU"/>
        </w:rPr>
        <w:t>.</w:t>
      </w:r>
      <w:r w:rsidRPr="00E627A6">
        <w:rPr>
          <w:lang w:val="ru-RU" w:eastAsia="ru-RU"/>
        </w:rPr>
        <w:t xml:space="preserve"> Водноча</w:t>
      </w:r>
      <w:r w:rsidR="00623D08">
        <w:rPr>
          <w:lang w:val="ru-RU" w:eastAsia="ru-RU"/>
        </w:rPr>
        <w:t>с НКРЕКП, при затвердженні чинни</w:t>
      </w:r>
      <w:r w:rsidRPr="00E627A6">
        <w:rPr>
          <w:lang w:val="ru-RU" w:eastAsia="ru-RU"/>
        </w:rPr>
        <w:t>х тарифів на послуги водопостачання та водовідведення не передбачила у структурі тарифів на централізоване водопостачання та водовідведення обігових коштів для здійснення авансових платежів за електричну енергію в розмі</w:t>
      </w:r>
      <w:proofErr w:type="gramStart"/>
      <w:r w:rsidRPr="00E627A6">
        <w:rPr>
          <w:lang w:val="ru-RU" w:eastAsia="ru-RU"/>
        </w:rPr>
        <w:t>р</w:t>
      </w:r>
      <w:proofErr w:type="gramEnd"/>
      <w:r w:rsidRPr="00E627A6">
        <w:rPr>
          <w:lang w:val="ru-RU" w:eastAsia="ru-RU"/>
        </w:rPr>
        <w:t>і</w:t>
      </w:r>
      <w:r w:rsidR="00623D08">
        <w:rPr>
          <w:lang w:val="ru-RU" w:eastAsia="ru-RU"/>
        </w:rPr>
        <w:t>, не більше</w:t>
      </w:r>
      <w:r w:rsidRPr="00E627A6">
        <w:rPr>
          <w:lang w:val="ru-RU" w:eastAsia="ru-RU"/>
        </w:rPr>
        <w:t xml:space="preserve"> 1 % від повної планованої собівартості. </w:t>
      </w:r>
    </w:p>
    <w:p w:rsidR="00E627A6" w:rsidRPr="00E627A6" w:rsidRDefault="00E627A6" w:rsidP="00E627A6">
      <w:pPr>
        <w:numPr>
          <w:ilvl w:val="0"/>
          <w:numId w:val="2"/>
        </w:numPr>
        <w:spacing w:after="200"/>
        <w:jc w:val="both"/>
      </w:pPr>
      <w:r w:rsidRPr="00E627A6">
        <w:rPr>
          <w:lang w:eastAsia="ru-RU"/>
        </w:rPr>
        <w:t>При визначенні розміру допомоги (орієнтовного обсягу фінансування) щодо кожного заходу Програми підтримки здійснювався аналіз типових витрат, які можуть бути понесені  суб’єктами господарювання, які змогли  б надавати такі послуги.</w:t>
      </w:r>
    </w:p>
    <w:p w:rsidR="00E627A6" w:rsidRPr="00E627A6" w:rsidRDefault="00E627A6" w:rsidP="00E627A6">
      <w:pPr>
        <w:numPr>
          <w:ilvl w:val="0"/>
          <w:numId w:val="2"/>
        </w:numPr>
        <w:shd w:val="clear" w:color="auto" w:fill="FFFFFF"/>
        <w:spacing w:after="200"/>
        <w:contextualSpacing/>
        <w:jc w:val="both"/>
        <w:rPr>
          <w:color w:val="000000" w:themeColor="text1"/>
          <w:lang w:val="ru-RU" w:eastAsia="en-US"/>
        </w:rPr>
      </w:pPr>
      <w:r w:rsidRPr="00E627A6">
        <w:rPr>
          <w:color w:val="000000" w:themeColor="text1"/>
          <w:lang w:eastAsia="en-US"/>
        </w:rPr>
        <w:t xml:space="preserve">Надавачем надано копію витягу з наказу КП «Луцькводоканал» від 26.12.2018 </w:t>
      </w:r>
      <w:r w:rsidR="00623D08">
        <w:rPr>
          <w:color w:val="000000" w:themeColor="text1"/>
          <w:lang w:eastAsia="en-US"/>
        </w:rPr>
        <w:t xml:space="preserve">                    </w:t>
      </w:r>
      <w:r w:rsidRPr="00E627A6">
        <w:rPr>
          <w:color w:val="000000" w:themeColor="text1"/>
          <w:lang w:eastAsia="en-US"/>
        </w:rPr>
        <w:t xml:space="preserve">№ 150/3-05 «Про облікову політику КП «Луцькводоканал» та організацію бухгалтерського і податкового обліку». </w:t>
      </w:r>
      <w:r w:rsidRPr="00E627A6">
        <w:rPr>
          <w:color w:val="000000" w:themeColor="text1"/>
          <w:lang w:val="ru-RU" w:eastAsia="en-US"/>
        </w:rPr>
        <w:t xml:space="preserve">Додатками 14 та 15 </w:t>
      </w:r>
      <w:r w:rsidR="00623D08">
        <w:rPr>
          <w:color w:val="000000" w:themeColor="text1"/>
          <w:lang w:val="ru-RU" w:eastAsia="en-US"/>
        </w:rPr>
        <w:t xml:space="preserve">до </w:t>
      </w:r>
      <w:r w:rsidRPr="00E627A6">
        <w:rPr>
          <w:color w:val="000000" w:themeColor="text1"/>
          <w:lang w:val="ru-RU" w:eastAsia="en-US"/>
        </w:rPr>
        <w:t xml:space="preserve">наказу про </w:t>
      </w:r>
      <w:proofErr w:type="gramStart"/>
      <w:r w:rsidRPr="00E627A6">
        <w:rPr>
          <w:color w:val="000000" w:themeColor="text1"/>
          <w:lang w:val="ru-RU" w:eastAsia="en-US"/>
        </w:rPr>
        <w:t>обл</w:t>
      </w:r>
      <w:proofErr w:type="gramEnd"/>
      <w:r w:rsidRPr="00E627A6">
        <w:rPr>
          <w:color w:val="000000" w:themeColor="text1"/>
          <w:lang w:val="ru-RU" w:eastAsia="en-US"/>
        </w:rPr>
        <w:t>ікову політику передбачено ведення окремого обліку доходів та витрат за окремими видами діяльності.</w:t>
      </w:r>
      <w:r w:rsidRPr="00E627A6">
        <w:rPr>
          <w:color w:val="000000" w:themeColor="text1"/>
          <w:lang w:eastAsia="en-US"/>
        </w:rPr>
        <w:t xml:space="preserve"> Разом </w:t>
      </w:r>
      <w:r w:rsidR="00623D08">
        <w:rPr>
          <w:color w:val="000000" w:themeColor="text1"/>
          <w:lang w:eastAsia="en-US"/>
        </w:rPr>
        <w:t>із тим</w:t>
      </w:r>
      <w:r w:rsidRPr="00E627A6">
        <w:rPr>
          <w:color w:val="000000" w:themeColor="text1"/>
          <w:lang w:eastAsia="en-US"/>
        </w:rPr>
        <w:t xml:space="preserve"> на </w:t>
      </w:r>
      <w:r w:rsidRPr="00E627A6">
        <w:rPr>
          <w:color w:val="000000" w:themeColor="text1"/>
          <w:lang w:val="ru-RU" w:eastAsia="en-US"/>
        </w:rPr>
        <w:t xml:space="preserve">Підприємстві витрати на оплату праці розподіляються за різними кореспондуючими рахунками  </w:t>
      </w:r>
      <w:r w:rsidRPr="00E627A6">
        <w:rPr>
          <w:color w:val="000000" w:themeColor="text1"/>
          <w:lang w:eastAsia="en-US"/>
        </w:rPr>
        <w:t>–</w:t>
      </w:r>
      <w:r w:rsidRPr="00E627A6">
        <w:rPr>
          <w:color w:val="000000" w:themeColor="text1"/>
          <w:lang w:val="ru-RU" w:eastAsia="en-US"/>
        </w:rPr>
        <w:t xml:space="preserve"> від надання основної діяльності, від надання інших платних послуг.</w:t>
      </w:r>
      <w:r w:rsidRPr="00E627A6">
        <w:rPr>
          <w:color w:val="000000" w:themeColor="text1"/>
          <w:lang w:eastAsia="en-US"/>
        </w:rPr>
        <w:t xml:space="preserve"> При укладенні договорів Підприємством на закупівлю товарів / послуг, джерелом  розрахунків яких є повністю або частково к</w:t>
      </w:r>
      <w:r w:rsidR="00623D08">
        <w:rPr>
          <w:color w:val="000000" w:themeColor="text1"/>
          <w:lang w:eastAsia="en-US"/>
        </w:rPr>
        <w:t>ошти місцевого бюджету, зазначаю</w:t>
      </w:r>
      <w:r w:rsidRPr="00E627A6">
        <w:rPr>
          <w:color w:val="000000" w:themeColor="text1"/>
          <w:lang w:eastAsia="en-US"/>
        </w:rPr>
        <w:t xml:space="preserve">ться окремо умови розрахунків. </w:t>
      </w:r>
      <w:r w:rsidRPr="00E627A6">
        <w:rPr>
          <w:color w:val="000000" w:themeColor="text1"/>
          <w:lang w:val="ru-RU" w:eastAsia="en-US"/>
        </w:rPr>
        <w:t>Крім того, з</w:t>
      </w:r>
      <w:r w:rsidR="00623D08">
        <w:rPr>
          <w:color w:val="000000" w:themeColor="text1"/>
          <w:lang w:val="ru-RU" w:eastAsia="en-US"/>
        </w:rPr>
        <w:t>азначені договори реєструються в обов</w:t>
      </w:r>
      <w:r w:rsidR="00623D08" w:rsidRPr="00623D08">
        <w:rPr>
          <w:color w:val="000000" w:themeColor="text1"/>
          <w:lang w:val="ru-RU" w:eastAsia="en-US"/>
        </w:rPr>
        <w:t>’</w:t>
      </w:r>
      <w:r w:rsidR="00623D08">
        <w:rPr>
          <w:color w:val="000000" w:themeColor="text1"/>
          <w:lang w:val="ru-RU" w:eastAsia="en-US"/>
        </w:rPr>
        <w:t>язковому порядку в</w:t>
      </w:r>
      <w:r w:rsidRPr="00E627A6">
        <w:rPr>
          <w:color w:val="000000" w:themeColor="text1"/>
          <w:lang w:val="ru-RU" w:eastAsia="en-US"/>
        </w:rPr>
        <w:t xml:space="preserve"> Головному управлінн</w:t>
      </w:r>
      <w:proofErr w:type="gramStart"/>
      <w:r w:rsidRPr="00E627A6">
        <w:rPr>
          <w:color w:val="000000" w:themeColor="text1"/>
          <w:lang w:val="ru-RU" w:eastAsia="en-US"/>
        </w:rPr>
        <w:t xml:space="preserve">і </w:t>
      </w:r>
      <w:r w:rsidRPr="00E627A6">
        <w:rPr>
          <w:color w:val="000000" w:themeColor="text1"/>
          <w:lang w:eastAsia="en-US"/>
        </w:rPr>
        <w:t>Д</w:t>
      </w:r>
      <w:proofErr w:type="gramEnd"/>
      <w:r w:rsidRPr="00E627A6">
        <w:rPr>
          <w:color w:val="000000" w:themeColor="text1"/>
          <w:lang w:eastAsia="en-US"/>
        </w:rPr>
        <w:t>ержавної казначейської служби України</w:t>
      </w:r>
      <w:r w:rsidRPr="00E627A6">
        <w:rPr>
          <w:color w:val="000000" w:themeColor="text1"/>
          <w:lang w:val="ru-RU" w:eastAsia="en-US"/>
        </w:rPr>
        <w:t xml:space="preserve"> у Волинській області.</w:t>
      </w:r>
    </w:p>
    <w:p w:rsidR="00E627A6" w:rsidRPr="00E627A6" w:rsidRDefault="00E627A6" w:rsidP="00E627A6">
      <w:pPr>
        <w:ind w:left="360"/>
        <w:jc w:val="both"/>
      </w:pPr>
    </w:p>
    <w:p w:rsidR="00E627A6" w:rsidRPr="00E627A6" w:rsidRDefault="00E627A6" w:rsidP="00E627A6">
      <w:pPr>
        <w:numPr>
          <w:ilvl w:val="0"/>
          <w:numId w:val="4"/>
        </w:numPr>
        <w:spacing w:after="200"/>
        <w:jc w:val="both"/>
        <w:rPr>
          <w:b/>
          <w:bCs/>
          <w:color w:val="000000"/>
        </w:rPr>
      </w:pPr>
      <w:r w:rsidRPr="00E627A6">
        <w:rPr>
          <w:b/>
          <w:bCs/>
          <w:color w:val="000000"/>
        </w:rPr>
        <w:t>НОРМАТИВНО-ПРАВОВЕ РЕГУЛЮВАННЯ</w:t>
      </w:r>
    </w:p>
    <w:p w:rsidR="00E627A6" w:rsidRPr="00E627A6" w:rsidRDefault="00E627A6" w:rsidP="00E627A6">
      <w:pPr>
        <w:numPr>
          <w:ilvl w:val="1"/>
          <w:numId w:val="4"/>
        </w:numPr>
        <w:spacing w:after="200"/>
        <w:ind w:left="426" w:hanging="426"/>
        <w:jc w:val="both"/>
        <w:rPr>
          <w:b/>
          <w:bCs/>
          <w:color w:val="000000"/>
        </w:rPr>
      </w:pPr>
      <w:r w:rsidRPr="00E627A6">
        <w:rPr>
          <w:b/>
          <w:bCs/>
          <w:color w:val="000000"/>
        </w:rPr>
        <w:t>Ознаки державної допомоги</w:t>
      </w:r>
    </w:p>
    <w:p w:rsidR="00E627A6" w:rsidRPr="00E627A6" w:rsidRDefault="00E627A6" w:rsidP="00E627A6">
      <w:pPr>
        <w:numPr>
          <w:ilvl w:val="0"/>
          <w:numId w:val="2"/>
        </w:numPr>
        <w:tabs>
          <w:tab w:val="num" w:pos="360"/>
        </w:tabs>
        <w:spacing w:after="200"/>
        <w:ind w:left="426" w:hanging="426"/>
        <w:jc w:val="both"/>
      </w:pPr>
      <w:r w:rsidRPr="00E627A6">
        <w:t xml:space="preserve">Відповідно до пункту 1 частини першої статті 1 Закону </w:t>
      </w:r>
      <w:r w:rsidR="00623D08">
        <w:t xml:space="preserve">України </w:t>
      </w:r>
      <w:r w:rsidRPr="00E627A6">
        <w:rPr>
          <w:color w:val="000000"/>
          <w:lang w:eastAsia="ru-RU"/>
        </w:rPr>
        <w:t xml:space="preserve">«Про державну допомогу суб’єктам господарювання» </w:t>
      </w:r>
      <w:r w:rsidRPr="00E627A6">
        <w:t>(далі – Закон)</w:t>
      </w:r>
      <w:r w:rsidRPr="00E627A6">
        <w:rPr>
          <w:color w:val="000000"/>
          <w:lang w:eastAsia="ru-RU"/>
        </w:rPr>
        <w:t xml:space="preserve"> </w:t>
      </w:r>
      <w:r w:rsidRPr="00E627A6">
        <w:t xml:space="preserve">державна допомога суб’єктам господарювання (далі – державна допомога) – підтримка у будь-якій формі суб’єктів </w:t>
      </w:r>
      <w:r w:rsidRPr="00E627A6">
        <w:lastRenderedPageBreak/>
        <w:t>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627A6" w:rsidRPr="00E627A6" w:rsidRDefault="00E627A6" w:rsidP="00E627A6">
      <w:pPr>
        <w:numPr>
          <w:ilvl w:val="0"/>
          <w:numId w:val="2"/>
        </w:numPr>
        <w:tabs>
          <w:tab w:val="num" w:pos="360"/>
        </w:tabs>
        <w:spacing w:after="200"/>
        <w:ind w:left="426" w:hanging="426"/>
        <w:jc w:val="both"/>
      </w:pPr>
      <w:r w:rsidRPr="00E627A6">
        <w:t>Отже, державна підтримка є державною допомогою, якщо одночасно виконуються такі умови:</w:t>
      </w:r>
    </w:p>
    <w:p w:rsidR="00E627A6" w:rsidRPr="00E627A6" w:rsidRDefault="00E627A6" w:rsidP="00B9313F">
      <w:pPr>
        <w:numPr>
          <w:ilvl w:val="0"/>
          <w:numId w:val="5"/>
        </w:numPr>
        <w:jc w:val="both"/>
      </w:pPr>
      <w:r w:rsidRPr="00E627A6">
        <w:t>підтримка надається суб’єкту господарювання;</w:t>
      </w:r>
    </w:p>
    <w:p w:rsidR="00E627A6" w:rsidRPr="00E627A6" w:rsidRDefault="00E627A6" w:rsidP="00B9313F">
      <w:pPr>
        <w:numPr>
          <w:ilvl w:val="0"/>
          <w:numId w:val="5"/>
        </w:numPr>
        <w:jc w:val="both"/>
      </w:pPr>
      <w:r w:rsidRPr="00E627A6">
        <w:t>державна підтримка здійснюється за рахунок ресурсів держави чи місцевих ресурсів;</w:t>
      </w:r>
    </w:p>
    <w:p w:rsidR="00E627A6" w:rsidRPr="00E627A6" w:rsidRDefault="00E627A6" w:rsidP="00B9313F">
      <w:pPr>
        <w:numPr>
          <w:ilvl w:val="0"/>
          <w:numId w:val="5"/>
        </w:numPr>
        <w:jc w:val="both"/>
      </w:pPr>
      <w:r w:rsidRPr="00E627A6">
        <w:t>підтримка створює переваги для виробництва окремих видів товарів чи провадження окремих видів господарської діяльності;</w:t>
      </w:r>
    </w:p>
    <w:p w:rsidR="00E627A6" w:rsidRDefault="00E627A6" w:rsidP="00B9313F">
      <w:pPr>
        <w:numPr>
          <w:ilvl w:val="0"/>
          <w:numId w:val="5"/>
        </w:numPr>
        <w:jc w:val="both"/>
      </w:pPr>
      <w:r w:rsidRPr="00E627A6">
        <w:t>підтримка спотворює або загрожує спотворенням економічної конкуренції.</w:t>
      </w:r>
    </w:p>
    <w:p w:rsidR="00B9313F" w:rsidRPr="00E627A6" w:rsidRDefault="00B9313F" w:rsidP="00B9313F">
      <w:pPr>
        <w:ind w:left="360"/>
        <w:jc w:val="both"/>
      </w:pPr>
    </w:p>
    <w:p w:rsidR="00E627A6" w:rsidRPr="00E627A6" w:rsidRDefault="00E627A6" w:rsidP="00E627A6">
      <w:pPr>
        <w:numPr>
          <w:ilvl w:val="0"/>
          <w:numId w:val="2"/>
        </w:numPr>
        <w:spacing w:after="200"/>
        <w:ind w:left="426" w:hanging="426"/>
        <w:contextualSpacing/>
        <w:jc w:val="both"/>
        <w:rPr>
          <w:bCs/>
        </w:rPr>
      </w:pPr>
      <w:r>
        <w:rPr>
          <w:bCs/>
        </w:rPr>
        <w:t>Зг</w:t>
      </w:r>
      <w:r w:rsidRPr="00E627A6">
        <w:rPr>
          <w:bCs/>
        </w:rPr>
        <w:t xml:space="preserve">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E627A6" w:rsidRPr="00E627A6" w:rsidRDefault="00E627A6" w:rsidP="00E627A6">
      <w:pPr>
        <w:ind w:left="426"/>
        <w:contextualSpacing/>
        <w:jc w:val="both"/>
        <w:rPr>
          <w:bCs/>
        </w:rPr>
      </w:pPr>
    </w:p>
    <w:p w:rsidR="00E627A6" w:rsidRPr="00E627A6" w:rsidRDefault="00E627A6" w:rsidP="00E627A6">
      <w:pPr>
        <w:numPr>
          <w:ilvl w:val="0"/>
          <w:numId w:val="2"/>
        </w:numPr>
        <w:tabs>
          <w:tab w:val="num" w:pos="360"/>
        </w:tabs>
        <w:spacing w:after="200"/>
        <w:ind w:left="426" w:hanging="426"/>
        <w:jc w:val="both"/>
        <w:rPr>
          <w:lang w:val="ru-RU" w:eastAsia="ru-RU"/>
        </w:rPr>
      </w:pPr>
      <w:r w:rsidRPr="00E627A6">
        <w:rPr>
          <w:lang w:val="ru-RU" w:eastAsia="ru-RU"/>
        </w:rPr>
        <w:t>Відповідно до частини другої статті 1 Закону терміни «суб’єкт господарювання», «товар», «економічна конкуренці</w:t>
      </w:r>
      <w:r w:rsidRPr="00E627A6">
        <w:rPr>
          <w:lang w:eastAsia="ru-RU"/>
        </w:rPr>
        <w:t>я</w:t>
      </w:r>
      <w:r w:rsidRPr="00E627A6">
        <w:rPr>
          <w:lang w:val="ru-RU" w:eastAsia="ru-RU"/>
        </w:rPr>
        <w:t xml:space="preserve"> (конкуренці</w:t>
      </w:r>
      <w:r w:rsidRPr="00E627A6">
        <w:rPr>
          <w:lang w:eastAsia="ru-RU"/>
        </w:rPr>
        <w:t>я</w:t>
      </w:r>
      <w:r w:rsidRPr="00E627A6">
        <w:rPr>
          <w:lang w:val="ru-RU" w:eastAsia="ru-RU"/>
        </w:rPr>
        <w:t xml:space="preserve">)» вживаються </w:t>
      </w:r>
      <w:proofErr w:type="gramStart"/>
      <w:r w:rsidRPr="00E627A6">
        <w:rPr>
          <w:lang w:val="ru-RU" w:eastAsia="ru-RU"/>
        </w:rPr>
        <w:t>у</w:t>
      </w:r>
      <w:proofErr w:type="gramEnd"/>
      <w:r w:rsidRPr="00E627A6">
        <w:rPr>
          <w:lang w:val="ru-RU" w:eastAsia="ru-RU"/>
        </w:rPr>
        <w:t xml:space="preserve"> Законі у значенні, наведеному в Законі України «Про захист економічної конкуренції».</w:t>
      </w:r>
    </w:p>
    <w:p w:rsidR="00B9313F" w:rsidRPr="00E627A6" w:rsidRDefault="00E627A6" w:rsidP="00B9313F">
      <w:pPr>
        <w:numPr>
          <w:ilvl w:val="1"/>
          <w:numId w:val="4"/>
        </w:numPr>
        <w:spacing w:after="200"/>
        <w:ind w:left="426" w:hanging="426"/>
        <w:jc w:val="both"/>
        <w:rPr>
          <w:b/>
          <w:bCs/>
          <w:lang w:val="ru-RU"/>
        </w:rPr>
      </w:pPr>
      <w:r w:rsidRPr="00E627A6">
        <w:rPr>
          <w:b/>
          <w:bCs/>
          <w:lang w:val="ru-RU"/>
        </w:rPr>
        <w:t xml:space="preserve">Сфера </w:t>
      </w:r>
      <w:r w:rsidRPr="00E627A6">
        <w:rPr>
          <w:b/>
          <w:bCs/>
        </w:rPr>
        <w:t>природної монополії</w:t>
      </w:r>
      <w:r w:rsidRPr="00E627A6">
        <w:rPr>
          <w:b/>
          <w:bCs/>
          <w:lang w:val="ru-RU"/>
        </w:rPr>
        <w:t xml:space="preserve"> </w:t>
      </w:r>
    </w:p>
    <w:p w:rsidR="00E627A6" w:rsidRPr="00E627A6" w:rsidRDefault="00E627A6" w:rsidP="00B9313F">
      <w:pPr>
        <w:numPr>
          <w:ilvl w:val="0"/>
          <w:numId w:val="2"/>
        </w:numPr>
        <w:tabs>
          <w:tab w:val="num" w:pos="360"/>
        </w:tabs>
        <w:spacing w:after="200"/>
        <w:ind w:left="426" w:hanging="426"/>
        <w:jc w:val="both"/>
        <w:rPr>
          <w:lang w:val="ru-RU"/>
        </w:rPr>
      </w:pPr>
      <w:r w:rsidRPr="00E627A6">
        <w:rPr>
          <w:bCs/>
          <w:lang w:val="ru-RU"/>
        </w:rPr>
        <w:t>Згідно</w:t>
      </w:r>
      <w:r w:rsidRPr="00E627A6">
        <w:rPr>
          <w:lang w:val="ru-RU"/>
        </w:rPr>
        <w:t xml:space="preserve"> зі статтею 1 Закону України «Про питну воду, питне водопостачання та водовідведення» водопровідна мережа - система трубопроводі</w:t>
      </w:r>
      <w:proofErr w:type="gramStart"/>
      <w:r w:rsidRPr="00E627A6">
        <w:rPr>
          <w:lang w:val="ru-RU"/>
        </w:rPr>
        <w:t>в</w:t>
      </w:r>
      <w:proofErr w:type="gramEnd"/>
      <w:r w:rsidRPr="00E627A6">
        <w:rPr>
          <w:lang w:val="ru-RU"/>
        </w:rPr>
        <w:t xml:space="preserve">, відповідних споруд та устаткування для розподілу і подачі питної води споживачам. </w:t>
      </w:r>
    </w:p>
    <w:p w:rsidR="00E627A6" w:rsidRPr="00E627A6" w:rsidRDefault="00E627A6" w:rsidP="00B9313F">
      <w:pPr>
        <w:numPr>
          <w:ilvl w:val="0"/>
          <w:numId w:val="2"/>
        </w:numPr>
        <w:tabs>
          <w:tab w:val="num" w:pos="360"/>
        </w:tabs>
        <w:spacing w:after="200"/>
        <w:ind w:left="426" w:hanging="426"/>
        <w:jc w:val="both"/>
        <w:rPr>
          <w:lang w:val="ru-RU"/>
        </w:rPr>
      </w:pPr>
      <w:r w:rsidRPr="00E627A6">
        <w:rPr>
          <w:bCs/>
          <w:lang w:val="ru-RU"/>
        </w:rPr>
        <w:t>Централізоване</w:t>
      </w:r>
      <w:r w:rsidRPr="00E627A6">
        <w:rPr>
          <w:lang w:val="ru-RU"/>
        </w:rPr>
        <w:t xml:space="preserve"> питне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 </w:t>
      </w:r>
    </w:p>
    <w:p w:rsidR="00E627A6" w:rsidRPr="00E627A6" w:rsidRDefault="00E627A6" w:rsidP="00B9313F">
      <w:pPr>
        <w:numPr>
          <w:ilvl w:val="0"/>
          <w:numId w:val="2"/>
        </w:numPr>
        <w:tabs>
          <w:tab w:val="num" w:pos="360"/>
        </w:tabs>
        <w:spacing w:after="200"/>
        <w:ind w:left="426" w:hanging="426"/>
        <w:jc w:val="both"/>
        <w:rPr>
          <w:lang w:val="ru-RU"/>
        </w:rPr>
      </w:pPr>
      <w:r w:rsidRPr="00E627A6">
        <w:rPr>
          <w:bCs/>
          <w:lang w:val="ru-RU"/>
        </w:rPr>
        <w:t>Система</w:t>
      </w:r>
      <w:r w:rsidRPr="00E627A6">
        <w:rPr>
          <w:lang w:val="ru-RU"/>
        </w:rPr>
        <w:t xml:space="preserve"> питного водопостачання - сукупність </w:t>
      </w:r>
      <w:proofErr w:type="gramStart"/>
      <w:r w:rsidRPr="00E627A6">
        <w:rPr>
          <w:lang w:val="ru-RU"/>
        </w:rPr>
        <w:t>техн</w:t>
      </w:r>
      <w:proofErr w:type="gramEnd"/>
      <w:r w:rsidRPr="00E627A6">
        <w:rPr>
          <w:lang w:val="ru-RU"/>
        </w:rPr>
        <w:t xml:space="preserve">ічних засобів, включаючи мережі, споруди, устаткування (пристрої), для централізованого та нецентралізованого питного водопостачання. </w:t>
      </w: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t xml:space="preserve">Система централізованого водовідведення - сукупність </w:t>
      </w:r>
      <w:proofErr w:type="gramStart"/>
      <w:r w:rsidRPr="00E627A6">
        <w:rPr>
          <w:lang w:val="ru-RU"/>
        </w:rPr>
        <w:t>техн</w:t>
      </w:r>
      <w:proofErr w:type="gramEnd"/>
      <w:r w:rsidRPr="00E627A6">
        <w:rPr>
          <w:lang w:val="ru-RU"/>
        </w:rPr>
        <w:t xml:space="preserve">ічних засобів, включаючи </w:t>
      </w:r>
      <w:r w:rsidRPr="00E627A6">
        <w:rPr>
          <w:bCs/>
          <w:lang w:val="ru-RU"/>
        </w:rPr>
        <w:t>мережі</w:t>
      </w:r>
      <w:r w:rsidRPr="00E627A6">
        <w:rPr>
          <w:lang w:val="ru-RU"/>
        </w:rPr>
        <w:t xml:space="preserve">, споруди, устаткування (пристрої), для централізованого відведення та очищення стічних вод, що пов’язані єдиним технологічним процесом. </w:t>
      </w: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t xml:space="preserve">Централізоване водовідведення - господарська діяльність із відведення та очищення </w:t>
      </w:r>
      <w:proofErr w:type="gramStart"/>
      <w:r w:rsidRPr="00E627A6">
        <w:rPr>
          <w:lang w:val="ru-RU"/>
        </w:rPr>
        <w:t>ст</w:t>
      </w:r>
      <w:proofErr w:type="gramEnd"/>
      <w:r w:rsidRPr="00E627A6">
        <w:rPr>
          <w:lang w:val="ru-RU"/>
        </w:rPr>
        <w:t xml:space="preserve">ічних вод за допомогою системи централізованого водовідведення. </w:t>
      </w:r>
    </w:p>
    <w:p w:rsidR="00B9313F" w:rsidRDefault="00E627A6" w:rsidP="00B9313F">
      <w:pPr>
        <w:numPr>
          <w:ilvl w:val="0"/>
          <w:numId w:val="2"/>
        </w:numPr>
        <w:tabs>
          <w:tab w:val="num" w:pos="360"/>
        </w:tabs>
        <w:spacing w:after="200"/>
        <w:ind w:left="426" w:hanging="426"/>
        <w:jc w:val="both"/>
        <w:rPr>
          <w:lang w:val="ru-RU"/>
        </w:rPr>
      </w:pPr>
      <w:r w:rsidRPr="00E627A6">
        <w:rPr>
          <w:lang w:val="ru-RU"/>
        </w:rPr>
        <w:t xml:space="preserve">Згідно з частиною першою статті 1 Закону України «Про природні монополії» природна </w:t>
      </w:r>
      <w:proofErr w:type="gramStart"/>
      <w:r w:rsidRPr="00E627A6">
        <w:rPr>
          <w:bCs/>
          <w:lang w:val="ru-RU"/>
        </w:rPr>
        <w:t>монополія</w:t>
      </w:r>
      <w:proofErr w:type="gramEnd"/>
      <w:r w:rsidRPr="00E627A6">
        <w:rPr>
          <w:lang w:val="ru-RU"/>
        </w:rPr>
        <w:t xml:space="preserve">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w:t>
      </w:r>
      <w:r w:rsidR="00B9313F">
        <w:rPr>
          <w:lang w:val="ru-RU"/>
        </w:rPr>
        <w:t xml:space="preserve">попит </w:t>
      </w:r>
      <w:proofErr w:type="gramStart"/>
      <w:r w:rsidR="00B9313F">
        <w:rPr>
          <w:lang w:val="ru-RU"/>
        </w:rPr>
        <w:t>на</w:t>
      </w:r>
      <w:proofErr w:type="gramEnd"/>
      <w:r w:rsidR="00B9313F">
        <w:rPr>
          <w:lang w:val="ru-RU"/>
        </w:rPr>
        <w:t xml:space="preserve"> інші товари (послуги).</w:t>
      </w:r>
    </w:p>
    <w:p w:rsidR="00E627A6" w:rsidRPr="00E627A6" w:rsidRDefault="00E627A6" w:rsidP="00B9313F">
      <w:pPr>
        <w:numPr>
          <w:ilvl w:val="0"/>
          <w:numId w:val="2"/>
        </w:numPr>
        <w:tabs>
          <w:tab w:val="num" w:pos="360"/>
        </w:tabs>
        <w:spacing w:after="200"/>
        <w:ind w:left="426" w:hanging="426"/>
        <w:jc w:val="both"/>
        <w:rPr>
          <w:lang w:val="ru-RU"/>
        </w:rPr>
      </w:pPr>
      <w:r w:rsidRPr="00E627A6">
        <w:rPr>
          <w:bCs/>
          <w:lang w:val="ru-RU"/>
        </w:rPr>
        <w:lastRenderedPageBreak/>
        <w:t>Відповідно</w:t>
      </w:r>
      <w:r w:rsidRPr="00E627A6">
        <w:rPr>
          <w:lang w:val="ru-RU"/>
        </w:rPr>
        <w:t xml:space="preserve"> до частини першої статті 5 Закону України «Про природні монополії» централізоване водопостачання та водовідведення належить до сфери регулювання цього Закону. </w:t>
      </w:r>
    </w:p>
    <w:p w:rsidR="00E627A6" w:rsidRPr="00E627A6" w:rsidRDefault="00E627A6" w:rsidP="00E627A6">
      <w:pPr>
        <w:numPr>
          <w:ilvl w:val="0"/>
          <w:numId w:val="2"/>
        </w:numPr>
        <w:tabs>
          <w:tab w:val="num" w:pos="360"/>
        </w:tabs>
        <w:spacing w:after="200"/>
        <w:ind w:left="426" w:hanging="426"/>
        <w:jc w:val="both"/>
        <w:rPr>
          <w:lang w:val="ru-RU"/>
        </w:rPr>
      </w:pPr>
      <w:r w:rsidRPr="00E627A6">
        <w:rPr>
          <w:bCs/>
          <w:lang w:val="ru-RU"/>
        </w:rPr>
        <w:t>Згідно</w:t>
      </w:r>
      <w:r w:rsidRPr="00E627A6">
        <w:rPr>
          <w:lang w:val="ru-RU"/>
        </w:rPr>
        <w:t xml:space="preserve">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 </w:t>
      </w:r>
    </w:p>
    <w:p w:rsidR="00E627A6" w:rsidRPr="00E627A6" w:rsidRDefault="00E627A6" w:rsidP="00B9313F">
      <w:pPr>
        <w:numPr>
          <w:ilvl w:val="0"/>
          <w:numId w:val="2"/>
        </w:numPr>
        <w:spacing w:after="200"/>
        <w:jc w:val="both"/>
        <w:rPr>
          <w:lang w:val="ru-RU"/>
        </w:rPr>
      </w:pPr>
      <w:proofErr w:type="gramStart"/>
      <w:r w:rsidRPr="00E627A6">
        <w:rPr>
          <w:lang w:val="ru-RU"/>
        </w:rPr>
        <w:t>Відповідно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w:t>
      </w:r>
      <w:proofErr w:type="gramEnd"/>
      <w:r w:rsidRPr="00E627A6">
        <w:rPr>
          <w:lang w:val="ru-RU"/>
        </w:rPr>
        <w:t xml:space="preserve">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w:t>
      </w:r>
      <w:proofErr w:type="gramStart"/>
      <w:r w:rsidRPr="00E627A6">
        <w:rPr>
          <w:lang w:val="ru-RU"/>
        </w:rPr>
        <w:t>до</w:t>
      </w:r>
      <w:proofErr w:type="gramEnd"/>
      <w:r w:rsidRPr="00E627A6">
        <w:rPr>
          <w:lang w:val="ru-RU"/>
        </w:rPr>
        <w:t xml:space="preserve"> законів України.</w:t>
      </w: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t>У первинному та вторинному законодавстві Європейського Союзу поняття «природна монополія» відсутн</w:t>
      </w:r>
      <w:proofErr w:type="gramStart"/>
      <w:r w:rsidRPr="00E627A6">
        <w:rPr>
          <w:lang w:val="ru-RU"/>
        </w:rPr>
        <w:t>є.</w:t>
      </w:r>
      <w:proofErr w:type="gramEnd"/>
      <w:r w:rsidRPr="00E627A6">
        <w:rPr>
          <w:lang w:val="ru-RU"/>
        </w:rPr>
        <w:t xml:space="preserve"> Натомість існує положення, що стосується законної монополії, яке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w:t>
      </w:r>
      <w:r w:rsidRPr="00E627A6">
        <w:t xml:space="preserve"> (далі – ДФЄС)</w:t>
      </w:r>
      <w:r w:rsidRPr="00E627A6">
        <w:rPr>
          <w:lang w:val="ru-RU"/>
        </w:rPr>
        <w:t xml:space="preserve">,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w:t>
      </w:r>
      <w:proofErr w:type="gramStart"/>
      <w:r w:rsidRPr="00E627A6">
        <w:rPr>
          <w:lang w:val="ru-RU"/>
        </w:rPr>
        <w:t>д</w:t>
      </w:r>
      <w:proofErr w:type="gramEnd"/>
      <w:r w:rsidRPr="00E627A6">
        <w:rPr>
          <w:lang w:val="ru-RU"/>
        </w:rPr>
        <w:t xml:space="preserve">ію правил конкуренції тільки в тій мірі, в якій це не перешкоджає виконанню дорученого їм спеціального завдання. </w:t>
      </w: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t xml:space="preserve">Законна монополія існує тоді, коли надання такої послуги на законодавчому </w:t>
      </w:r>
      <w:proofErr w:type="gramStart"/>
      <w:r w:rsidRPr="00E627A6">
        <w:rPr>
          <w:lang w:val="ru-RU"/>
        </w:rPr>
        <w:t>р</w:t>
      </w:r>
      <w:proofErr w:type="gramEnd"/>
      <w:r w:rsidRPr="00E627A6">
        <w:rPr>
          <w:lang w:val="ru-RU"/>
        </w:rPr>
        <w:t xml:space="preserve">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w:t>
      </w:r>
      <w:proofErr w:type="gramStart"/>
      <w:r w:rsidRPr="00E627A6">
        <w:rPr>
          <w:lang w:val="ru-RU"/>
        </w:rPr>
        <w:t>п</w:t>
      </w:r>
      <w:proofErr w:type="gramEnd"/>
      <w:r w:rsidRPr="00E627A6">
        <w:rPr>
          <w:lang w:val="ru-RU"/>
        </w:rPr>
        <w:t xml:space="preserve">ідприємством не означає, що таке підприємство користується законною монополією. </w:t>
      </w:r>
    </w:p>
    <w:p w:rsidR="00E627A6" w:rsidRPr="00E627A6" w:rsidRDefault="00E627A6" w:rsidP="00E627A6">
      <w:pPr>
        <w:numPr>
          <w:ilvl w:val="0"/>
          <w:numId w:val="2"/>
        </w:numPr>
        <w:tabs>
          <w:tab w:val="num" w:pos="360"/>
        </w:tabs>
        <w:spacing w:after="200"/>
        <w:ind w:left="426" w:hanging="426"/>
        <w:jc w:val="both"/>
        <w:rPr>
          <w:lang w:val="ru-RU"/>
        </w:rPr>
      </w:pPr>
      <w:r w:rsidRPr="00E627A6">
        <w:rPr>
          <w:lang w:val="ru-RU"/>
        </w:rPr>
        <w:t xml:space="preserve">За загальним правилом, надання послуг законною монополією виключає будь-яке </w:t>
      </w:r>
      <w:r w:rsidRPr="00E627A6">
        <w:rPr>
          <w:bCs/>
          <w:lang w:val="ru-RU"/>
        </w:rPr>
        <w:t>спотворення</w:t>
      </w:r>
      <w:r w:rsidRPr="00E627A6">
        <w:rPr>
          <w:lang w:val="ru-RU"/>
        </w:rPr>
        <w:t xml:space="preserve"> конкуренції, однак є умови, що мають бути кумулятивно виконані. </w:t>
      </w:r>
      <w:proofErr w:type="gramStart"/>
      <w:r w:rsidRPr="00E627A6">
        <w:rPr>
          <w:lang w:val="ru-RU"/>
        </w:rPr>
        <w:t>Ц</w:t>
      </w:r>
      <w:proofErr w:type="gramEnd"/>
      <w:r w:rsidRPr="00E627A6">
        <w:rPr>
          <w:lang w:val="ru-RU"/>
        </w:rPr>
        <w:t xml:space="preserve">і умови встановлені пунктом 188 Повідомлення Комісії щодо поняття державної допомоги згідно зі статтею 107(1) ДФЄС, яке надає пояснення ключових концепцій, пов’язаних із поняттям державної допомоги, щоб полегшити та підвищити прозорість і послідовність застосування цього поняття на території Союзу, а саме: </w:t>
      </w:r>
    </w:p>
    <w:p w:rsidR="00E627A6" w:rsidRPr="00E627A6" w:rsidRDefault="00E627A6" w:rsidP="00E627A6">
      <w:pPr>
        <w:numPr>
          <w:ilvl w:val="0"/>
          <w:numId w:val="6"/>
        </w:numPr>
        <w:spacing w:after="200"/>
        <w:contextualSpacing/>
        <w:jc w:val="both"/>
        <w:rPr>
          <w:lang w:val="ru-RU"/>
        </w:rPr>
      </w:pPr>
      <w:r w:rsidRPr="00E627A6">
        <w:rPr>
          <w:lang w:val="ru-RU"/>
        </w:rPr>
        <w:t xml:space="preserve">послуга має бути предметом законної монополії; </w:t>
      </w:r>
    </w:p>
    <w:p w:rsidR="00E627A6" w:rsidRPr="00E627A6" w:rsidRDefault="00E627A6" w:rsidP="00E627A6">
      <w:pPr>
        <w:numPr>
          <w:ilvl w:val="0"/>
          <w:numId w:val="6"/>
        </w:numPr>
        <w:spacing w:after="200"/>
        <w:contextualSpacing/>
        <w:jc w:val="both"/>
        <w:rPr>
          <w:lang w:val="ru-RU"/>
        </w:rPr>
      </w:pPr>
      <w:r w:rsidRPr="00E627A6">
        <w:rPr>
          <w:lang w:val="ru-RU"/>
        </w:rPr>
        <w:t xml:space="preserve">законна </w:t>
      </w:r>
      <w:proofErr w:type="gramStart"/>
      <w:r w:rsidRPr="00E627A6">
        <w:rPr>
          <w:lang w:val="ru-RU"/>
        </w:rPr>
        <w:t>монополія</w:t>
      </w:r>
      <w:proofErr w:type="gramEnd"/>
      <w:r w:rsidRPr="00E627A6">
        <w:rPr>
          <w:lang w:val="ru-RU"/>
        </w:rPr>
        <w:t xml:space="preserve"> не лише виключає можливість конкуренції на ринку, а й передбачає наявність ексклюзивного надавача відповідної послуги на такому ринку; </w:t>
      </w:r>
    </w:p>
    <w:p w:rsidR="00E627A6" w:rsidRPr="00E627A6" w:rsidRDefault="00E627A6" w:rsidP="00E627A6">
      <w:pPr>
        <w:numPr>
          <w:ilvl w:val="0"/>
          <w:numId w:val="6"/>
        </w:numPr>
        <w:spacing w:after="200"/>
        <w:contextualSpacing/>
        <w:jc w:val="both"/>
        <w:rPr>
          <w:lang w:val="ru-RU"/>
        </w:rPr>
      </w:pPr>
      <w:r w:rsidRPr="00E627A6">
        <w:rPr>
          <w:lang w:val="ru-RU"/>
        </w:rPr>
        <w:t xml:space="preserve">відповідна послуга не конкурує з іншими послугами; </w:t>
      </w:r>
    </w:p>
    <w:p w:rsidR="00E627A6" w:rsidRPr="00E627A6" w:rsidRDefault="00E627A6" w:rsidP="00E627A6">
      <w:pPr>
        <w:numPr>
          <w:ilvl w:val="0"/>
          <w:numId w:val="6"/>
        </w:numPr>
        <w:spacing w:after="200"/>
        <w:contextualSpacing/>
        <w:jc w:val="both"/>
        <w:rPr>
          <w:lang w:val="ru-RU"/>
        </w:rPr>
      </w:pPr>
      <w:r w:rsidRPr="00E627A6">
        <w:rPr>
          <w:lang w:val="ru-RU"/>
        </w:rPr>
        <w:t>якщо надавач відповідної послуги здійснює діяльність на іншому ринку (</w:t>
      </w:r>
      <w:proofErr w:type="gramStart"/>
      <w:r w:rsidRPr="00E627A6">
        <w:rPr>
          <w:lang w:val="ru-RU"/>
        </w:rPr>
        <w:t>за</w:t>
      </w:r>
      <w:proofErr w:type="gramEnd"/>
      <w:r w:rsidRPr="00E627A6">
        <w:rPr>
          <w:lang w:val="ru-RU"/>
        </w:rPr>
        <w:t xml:space="preserve">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й витрати та запобігати використанню </w:t>
      </w:r>
      <w:proofErr w:type="gramStart"/>
      <w:r w:rsidRPr="00E627A6">
        <w:rPr>
          <w:lang w:val="ru-RU"/>
        </w:rPr>
        <w:t>державного</w:t>
      </w:r>
      <w:proofErr w:type="gramEnd"/>
      <w:r w:rsidRPr="00E627A6">
        <w:rPr>
          <w:lang w:val="ru-RU"/>
        </w:rPr>
        <w:t xml:space="preserve"> фінансування некомерційної діяльності для перехресного субсидіювання комерційної діяльності. </w:t>
      </w:r>
    </w:p>
    <w:p w:rsidR="00E627A6" w:rsidRPr="00E627A6" w:rsidRDefault="00E627A6" w:rsidP="00E627A6">
      <w:pPr>
        <w:contextualSpacing/>
        <w:jc w:val="both"/>
        <w:rPr>
          <w:lang w:val="ru-RU"/>
        </w:rPr>
      </w:pPr>
    </w:p>
    <w:p w:rsidR="00E627A6" w:rsidRPr="00E627A6" w:rsidRDefault="00E627A6" w:rsidP="00B9313F">
      <w:pPr>
        <w:numPr>
          <w:ilvl w:val="0"/>
          <w:numId w:val="2"/>
        </w:numPr>
        <w:tabs>
          <w:tab w:val="num" w:pos="360"/>
        </w:tabs>
        <w:spacing w:after="200"/>
        <w:ind w:left="426" w:hanging="426"/>
        <w:jc w:val="both"/>
        <w:rPr>
          <w:lang w:val="ru-RU"/>
        </w:rPr>
      </w:pPr>
      <w:r w:rsidRPr="00E627A6">
        <w:rPr>
          <w:bCs/>
          <w:lang w:val="ru-RU"/>
        </w:rPr>
        <w:t>Обов’язок</w:t>
      </w:r>
      <w:r w:rsidRPr="00E627A6">
        <w:rPr>
          <w:lang w:val="ru-RU"/>
        </w:rPr>
        <w:t xml:space="preserve">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w:t>
      </w:r>
      <w:r w:rsidRPr="00E627A6">
        <w:rPr>
          <w:color w:val="000000"/>
        </w:rPr>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w:t>
      </w:r>
      <w:r w:rsidR="00623D08">
        <w:rPr>
          <w:color w:val="000000"/>
        </w:rPr>
        <w:t>,</w:t>
      </w:r>
      <w:r w:rsidRPr="00E627A6">
        <w:rPr>
          <w:color w:val="000000"/>
        </w:rPr>
        <w:t xml:space="preserve"> </w:t>
      </w:r>
      <w:r w:rsidRPr="00E627A6">
        <w:rPr>
          <w:lang w:val="ru-RU"/>
        </w:rPr>
        <w:t xml:space="preserve">сторони протягом </w:t>
      </w:r>
      <w:proofErr w:type="gramStart"/>
      <w:r w:rsidRPr="00E627A6">
        <w:rPr>
          <w:lang w:val="ru-RU"/>
        </w:rPr>
        <w:t>п’яти</w:t>
      </w:r>
      <w:proofErr w:type="gramEnd"/>
      <w:r w:rsidRPr="00E627A6">
        <w:rPr>
          <w:lang w:val="ru-RU"/>
        </w:rPr>
        <w:t xml:space="preserve"> років із дати набрання чинності Угодою (тобто до 2022 року) мають забезпечити, щоб фінансова та організаційна структура будь-якого </w:t>
      </w:r>
      <w:proofErr w:type="gramStart"/>
      <w:r w:rsidRPr="00E627A6">
        <w:rPr>
          <w:lang w:val="ru-RU"/>
        </w:rPr>
        <w:t>п</w:t>
      </w:r>
      <w:proofErr w:type="gramEnd"/>
      <w:r w:rsidRPr="00E627A6">
        <w:rPr>
          <w:lang w:val="ru-RU"/>
        </w:rPr>
        <w:t xml:space="preserve">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 </w:t>
      </w:r>
    </w:p>
    <w:p w:rsidR="00E627A6" w:rsidRPr="00E627A6" w:rsidRDefault="00E627A6" w:rsidP="00E627A6">
      <w:pPr>
        <w:numPr>
          <w:ilvl w:val="0"/>
          <w:numId w:val="7"/>
        </w:numPr>
        <w:spacing w:after="200"/>
        <w:contextualSpacing/>
        <w:jc w:val="both"/>
        <w:rPr>
          <w:lang w:val="ru-RU"/>
        </w:rPr>
      </w:pPr>
      <w:r w:rsidRPr="00E627A6">
        <w:rPr>
          <w:lang w:val="ru-RU"/>
        </w:rPr>
        <w:t xml:space="preserve">витрати та доходи, пов’язані з усіма товарами або послугами, щодо яких </w:t>
      </w:r>
      <w:proofErr w:type="gramStart"/>
      <w:r w:rsidRPr="00E627A6">
        <w:rPr>
          <w:lang w:val="ru-RU"/>
        </w:rPr>
        <w:t>п</w:t>
      </w:r>
      <w:proofErr w:type="gramEnd"/>
      <w:r w:rsidRPr="00E627A6">
        <w:rPr>
          <w:lang w:val="ru-RU"/>
        </w:rPr>
        <w:t xml:space="preserve">ідприємству надано спеціальне або виключне право, або всіма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 </w:t>
      </w:r>
    </w:p>
    <w:p w:rsidR="00E627A6" w:rsidRPr="00E627A6" w:rsidRDefault="00E627A6" w:rsidP="00E627A6">
      <w:pPr>
        <w:numPr>
          <w:ilvl w:val="0"/>
          <w:numId w:val="7"/>
        </w:numPr>
        <w:spacing w:after="200"/>
        <w:contextualSpacing/>
        <w:jc w:val="both"/>
        <w:rPr>
          <w:lang w:val="ru-RU"/>
        </w:rPr>
      </w:pPr>
      <w:r w:rsidRPr="00E627A6">
        <w:rPr>
          <w:lang w:val="ru-RU"/>
        </w:rPr>
        <w:t xml:space="preserve">повна інформація щодо методів, відповідно до яких витрати та доходи призначаються або розподіляються за </w:t>
      </w:r>
      <w:proofErr w:type="gramStart"/>
      <w:r w:rsidRPr="00E627A6">
        <w:rPr>
          <w:lang w:val="ru-RU"/>
        </w:rPr>
        <w:t>р</w:t>
      </w:r>
      <w:proofErr w:type="gramEnd"/>
      <w:r w:rsidRPr="00E627A6">
        <w:rPr>
          <w:lang w:val="ru-RU"/>
        </w:rPr>
        <w:t xml:space="preserve">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 </w:t>
      </w:r>
    </w:p>
    <w:p w:rsidR="00E627A6" w:rsidRPr="00E627A6" w:rsidRDefault="00E627A6" w:rsidP="00E627A6">
      <w:pPr>
        <w:ind w:left="360"/>
        <w:contextualSpacing/>
        <w:jc w:val="both"/>
        <w:rPr>
          <w:lang w:val="ru-RU"/>
        </w:rPr>
      </w:pP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t xml:space="preserve">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перехресному субсидіюванню. </w:t>
      </w:r>
    </w:p>
    <w:p w:rsidR="00E627A6" w:rsidRPr="00E627A6" w:rsidRDefault="00E627A6" w:rsidP="00E627A6">
      <w:pPr>
        <w:numPr>
          <w:ilvl w:val="0"/>
          <w:numId w:val="2"/>
        </w:numPr>
        <w:tabs>
          <w:tab w:val="num" w:pos="360"/>
        </w:tabs>
        <w:spacing w:after="200"/>
        <w:ind w:left="426" w:hanging="426"/>
        <w:jc w:val="both"/>
        <w:rPr>
          <w:lang w:val="ru-RU"/>
        </w:rPr>
      </w:pPr>
      <w:r w:rsidRPr="00E627A6">
        <w:rPr>
          <w:lang w:val="ru-RU"/>
        </w:rPr>
        <w:t xml:space="preserve">Відповідно до статті 10 Закону України «Про природні монополії» суб’єкти природних монополій зобов’язані, зокрема, вести окремий бухгалтерський </w:t>
      </w:r>
      <w:proofErr w:type="gramStart"/>
      <w:r w:rsidRPr="00E627A6">
        <w:rPr>
          <w:lang w:val="ru-RU"/>
        </w:rPr>
        <w:t>обл</w:t>
      </w:r>
      <w:proofErr w:type="gramEnd"/>
      <w:r w:rsidRPr="00E627A6">
        <w:rPr>
          <w:lang w:val="ru-RU"/>
        </w:rPr>
        <w:t xml:space="preserve">ік за кожним видом діяльності, що підлягає ліцензуванню. </w:t>
      </w:r>
    </w:p>
    <w:p w:rsidR="00E627A6" w:rsidRPr="00E627A6" w:rsidRDefault="00E627A6" w:rsidP="00E627A6">
      <w:pPr>
        <w:tabs>
          <w:tab w:val="left" w:pos="426"/>
          <w:tab w:val="left" w:pos="993"/>
          <w:tab w:val="left" w:pos="1701"/>
        </w:tabs>
        <w:contextualSpacing/>
        <w:jc w:val="both"/>
      </w:pPr>
    </w:p>
    <w:p w:rsidR="00E627A6" w:rsidRPr="00E627A6" w:rsidRDefault="00E627A6" w:rsidP="00BB76C2">
      <w:pPr>
        <w:numPr>
          <w:ilvl w:val="0"/>
          <w:numId w:val="9"/>
        </w:numPr>
        <w:tabs>
          <w:tab w:val="left" w:pos="284"/>
          <w:tab w:val="left" w:pos="851"/>
          <w:tab w:val="left" w:pos="1134"/>
        </w:tabs>
        <w:spacing w:after="200"/>
        <w:contextualSpacing/>
        <w:jc w:val="both"/>
        <w:rPr>
          <w:b/>
        </w:rPr>
      </w:pPr>
      <w:r w:rsidRPr="00E627A6">
        <w:rPr>
          <w:b/>
        </w:rPr>
        <w:t xml:space="preserve">ВИЗНАЧЕННЯ НАЛЕЖНОСТІ ЗАХОДУ ПІДТРИМКИ ДО ДЕРЖАВНОЇ ДОПОМОГИ </w:t>
      </w:r>
    </w:p>
    <w:p w:rsidR="00E627A6" w:rsidRPr="00E627A6" w:rsidRDefault="00E627A6" w:rsidP="00E627A6">
      <w:pPr>
        <w:tabs>
          <w:tab w:val="left" w:pos="426"/>
          <w:tab w:val="left" w:pos="993"/>
          <w:tab w:val="left" w:pos="1701"/>
        </w:tabs>
        <w:jc w:val="both"/>
        <w:rPr>
          <w:sz w:val="20"/>
          <w:szCs w:val="20"/>
        </w:rPr>
      </w:pPr>
    </w:p>
    <w:p w:rsidR="00E627A6" w:rsidRPr="00BB76C2" w:rsidRDefault="00623D08" w:rsidP="00BB76C2">
      <w:pPr>
        <w:pStyle w:val="a5"/>
        <w:numPr>
          <w:ilvl w:val="1"/>
          <w:numId w:val="13"/>
        </w:numPr>
        <w:tabs>
          <w:tab w:val="left" w:pos="426"/>
        </w:tabs>
        <w:spacing w:after="200"/>
        <w:jc w:val="both"/>
        <w:rPr>
          <w:b/>
        </w:rPr>
      </w:pPr>
      <w:r>
        <w:rPr>
          <w:b/>
          <w:bCs/>
        </w:rPr>
        <w:t xml:space="preserve"> </w:t>
      </w:r>
      <w:r w:rsidR="00E627A6" w:rsidRPr="00BB76C2">
        <w:rPr>
          <w:b/>
          <w:bCs/>
        </w:rPr>
        <w:t>Надання підтримки суб’єкту господарювання</w:t>
      </w:r>
    </w:p>
    <w:p w:rsidR="00E627A6" w:rsidRPr="00E627A6" w:rsidRDefault="00E627A6" w:rsidP="00B9313F">
      <w:pPr>
        <w:numPr>
          <w:ilvl w:val="0"/>
          <w:numId w:val="2"/>
        </w:numPr>
        <w:tabs>
          <w:tab w:val="num" w:pos="360"/>
        </w:tabs>
        <w:spacing w:after="200"/>
        <w:ind w:left="426" w:hanging="426"/>
        <w:jc w:val="both"/>
      </w:pPr>
      <w:r w:rsidRPr="00E627A6">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w:t>
      </w:r>
    </w:p>
    <w:p w:rsidR="00E627A6" w:rsidRPr="00E627A6" w:rsidRDefault="00E627A6" w:rsidP="00B9313F">
      <w:pPr>
        <w:numPr>
          <w:ilvl w:val="0"/>
          <w:numId w:val="2"/>
        </w:numPr>
        <w:tabs>
          <w:tab w:val="num" w:pos="360"/>
        </w:tabs>
        <w:spacing w:after="200"/>
        <w:ind w:left="426" w:hanging="426"/>
        <w:jc w:val="both"/>
      </w:pPr>
      <w:r w:rsidRPr="00E627A6">
        <w:t xml:space="preserve">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E627A6" w:rsidRPr="00E627A6" w:rsidRDefault="00E627A6" w:rsidP="00B9313F">
      <w:pPr>
        <w:numPr>
          <w:ilvl w:val="0"/>
          <w:numId w:val="2"/>
        </w:numPr>
        <w:tabs>
          <w:tab w:val="num" w:pos="360"/>
        </w:tabs>
        <w:spacing w:after="200"/>
        <w:ind w:left="426" w:hanging="426"/>
        <w:jc w:val="both"/>
        <w:rPr>
          <w:lang w:val="ru-RU"/>
        </w:rPr>
      </w:pPr>
      <w:r w:rsidRPr="00E627A6">
        <w:rPr>
          <w:lang w:val="ru-RU"/>
        </w:rPr>
        <w:lastRenderedPageBreak/>
        <w:t>Відповідно до статті 6 Закону України «Про житлово-комунальні послуги» виконавцем комунальних послуг з централізованого водовідведення є суб’єкт господарювання, що пров</w:t>
      </w:r>
      <w:r w:rsidRPr="00E627A6">
        <w:t>а</w:t>
      </w:r>
      <w:r w:rsidRPr="00E627A6">
        <w:rPr>
          <w:lang w:val="ru-RU"/>
        </w:rPr>
        <w:t xml:space="preserve">дить господарську діяльність з централізованого водовідведення. </w:t>
      </w:r>
    </w:p>
    <w:p w:rsidR="00E627A6" w:rsidRPr="00E627A6" w:rsidRDefault="00E627A6" w:rsidP="00E627A6">
      <w:pPr>
        <w:numPr>
          <w:ilvl w:val="0"/>
          <w:numId w:val="2"/>
        </w:numPr>
        <w:spacing w:after="200"/>
        <w:contextualSpacing/>
        <w:jc w:val="both"/>
        <w:rPr>
          <w:bCs/>
          <w:lang w:val="ru-RU"/>
        </w:rPr>
      </w:pPr>
      <w:r w:rsidRPr="00E627A6">
        <w:rPr>
          <w:lang w:val="ru-RU"/>
        </w:rPr>
        <w:t>Виконавцем послуг із централізованого водопостачання та водовідведення в мі</w:t>
      </w:r>
      <w:proofErr w:type="gramStart"/>
      <w:r w:rsidRPr="00E627A6">
        <w:rPr>
          <w:lang w:val="ru-RU"/>
        </w:rPr>
        <w:t>ст</w:t>
      </w:r>
      <w:proofErr w:type="gramEnd"/>
      <w:r w:rsidRPr="00E627A6">
        <w:rPr>
          <w:lang w:val="ru-RU"/>
        </w:rPr>
        <w:t xml:space="preserve">і </w:t>
      </w:r>
      <w:r w:rsidRPr="00E627A6">
        <w:t>Луцьк</w:t>
      </w:r>
      <w:r w:rsidRPr="00E627A6">
        <w:rPr>
          <w:lang w:val="ru-RU"/>
        </w:rPr>
        <w:t xml:space="preserve"> є КП «</w:t>
      </w:r>
      <w:r w:rsidRPr="00E627A6">
        <w:t>Луцьк</w:t>
      </w:r>
      <w:r w:rsidRPr="00E627A6">
        <w:rPr>
          <w:lang w:val="ru-RU"/>
        </w:rPr>
        <w:t xml:space="preserve">водоканал» на підставі </w:t>
      </w:r>
      <w:r w:rsidRPr="00E627A6">
        <w:rPr>
          <w:bCs/>
        </w:rPr>
        <w:t>постанови НКРЕКП № 397 від 28.03.2017 «Про переоформлення ліцензії на централізоване водопостачання та водовідведення, виданої КП «Луцькводоканал».</w:t>
      </w:r>
    </w:p>
    <w:p w:rsidR="00E627A6" w:rsidRPr="00E627A6" w:rsidRDefault="00E627A6" w:rsidP="00E627A6">
      <w:pPr>
        <w:ind w:left="360"/>
        <w:contextualSpacing/>
        <w:jc w:val="both"/>
        <w:rPr>
          <w:lang w:val="ru-RU"/>
        </w:rPr>
      </w:pPr>
    </w:p>
    <w:p w:rsidR="00E627A6" w:rsidRPr="00E627A6" w:rsidRDefault="00E627A6" w:rsidP="00E627A6">
      <w:pPr>
        <w:numPr>
          <w:ilvl w:val="0"/>
          <w:numId w:val="2"/>
        </w:numPr>
        <w:spacing w:after="200"/>
        <w:contextualSpacing/>
        <w:jc w:val="both"/>
        <w:rPr>
          <w:lang w:val="ru-RU"/>
        </w:rPr>
      </w:pPr>
      <w:r w:rsidRPr="00E627A6">
        <w:rPr>
          <w:bCs/>
          <w:lang w:val="ru-RU"/>
        </w:rPr>
        <w:t xml:space="preserve">КП «Луцькводоканал» є єдиним виконавцем послуг </w:t>
      </w:r>
      <w:r w:rsidR="00623D08">
        <w:rPr>
          <w:bCs/>
          <w:lang w:val="ru-RU"/>
        </w:rPr>
        <w:t>і</w:t>
      </w:r>
      <w:r w:rsidRPr="00E627A6">
        <w:rPr>
          <w:bCs/>
          <w:lang w:val="ru-RU"/>
        </w:rPr>
        <w:t xml:space="preserve">з централізованого водопостачання та водовідведення та включене до Зведеного переліку природних монополій, розміщеного на сайті Антимонопольного комітету України станом на </w:t>
      </w:r>
      <w:r w:rsidRPr="00E627A6">
        <w:rPr>
          <w:bCs/>
        </w:rPr>
        <w:t>жовтень</w:t>
      </w:r>
      <w:r w:rsidRPr="00E627A6">
        <w:rPr>
          <w:bCs/>
          <w:lang w:val="ru-RU"/>
        </w:rPr>
        <w:t xml:space="preserve"> 2020 року</w:t>
      </w:r>
      <w:r w:rsidR="00623D08">
        <w:rPr>
          <w:bCs/>
          <w:lang w:val="ru-RU"/>
        </w:rPr>
        <w:t>, за</w:t>
      </w:r>
      <w:r w:rsidRPr="00E627A6">
        <w:rPr>
          <w:bCs/>
          <w:lang w:val="ru-RU"/>
        </w:rPr>
        <w:t xml:space="preserve"> № 145</w:t>
      </w:r>
      <w:r w:rsidRPr="00E627A6">
        <w:t>.</w:t>
      </w:r>
    </w:p>
    <w:p w:rsidR="00E627A6" w:rsidRPr="00E627A6" w:rsidRDefault="00E627A6" w:rsidP="00E627A6">
      <w:pPr>
        <w:ind w:left="360"/>
        <w:contextualSpacing/>
        <w:jc w:val="both"/>
        <w:rPr>
          <w:lang w:val="ru-RU"/>
        </w:rPr>
      </w:pPr>
    </w:p>
    <w:p w:rsidR="00E627A6" w:rsidRPr="00E627A6" w:rsidRDefault="00E627A6" w:rsidP="00E627A6">
      <w:pPr>
        <w:numPr>
          <w:ilvl w:val="0"/>
          <w:numId w:val="2"/>
        </w:numPr>
        <w:spacing w:after="200"/>
        <w:contextualSpacing/>
        <w:jc w:val="both"/>
        <w:rPr>
          <w:lang w:val="ru-RU"/>
        </w:rPr>
      </w:pPr>
      <w:r w:rsidRPr="00E627A6">
        <w:rPr>
          <w:lang w:val="ru-RU"/>
        </w:rPr>
        <w:t>Отже, за наведених умов КП «</w:t>
      </w:r>
      <w:r w:rsidRPr="00E627A6">
        <w:t>Луцькводоканал</w:t>
      </w:r>
      <w:r w:rsidRPr="00E627A6">
        <w:rPr>
          <w:lang w:val="ru-RU"/>
        </w:rPr>
        <w:t xml:space="preserve">» </w:t>
      </w:r>
      <w:r w:rsidRPr="00E627A6">
        <w:rPr>
          <w:b/>
          <w:bCs/>
          <w:lang w:val="ru-RU"/>
        </w:rPr>
        <w:t xml:space="preserve">є суб’єктом господарювання </w:t>
      </w:r>
      <w:r w:rsidRPr="00E627A6">
        <w:rPr>
          <w:lang w:val="ru-RU"/>
        </w:rPr>
        <w:t xml:space="preserve">у розумінні Закону України «Про державну допомогу суб’єктам господарювання». </w:t>
      </w:r>
    </w:p>
    <w:p w:rsidR="00E627A6" w:rsidRPr="00E627A6" w:rsidRDefault="00E627A6" w:rsidP="00E627A6">
      <w:pPr>
        <w:contextualSpacing/>
        <w:jc w:val="both"/>
        <w:rPr>
          <w:sz w:val="20"/>
          <w:szCs w:val="20"/>
        </w:rPr>
      </w:pPr>
    </w:p>
    <w:p w:rsidR="00E627A6" w:rsidRPr="00623D08" w:rsidRDefault="00623D08" w:rsidP="00623D08">
      <w:pPr>
        <w:pStyle w:val="a5"/>
        <w:numPr>
          <w:ilvl w:val="1"/>
          <w:numId w:val="13"/>
        </w:numPr>
        <w:tabs>
          <w:tab w:val="left" w:pos="426"/>
        </w:tabs>
        <w:spacing w:after="200"/>
        <w:jc w:val="both"/>
        <w:rPr>
          <w:b/>
        </w:rPr>
      </w:pPr>
      <w:r>
        <w:rPr>
          <w:b/>
          <w:bCs/>
        </w:rPr>
        <w:t xml:space="preserve"> </w:t>
      </w:r>
      <w:r w:rsidR="00E627A6" w:rsidRPr="00623D08">
        <w:rPr>
          <w:b/>
          <w:bCs/>
        </w:rPr>
        <w:t>Надання підтримки за рахунок місцевих ресурсів</w:t>
      </w:r>
    </w:p>
    <w:p w:rsidR="00E627A6" w:rsidRPr="00E627A6" w:rsidRDefault="00E627A6" w:rsidP="00E627A6">
      <w:pPr>
        <w:numPr>
          <w:ilvl w:val="0"/>
          <w:numId w:val="2"/>
        </w:numPr>
        <w:tabs>
          <w:tab w:val="left" w:pos="426"/>
          <w:tab w:val="left" w:pos="993"/>
          <w:tab w:val="left" w:pos="1701"/>
        </w:tabs>
        <w:spacing w:after="200"/>
        <w:contextualSpacing/>
        <w:jc w:val="both"/>
        <w:rPr>
          <w:color w:val="000000"/>
        </w:rPr>
      </w:pPr>
      <w:r w:rsidRPr="00E627A6">
        <w:rPr>
          <w:color w:val="000000"/>
        </w:rPr>
        <w:t xml:space="preserve">Пунктом 4 частини першої статті 1 Закону України «Про державну допомогу суб’єктам господарювання» встановлено, що місцеві ресурси – рухоме і нерухоме майно, кошти місцевих бюджетів, інші кошти, земля, природні ресурси, що є у </w:t>
      </w:r>
      <w:r w:rsidRPr="00E627A6">
        <w:t>власності</w:t>
      </w:r>
      <w:r w:rsidRPr="00E627A6">
        <w:rPr>
          <w:color w:val="000000"/>
        </w:rPr>
        <w:t xml:space="preserve">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E627A6" w:rsidRPr="00E627A6" w:rsidRDefault="00E627A6" w:rsidP="00E627A6">
      <w:pPr>
        <w:contextualSpacing/>
        <w:jc w:val="both"/>
        <w:rPr>
          <w:color w:val="000000"/>
          <w:sz w:val="20"/>
          <w:szCs w:val="20"/>
        </w:rPr>
      </w:pPr>
    </w:p>
    <w:p w:rsidR="00E627A6" w:rsidRPr="00E627A6" w:rsidRDefault="00E627A6" w:rsidP="00E627A6">
      <w:pPr>
        <w:numPr>
          <w:ilvl w:val="0"/>
          <w:numId w:val="2"/>
        </w:numPr>
        <w:tabs>
          <w:tab w:val="left" w:pos="426"/>
          <w:tab w:val="left" w:pos="993"/>
          <w:tab w:val="left" w:pos="1701"/>
        </w:tabs>
        <w:spacing w:after="200"/>
        <w:contextualSpacing/>
        <w:jc w:val="both"/>
      </w:pPr>
      <w:r w:rsidRPr="00E627A6">
        <w:t xml:space="preserve">Відповідно до інформації, наданої в Повідомленні, джерелом фінансування </w:t>
      </w:r>
      <w:r w:rsidRPr="00E627A6">
        <w:br/>
        <w:t>КП «Луцькводоканал» є кошти місцевого бюджету Луцької міської територіальної громади.</w:t>
      </w:r>
    </w:p>
    <w:p w:rsidR="00E627A6" w:rsidRPr="00E627A6" w:rsidRDefault="00E627A6" w:rsidP="00E627A6">
      <w:pPr>
        <w:tabs>
          <w:tab w:val="left" w:pos="426"/>
          <w:tab w:val="left" w:pos="993"/>
          <w:tab w:val="left" w:pos="1701"/>
        </w:tabs>
        <w:ind w:left="360"/>
        <w:contextualSpacing/>
        <w:jc w:val="both"/>
      </w:pPr>
    </w:p>
    <w:p w:rsidR="00E627A6" w:rsidRPr="00E627A6" w:rsidRDefault="00E627A6" w:rsidP="00E627A6">
      <w:pPr>
        <w:numPr>
          <w:ilvl w:val="0"/>
          <w:numId w:val="2"/>
        </w:numPr>
        <w:tabs>
          <w:tab w:val="left" w:pos="426"/>
        </w:tabs>
        <w:spacing w:after="200"/>
        <w:contextualSpacing/>
        <w:jc w:val="both"/>
        <w:rPr>
          <w:bCs/>
          <w:lang w:eastAsia="ru-RU"/>
        </w:rPr>
      </w:pPr>
      <w:r w:rsidRPr="00E627A6">
        <w:rPr>
          <w:bCs/>
          <w:lang w:eastAsia="ru-RU"/>
        </w:rPr>
        <w:t>Отже, фінансова підтримка</w:t>
      </w:r>
      <w:r w:rsidRPr="00E627A6">
        <w:t xml:space="preserve"> КП «Луцькводоканал» здійснюється за рахунок </w:t>
      </w:r>
      <w:r w:rsidRPr="00E627A6">
        <w:rPr>
          <w:b/>
          <w:bCs/>
          <w:lang w:eastAsia="ru-RU"/>
        </w:rPr>
        <w:t xml:space="preserve">місцевих ресурсів </w:t>
      </w:r>
      <w:r w:rsidR="00623D08">
        <w:rPr>
          <w:bCs/>
          <w:lang w:eastAsia="ru-RU"/>
        </w:rPr>
        <w:t>у</w:t>
      </w:r>
      <w:r w:rsidRPr="00E627A6">
        <w:rPr>
          <w:bCs/>
          <w:lang w:eastAsia="ru-RU"/>
        </w:rPr>
        <w:t xml:space="preserve"> розумінні Закону.</w:t>
      </w:r>
    </w:p>
    <w:p w:rsidR="00E627A6" w:rsidRPr="00E627A6" w:rsidRDefault="00E627A6" w:rsidP="00E627A6">
      <w:pPr>
        <w:tabs>
          <w:tab w:val="left" w:pos="426"/>
        </w:tabs>
        <w:contextualSpacing/>
        <w:jc w:val="both"/>
        <w:rPr>
          <w:bCs/>
          <w:lang w:eastAsia="ru-RU"/>
        </w:rPr>
      </w:pPr>
    </w:p>
    <w:p w:rsidR="00E627A6" w:rsidRPr="00623D08" w:rsidRDefault="00623D08" w:rsidP="00623D08">
      <w:pPr>
        <w:pStyle w:val="a5"/>
        <w:numPr>
          <w:ilvl w:val="1"/>
          <w:numId w:val="13"/>
        </w:numPr>
        <w:tabs>
          <w:tab w:val="left" w:pos="426"/>
        </w:tabs>
        <w:spacing w:after="200"/>
        <w:jc w:val="both"/>
        <w:rPr>
          <w:b/>
        </w:rPr>
      </w:pPr>
      <w:r>
        <w:rPr>
          <w:b/>
          <w:bCs/>
          <w:lang w:eastAsia="ru-RU"/>
        </w:rPr>
        <w:t xml:space="preserve"> </w:t>
      </w:r>
      <w:r w:rsidR="00E627A6" w:rsidRPr="00623D08">
        <w:rPr>
          <w:b/>
          <w:bCs/>
          <w:lang w:eastAsia="ru-RU"/>
        </w:rPr>
        <w:t>Створення переваг для виробництва окремих видів товарів чи провадження окремих видів господарської діяльності</w:t>
      </w:r>
    </w:p>
    <w:p w:rsidR="00E627A6" w:rsidRPr="00E627A6" w:rsidRDefault="00E627A6" w:rsidP="00E627A6">
      <w:pPr>
        <w:numPr>
          <w:ilvl w:val="0"/>
          <w:numId w:val="2"/>
        </w:numPr>
        <w:tabs>
          <w:tab w:val="left" w:pos="426"/>
        </w:tabs>
        <w:spacing w:after="200"/>
        <w:contextualSpacing/>
        <w:jc w:val="both"/>
        <w:rPr>
          <w:color w:val="000000"/>
        </w:rPr>
      </w:pPr>
      <w:r w:rsidRPr="00E627A6">
        <w:rPr>
          <w:color w:val="000000"/>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627A6" w:rsidRPr="00E627A6" w:rsidRDefault="00E627A6" w:rsidP="00E627A6">
      <w:pPr>
        <w:ind w:left="426"/>
        <w:jc w:val="both"/>
        <w:rPr>
          <w:color w:val="000000"/>
          <w:sz w:val="20"/>
          <w:szCs w:val="20"/>
        </w:rPr>
      </w:pPr>
    </w:p>
    <w:p w:rsidR="00E627A6" w:rsidRPr="00E627A6" w:rsidRDefault="00E627A6" w:rsidP="00E627A6">
      <w:pPr>
        <w:numPr>
          <w:ilvl w:val="0"/>
          <w:numId w:val="2"/>
        </w:numPr>
        <w:tabs>
          <w:tab w:val="left" w:pos="426"/>
        </w:tabs>
        <w:spacing w:after="200"/>
        <w:contextualSpacing/>
        <w:jc w:val="both"/>
        <w:rPr>
          <w:color w:val="000000"/>
        </w:rPr>
      </w:pPr>
      <w:r w:rsidRPr="00E627A6">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E627A6" w:rsidRPr="00E627A6" w:rsidRDefault="00E627A6" w:rsidP="00E627A6">
      <w:pPr>
        <w:ind w:left="720"/>
        <w:contextualSpacing/>
        <w:rPr>
          <w:sz w:val="20"/>
          <w:szCs w:val="20"/>
        </w:rPr>
      </w:pPr>
    </w:p>
    <w:p w:rsidR="00E627A6" w:rsidRPr="00E627A6" w:rsidRDefault="00E627A6" w:rsidP="00E627A6">
      <w:pPr>
        <w:numPr>
          <w:ilvl w:val="0"/>
          <w:numId w:val="2"/>
        </w:numPr>
        <w:tabs>
          <w:tab w:val="left" w:pos="426"/>
        </w:tabs>
        <w:spacing w:after="200"/>
        <w:contextualSpacing/>
        <w:jc w:val="both"/>
        <w:rPr>
          <w:color w:val="000000"/>
        </w:rPr>
      </w:pPr>
      <w:r w:rsidRPr="00E627A6">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w:t>
      </w:r>
      <w:r w:rsidRPr="00E627A6">
        <w:lastRenderedPageBreak/>
        <w:t>процедури торгів або на рівних умовах, це є прямим і конкретним доказом її відповідності ринковим умовам.</w:t>
      </w:r>
    </w:p>
    <w:p w:rsidR="00E627A6" w:rsidRPr="00E627A6" w:rsidRDefault="00E627A6" w:rsidP="00E627A6">
      <w:pPr>
        <w:ind w:left="720"/>
        <w:contextualSpacing/>
        <w:rPr>
          <w:sz w:val="20"/>
          <w:szCs w:val="20"/>
        </w:rPr>
      </w:pPr>
    </w:p>
    <w:p w:rsidR="00E627A6" w:rsidRPr="00E627A6" w:rsidRDefault="00E627A6" w:rsidP="00E627A6">
      <w:pPr>
        <w:numPr>
          <w:ilvl w:val="0"/>
          <w:numId w:val="2"/>
        </w:numPr>
        <w:tabs>
          <w:tab w:val="left" w:pos="426"/>
        </w:tabs>
        <w:spacing w:after="200"/>
        <w:contextualSpacing/>
        <w:jc w:val="both"/>
      </w:pPr>
      <w:r w:rsidRPr="00E627A6">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E627A6" w:rsidRPr="00E627A6" w:rsidRDefault="00E627A6" w:rsidP="00E627A6"/>
    <w:p w:rsidR="00E627A6" w:rsidRPr="00E627A6" w:rsidRDefault="00E627A6" w:rsidP="00E627A6">
      <w:pPr>
        <w:numPr>
          <w:ilvl w:val="0"/>
          <w:numId w:val="2"/>
        </w:numPr>
        <w:spacing w:after="200"/>
        <w:ind w:left="426" w:hanging="426"/>
        <w:jc w:val="both"/>
        <w:rPr>
          <w:lang w:eastAsia="ru-RU"/>
        </w:rPr>
      </w:pPr>
      <w:r w:rsidRPr="00E627A6">
        <w:t>За інформацією Надавача, конкурсний відбір не проводився.</w:t>
      </w:r>
    </w:p>
    <w:p w:rsidR="00E627A6" w:rsidRPr="00E627A6" w:rsidRDefault="00E627A6" w:rsidP="00B9313F">
      <w:pPr>
        <w:numPr>
          <w:ilvl w:val="0"/>
          <w:numId w:val="2"/>
        </w:numPr>
        <w:spacing w:after="200"/>
        <w:ind w:left="426" w:hanging="426"/>
        <w:jc w:val="both"/>
        <w:rPr>
          <w:lang w:eastAsia="ru-RU"/>
        </w:rPr>
      </w:pPr>
      <w:r w:rsidRPr="00E627A6">
        <w:rPr>
          <w:lang w:eastAsia="ru-RU"/>
        </w:rPr>
        <w:t xml:space="preserve">Оскільки </w:t>
      </w:r>
      <w:r w:rsidRPr="00E627A6">
        <w:t xml:space="preserve">КП «Луцькводоканал» </w:t>
      </w:r>
      <w:r w:rsidRPr="00E627A6">
        <w:rPr>
          <w:lang w:eastAsia="ru-RU"/>
        </w:rPr>
        <w:t xml:space="preserve">не було обрано на умовах конкурентної процедури, не можна стверджувати, що надана Отримувачу економічна вигода у вигляді покриття </w:t>
      </w:r>
      <w:r w:rsidRPr="00E627A6">
        <w:rPr>
          <w:rFonts w:eastAsia="Calibri"/>
          <w:lang w:eastAsia="en-US"/>
        </w:rPr>
        <w:t>витрат</w:t>
      </w:r>
      <w:r w:rsidRPr="00E627A6">
        <w:rPr>
          <w:lang w:eastAsia="ru-RU"/>
        </w:rPr>
        <w:t xml:space="preserve"> на здійснення діяльності була б доступною для нього за звичайних ринкових умов без втручання держави.</w:t>
      </w:r>
    </w:p>
    <w:p w:rsidR="00E627A6" w:rsidRPr="00E627A6" w:rsidRDefault="00BB76C2" w:rsidP="00E627A6">
      <w:pPr>
        <w:numPr>
          <w:ilvl w:val="0"/>
          <w:numId w:val="2"/>
        </w:numPr>
        <w:spacing w:after="200"/>
        <w:jc w:val="both"/>
        <w:rPr>
          <w:lang w:eastAsia="ru-RU"/>
        </w:rPr>
      </w:pPr>
      <w:r>
        <w:rPr>
          <w:lang w:eastAsia="ru-RU"/>
        </w:rPr>
        <w:t xml:space="preserve">Отже, фінансова підтримка </w:t>
      </w:r>
      <w:r w:rsidRPr="00BB76C2">
        <w:rPr>
          <w:b/>
          <w:lang w:eastAsia="ru-RU"/>
        </w:rPr>
        <w:t>створю</w:t>
      </w:r>
      <w:r w:rsidR="00E627A6" w:rsidRPr="00BB76C2">
        <w:rPr>
          <w:b/>
          <w:lang w:eastAsia="ru-RU"/>
        </w:rPr>
        <w:t xml:space="preserve">є </w:t>
      </w:r>
      <w:r w:rsidRPr="00BB76C2">
        <w:rPr>
          <w:b/>
          <w:lang w:eastAsia="ru-RU"/>
        </w:rPr>
        <w:t>переваги</w:t>
      </w:r>
      <w:r w:rsidR="00E627A6" w:rsidRPr="00BB76C2">
        <w:rPr>
          <w:b/>
          <w:lang w:eastAsia="ru-RU"/>
        </w:rPr>
        <w:t xml:space="preserve">, </w:t>
      </w:r>
      <w:r w:rsidR="00E627A6" w:rsidRPr="00BB76C2">
        <w:rPr>
          <w:lang w:eastAsia="ru-RU"/>
        </w:rPr>
        <w:t xml:space="preserve">звільнивши </w:t>
      </w:r>
      <w:r w:rsidRPr="00BB76C2">
        <w:rPr>
          <w:lang w:eastAsia="ru-RU"/>
        </w:rPr>
        <w:t xml:space="preserve">КП «Луцькводоканал» </w:t>
      </w:r>
      <w:r w:rsidR="00E627A6" w:rsidRPr="00BB76C2">
        <w:rPr>
          <w:lang w:eastAsia="ru-RU"/>
        </w:rPr>
        <w:t>від витрат,</w:t>
      </w:r>
      <w:r w:rsidR="00E627A6" w:rsidRPr="00BB76C2">
        <w:rPr>
          <w:b/>
          <w:lang w:eastAsia="ru-RU"/>
        </w:rPr>
        <w:t xml:space="preserve"> </w:t>
      </w:r>
      <w:r w:rsidR="00E627A6" w:rsidRPr="00E627A6">
        <w:rPr>
          <w:lang w:eastAsia="ru-RU"/>
        </w:rPr>
        <w:t>яких в іншому випадку йому довелося б зазнати в ході поточної господарської діяльності, тобто бе</w:t>
      </w:r>
      <w:r w:rsidR="00B9313F">
        <w:rPr>
          <w:lang w:eastAsia="ru-RU"/>
        </w:rPr>
        <w:t>з втручання держави.</w:t>
      </w:r>
    </w:p>
    <w:p w:rsidR="00E627A6" w:rsidRPr="00E627A6" w:rsidRDefault="00E627A6" w:rsidP="00E627A6">
      <w:pPr>
        <w:numPr>
          <w:ilvl w:val="0"/>
          <w:numId w:val="2"/>
        </w:numPr>
        <w:spacing w:after="200"/>
        <w:jc w:val="both"/>
        <w:rPr>
          <w:lang w:eastAsia="ru-RU"/>
        </w:rPr>
      </w:pPr>
      <w:r w:rsidRPr="00E627A6">
        <w:t xml:space="preserve">Відповідно до інформації Надавача </w:t>
      </w:r>
      <w:r w:rsidRPr="00E627A6">
        <w:rPr>
          <w:lang w:eastAsia="ru-RU"/>
        </w:rPr>
        <w:t xml:space="preserve">закупівлю предметів, матеріалів, інвентарю, на які </w:t>
      </w:r>
      <w:r w:rsidRPr="00E627A6">
        <w:t>виділятиметься</w:t>
      </w:r>
      <w:r w:rsidRPr="00E627A6">
        <w:rPr>
          <w:lang w:eastAsia="ru-RU"/>
        </w:rPr>
        <w:t xml:space="preserve"> державна підтримка, буде здійснювати Отримувач відповідно до вимог Закону України «Про публічні закупівлі» з використанням електронної системи закупівель «</w:t>
      </w:r>
      <w:r w:rsidRPr="00E627A6">
        <w:rPr>
          <w:lang w:val="en-US" w:eastAsia="ru-RU"/>
        </w:rPr>
        <w:t>ProZorro</w:t>
      </w:r>
      <w:r w:rsidRPr="00E627A6">
        <w:rPr>
          <w:lang w:eastAsia="ru-RU"/>
        </w:rPr>
        <w:t>».</w:t>
      </w:r>
    </w:p>
    <w:p w:rsidR="00E627A6" w:rsidRPr="00E627A6" w:rsidRDefault="00E627A6" w:rsidP="00B9313F">
      <w:pPr>
        <w:numPr>
          <w:ilvl w:val="0"/>
          <w:numId w:val="2"/>
        </w:numPr>
        <w:spacing w:after="200"/>
        <w:jc w:val="both"/>
        <w:rPr>
          <w:lang w:eastAsia="ru-RU"/>
        </w:rPr>
      </w:pPr>
      <w:r w:rsidRPr="00E627A6">
        <w:rPr>
          <w:lang w:eastAsia="ru-RU"/>
        </w:rPr>
        <w:t xml:space="preserve">Разом із тим </w:t>
      </w:r>
      <w:r w:rsidRPr="00E627A6">
        <w:rPr>
          <w:iCs/>
          <w:lang w:eastAsia="ru-RU"/>
        </w:rPr>
        <w:t>Надавачем обґрунтовано, що державна підтримка на закупівлю необхідних для виконання заходів Програми предметів, матеріалів та інвентарю</w:t>
      </w:r>
      <w:r w:rsidR="00623D08">
        <w:rPr>
          <w:iCs/>
          <w:lang w:eastAsia="ru-RU"/>
        </w:rPr>
        <w:t>,</w:t>
      </w:r>
      <w:r w:rsidRPr="00E627A6">
        <w:rPr>
          <w:iCs/>
          <w:lang w:eastAsia="ru-RU"/>
        </w:rPr>
        <w:t> 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BB76C2">
        <w:rPr>
          <w:b/>
          <w:bCs/>
          <w:iCs/>
          <w:lang w:eastAsia="ru-RU"/>
        </w:rPr>
        <w:t>виключає створення переваг</w:t>
      </w:r>
      <w:r w:rsidRPr="00E627A6">
        <w:rPr>
          <w:iCs/>
          <w:lang w:eastAsia="ru-RU"/>
        </w:rPr>
        <w:t> для виробництва тих видів товарів (техніки та інвентарю), які будуть закуповуватись через систему «</w:t>
      </w:r>
      <w:r w:rsidRPr="00E627A6">
        <w:rPr>
          <w:iCs/>
          <w:lang w:val="en-US" w:eastAsia="ru-RU"/>
        </w:rPr>
        <w:t>ProZorro</w:t>
      </w:r>
      <w:r w:rsidRPr="00E627A6">
        <w:rPr>
          <w:iCs/>
          <w:lang w:eastAsia="ru-RU"/>
        </w:rPr>
        <w:t>».</w:t>
      </w:r>
    </w:p>
    <w:p w:rsidR="00E627A6" w:rsidRPr="00E627A6" w:rsidRDefault="00623D08" w:rsidP="00623D08">
      <w:pPr>
        <w:numPr>
          <w:ilvl w:val="1"/>
          <w:numId w:val="13"/>
        </w:numPr>
        <w:tabs>
          <w:tab w:val="left" w:pos="426"/>
        </w:tabs>
        <w:spacing w:after="200"/>
        <w:jc w:val="both"/>
        <w:rPr>
          <w:b/>
        </w:rPr>
      </w:pPr>
      <w:r>
        <w:rPr>
          <w:b/>
          <w:bCs/>
          <w:lang w:eastAsia="ru-RU"/>
        </w:rPr>
        <w:t xml:space="preserve"> </w:t>
      </w:r>
      <w:r w:rsidR="00E627A6" w:rsidRPr="00E627A6">
        <w:rPr>
          <w:b/>
          <w:bCs/>
          <w:lang w:eastAsia="ru-RU"/>
        </w:rPr>
        <w:t>Спотворення або загроза спотворення економічної конкуренції</w:t>
      </w:r>
    </w:p>
    <w:p w:rsidR="00E627A6" w:rsidRPr="00E627A6" w:rsidRDefault="00E627A6" w:rsidP="00E627A6">
      <w:pPr>
        <w:numPr>
          <w:ilvl w:val="0"/>
          <w:numId w:val="2"/>
        </w:numPr>
        <w:tabs>
          <w:tab w:val="left" w:pos="426"/>
          <w:tab w:val="left" w:pos="993"/>
          <w:tab w:val="left" w:pos="1701"/>
        </w:tabs>
        <w:spacing w:after="200"/>
        <w:contextualSpacing/>
        <w:jc w:val="both"/>
        <w:rPr>
          <w:color w:val="000000"/>
        </w:rPr>
      </w:pPr>
      <w:r w:rsidRPr="00E627A6">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E627A6" w:rsidRPr="00E627A6" w:rsidRDefault="00E627A6" w:rsidP="00E627A6">
      <w:pPr>
        <w:tabs>
          <w:tab w:val="left" w:pos="426"/>
          <w:tab w:val="left" w:pos="993"/>
          <w:tab w:val="left" w:pos="1701"/>
        </w:tabs>
        <w:contextualSpacing/>
        <w:jc w:val="both"/>
        <w:rPr>
          <w:color w:val="000000"/>
        </w:rPr>
      </w:pPr>
    </w:p>
    <w:p w:rsidR="00E627A6" w:rsidRPr="00E627A6" w:rsidRDefault="00E627A6" w:rsidP="00E627A6">
      <w:pPr>
        <w:numPr>
          <w:ilvl w:val="0"/>
          <w:numId w:val="2"/>
        </w:numPr>
        <w:tabs>
          <w:tab w:val="left" w:pos="426"/>
          <w:tab w:val="left" w:pos="993"/>
          <w:tab w:val="left" w:pos="1701"/>
        </w:tabs>
        <w:spacing w:after="200"/>
        <w:contextualSpacing/>
        <w:jc w:val="both"/>
        <w:rPr>
          <w:color w:val="000000"/>
        </w:rPr>
      </w:pPr>
      <w:r w:rsidRPr="00E627A6">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627A6" w:rsidRPr="00E627A6" w:rsidRDefault="00E627A6" w:rsidP="00E627A6">
      <w:pPr>
        <w:tabs>
          <w:tab w:val="left" w:pos="426"/>
          <w:tab w:val="left" w:pos="993"/>
          <w:tab w:val="left" w:pos="1701"/>
        </w:tabs>
        <w:contextualSpacing/>
        <w:jc w:val="both"/>
        <w:rPr>
          <w:color w:val="000000"/>
          <w:sz w:val="20"/>
          <w:szCs w:val="20"/>
        </w:rPr>
      </w:pPr>
    </w:p>
    <w:p w:rsidR="00E627A6" w:rsidRPr="00E627A6" w:rsidRDefault="00E627A6" w:rsidP="00E627A6">
      <w:pPr>
        <w:numPr>
          <w:ilvl w:val="0"/>
          <w:numId w:val="2"/>
        </w:numPr>
        <w:tabs>
          <w:tab w:val="left" w:pos="426"/>
          <w:tab w:val="left" w:pos="993"/>
          <w:tab w:val="left" w:pos="1701"/>
        </w:tabs>
        <w:spacing w:after="200"/>
        <w:contextualSpacing/>
        <w:jc w:val="both"/>
        <w:rPr>
          <w:color w:val="000000"/>
        </w:rPr>
      </w:pPr>
      <w:r w:rsidRPr="00E627A6">
        <w:rPr>
          <w:color w:val="000000"/>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w:t>
      </w:r>
      <w:r w:rsidRPr="00E627A6">
        <w:rPr>
          <w:color w:val="000000"/>
        </w:rPr>
        <w:lastRenderedPageBreak/>
        <w:t>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E627A6" w:rsidRPr="00E627A6" w:rsidRDefault="00E627A6" w:rsidP="00E627A6">
      <w:pPr>
        <w:tabs>
          <w:tab w:val="left" w:pos="426"/>
          <w:tab w:val="left" w:pos="993"/>
          <w:tab w:val="left" w:pos="1701"/>
        </w:tabs>
        <w:contextualSpacing/>
        <w:jc w:val="both"/>
        <w:rPr>
          <w:color w:val="000000"/>
        </w:rPr>
      </w:pPr>
    </w:p>
    <w:p w:rsidR="00E627A6" w:rsidRPr="00E627A6" w:rsidRDefault="00E627A6" w:rsidP="00E627A6">
      <w:pPr>
        <w:numPr>
          <w:ilvl w:val="0"/>
          <w:numId w:val="2"/>
        </w:numPr>
        <w:tabs>
          <w:tab w:val="left" w:pos="426"/>
          <w:tab w:val="left" w:pos="993"/>
          <w:tab w:val="left" w:pos="1701"/>
        </w:tabs>
        <w:spacing w:after="200"/>
        <w:contextualSpacing/>
        <w:jc w:val="both"/>
        <w:rPr>
          <w:color w:val="000000"/>
          <w:lang w:val="ru-RU"/>
        </w:rPr>
      </w:pPr>
      <w:proofErr w:type="gramStart"/>
      <w:r w:rsidRPr="00E627A6">
        <w:rPr>
          <w:color w:val="000000"/>
          <w:lang w:val="ru-RU"/>
        </w:rPr>
        <w:t>Відповідно до статті 6 Закону України «Про питну воду, питне водопостачання та водовідведення» до принципів державної політики у сфері питної води, питного водопостачання та водовідведення</w:t>
      </w:r>
      <w:r w:rsidRPr="00E627A6">
        <w:rPr>
          <w:color w:val="000000"/>
        </w:rPr>
        <w:t xml:space="preserve"> </w:t>
      </w:r>
      <w:r w:rsidRPr="00E627A6">
        <w:rPr>
          <w:color w:val="000000"/>
          <w:lang w:val="ru-RU"/>
        </w:rPr>
        <w:t xml:space="preserve">належить, зокрема, гарантоване першочергове забезпечення питною водою населення для забезпечення питних, фізіологічних, санітарно-гігієнічних та побутових потреб. </w:t>
      </w:r>
      <w:proofErr w:type="gramEnd"/>
    </w:p>
    <w:p w:rsidR="00E627A6" w:rsidRPr="00E627A6" w:rsidRDefault="00E627A6" w:rsidP="00E627A6">
      <w:pPr>
        <w:tabs>
          <w:tab w:val="left" w:pos="426"/>
          <w:tab w:val="left" w:pos="993"/>
          <w:tab w:val="left" w:pos="1701"/>
        </w:tabs>
        <w:contextualSpacing/>
        <w:jc w:val="both"/>
        <w:rPr>
          <w:color w:val="000000"/>
          <w:lang w:val="ru-RU"/>
        </w:rPr>
      </w:pPr>
    </w:p>
    <w:p w:rsidR="00E627A6" w:rsidRPr="00E627A6" w:rsidRDefault="00E627A6" w:rsidP="00E627A6">
      <w:pPr>
        <w:numPr>
          <w:ilvl w:val="0"/>
          <w:numId w:val="2"/>
        </w:numPr>
        <w:tabs>
          <w:tab w:val="left" w:pos="426"/>
          <w:tab w:val="left" w:pos="993"/>
          <w:tab w:val="left" w:pos="1701"/>
        </w:tabs>
        <w:spacing w:after="200"/>
        <w:contextualSpacing/>
        <w:jc w:val="both"/>
        <w:rPr>
          <w:color w:val="000000"/>
          <w:lang w:val="ru-RU"/>
        </w:rPr>
      </w:pPr>
      <w:r w:rsidRPr="00E627A6">
        <w:rPr>
          <w:color w:val="000000"/>
          <w:lang w:val="ru-RU"/>
        </w:rPr>
        <w:t xml:space="preserve">Сфера природної монополії передбачає відсутність конкуренції </w:t>
      </w:r>
      <w:proofErr w:type="gramStart"/>
      <w:r w:rsidRPr="00E627A6">
        <w:rPr>
          <w:color w:val="000000"/>
          <w:lang w:val="ru-RU"/>
        </w:rPr>
        <w:t>на</w:t>
      </w:r>
      <w:proofErr w:type="gramEnd"/>
      <w:r w:rsidRPr="00E627A6">
        <w:rPr>
          <w:color w:val="000000"/>
          <w:lang w:val="ru-RU"/>
        </w:rPr>
        <w:t xml:space="preserve"> відповідному </w:t>
      </w:r>
      <w:proofErr w:type="gramStart"/>
      <w:r w:rsidRPr="00E627A6">
        <w:rPr>
          <w:color w:val="000000"/>
          <w:lang w:val="ru-RU"/>
        </w:rPr>
        <w:t>ринку</w:t>
      </w:r>
      <w:proofErr w:type="gramEnd"/>
      <w:r w:rsidRPr="00E627A6">
        <w:rPr>
          <w:color w:val="000000"/>
          <w:lang w:val="ru-RU"/>
        </w:rPr>
        <w:t xml:space="preserve"> внаслідок технологічних особливостей виробництва.</w:t>
      </w:r>
    </w:p>
    <w:p w:rsidR="00E627A6" w:rsidRPr="00E627A6" w:rsidRDefault="00E627A6" w:rsidP="00E627A6">
      <w:pPr>
        <w:tabs>
          <w:tab w:val="left" w:pos="426"/>
          <w:tab w:val="left" w:pos="993"/>
          <w:tab w:val="left" w:pos="1701"/>
        </w:tabs>
        <w:contextualSpacing/>
        <w:jc w:val="both"/>
        <w:rPr>
          <w:color w:val="000000"/>
          <w:lang w:val="ru-RU"/>
        </w:rPr>
      </w:pPr>
      <w:r w:rsidRPr="00E627A6">
        <w:rPr>
          <w:color w:val="000000"/>
          <w:lang w:val="ru-RU"/>
        </w:rPr>
        <w:t xml:space="preserve"> </w:t>
      </w:r>
    </w:p>
    <w:p w:rsidR="00E627A6" w:rsidRPr="00E627A6" w:rsidRDefault="00E627A6" w:rsidP="00E627A6">
      <w:pPr>
        <w:numPr>
          <w:ilvl w:val="0"/>
          <w:numId w:val="2"/>
        </w:numPr>
        <w:spacing w:after="200"/>
        <w:contextualSpacing/>
        <w:jc w:val="both"/>
        <w:rPr>
          <w:lang w:val="ru-RU"/>
        </w:rPr>
      </w:pPr>
      <w:r w:rsidRPr="00E627A6">
        <w:rPr>
          <w:color w:val="000000"/>
          <w:lang w:val="ru-RU"/>
        </w:rPr>
        <w:t xml:space="preserve"> На ринку надання послуг із водопостачання та водовідведення в мі</w:t>
      </w:r>
      <w:proofErr w:type="gramStart"/>
      <w:r w:rsidRPr="00E627A6">
        <w:rPr>
          <w:color w:val="000000"/>
          <w:lang w:val="ru-RU"/>
        </w:rPr>
        <w:t>ст</w:t>
      </w:r>
      <w:proofErr w:type="gramEnd"/>
      <w:r w:rsidRPr="00E627A6">
        <w:rPr>
          <w:color w:val="000000"/>
          <w:lang w:val="ru-RU"/>
        </w:rPr>
        <w:t xml:space="preserve">і </w:t>
      </w:r>
      <w:r w:rsidRPr="00E627A6">
        <w:rPr>
          <w:color w:val="000000"/>
        </w:rPr>
        <w:t>Луцьк</w:t>
      </w:r>
      <w:r w:rsidR="006B0CFB">
        <w:rPr>
          <w:color w:val="000000"/>
          <w:lang w:val="ru-RU"/>
        </w:rPr>
        <w:t>у</w:t>
      </w:r>
      <w:r w:rsidRPr="00E627A6">
        <w:rPr>
          <w:color w:val="000000"/>
          <w:lang w:val="ru-RU"/>
        </w:rPr>
        <w:t xml:space="preserve"> у </w:t>
      </w:r>
      <w:r w:rsidR="00623D08">
        <w:rPr>
          <w:color w:val="000000"/>
          <w:lang w:val="ru-RU"/>
        </w:rPr>
        <w:t xml:space="preserve">                    </w:t>
      </w:r>
      <w:r w:rsidRPr="00E627A6">
        <w:rPr>
          <w:color w:val="000000"/>
          <w:lang w:val="ru-RU"/>
        </w:rPr>
        <w:t>КП «</w:t>
      </w:r>
      <w:r w:rsidRPr="00E627A6">
        <w:rPr>
          <w:color w:val="000000"/>
        </w:rPr>
        <w:t>Луцьк</w:t>
      </w:r>
      <w:r w:rsidRPr="00E627A6">
        <w:rPr>
          <w:color w:val="000000"/>
          <w:lang w:val="ru-RU"/>
        </w:rPr>
        <w:t xml:space="preserve">водоканал» </w:t>
      </w:r>
      <w:r w:rsidRPr="00E627A6">
        <w:rPr>
          <w:bCs/>
          <w:color w:val="000000"/>
          <w:lang w:val="ru-RU"/>
        </w:rPr>
        <w:t>відсутні конкуренти</w:t>
      </w:r>
      <w:r w:rsidRPr="00E627A6">
        <w:rPr>
          <w:color w:val="000000"/>
          <w:lang w:val="ru-RU"/>
        </w:rPr>
        <w:t xml:space="preserve">. </w:t>
      </w:r>
      <w:r w:rsidRPr="00E627A6">
        <w:rPr>
          <w:bCs/>
          <w:lang w:val="ru-RU"/>
        </w:rPr>
        <w:t xml:space="preserve">КП «Луцькводоканал» є єдиним виконавцем послуг </w:t>
      </w:r>
      <w:r w:rsidR="00623D08">
        <w:rPr>
          <w:bCs/>
          <w:lang w:val="ru-RU"/>
        </w:rPr>
        <w:t>і</w:t>
      </w:r>
      <w:r w:rsidRPr="00E627A6">
        <w:rPr>
          <w:bCs/>
          <w:lang w:val="ru-RU"/>
        </w:rPr>
        <w:t xml:space="preserve">з централізованого водопостачання та водовідведення та включене до Зведеного переліку природних монополій, розміщеного на сайті Антимонопольного комітету України станом на </w:t>
      </w:r>
      <w:r w:rsidRPr="00E627A6">
        <w:rPr>
          <w:bCs/>
        </w:rPr>
        <w:t>жовтень</w:t>
      </w:r>
      <w:r w:rsidRPr="00E627A6">
        <w:rPr>
          <w:bCs/>
          <w:lang w:val="ru-RU"/>
        </w:rPr>
        <w:t xml:space="preserve"> 2020 рок</w:t>
      </w:r>
      <w:r w:rsidR="006B0CFB">
        <w:rPr>
          <w:bCs/>
          <w:lang w:val="ru-RU"/>
        </w:rPr>
        <w:t>у</w:t>
      </w:r>
      <w:r w:rsidR="00623D08">
        <w:rPr>
          <w:bCs/>
          <w:lang w:val="ru-RU"/>
        </w:rPr>
        <w:t xml:space="preserve"> за</w:t>
      </w:r>
      <w:r w:rsidRPr="00E627A6">
        <w:rPr>
          <w:bCs/>
          <w:lang w:val="ru-RU"/>
        </w:rPr>
        <w:t xml:space="preserve"> № 145</w:t>
      </w:r>
      <w:r w:rsidRPr="00E627A6">
        <w:t>.</w:t>
      </w:r>
    </w:p>
    <w:p w:rsidR="00E627A6" w:rsidRPr="00E627A6" w:rsidRDefault="00E627A6" w:rsidP="00E627A6">
      <w:pPr>
        <w:ind w:left="720"/>
        <w:contextualSpacing/>
        <w:rPr>
          <w:lang w:val="ru-RU"/>
        </w:rPr>
      </w:pPr>
    </w:p>
    <w:p w:rsidR="00E627A6" w:rsidRPr="00E627A6" w:rsidRDefault="00E627A6" w:rsidP="00E627A6">
      <w:pPr>
        <w:numPr>
          <w:ilvl w:val="0"/>
          <w:numId w:val="2"/>
        </w:numPr>
        <w:spacing w:after="200"/>
        <w:contextualSpacing/>
        <w:jc w:val="both"/>
        <w:rPr>
          <w:lang w:val="ru-RU"/>
        </w:rPr>
      </w:pPr>
      <w:r w:rsidRPr="00E627A6">
        <w:t>Надавач зазначає, що співвідношення обсягу послуг централізованого водопостачання та водовідведення із загальним обсягом послуг становить 99,6 %.</w:t>
      </w:r>
    </w:p>
    <w:p w:rsidR="00E627A6" w:rsidRPr="00E627A6" w:rsidRDefault="00E627A6" w:rsidP="00E627A6">
      <w:pPr>
        <w:tabs>
          <w:tab w:val="left" w:pos="426"/>
          <w:tab w:val="left" w:pos="993"/>
          <w:tab w:val="left" w:pos="1701"/>
        </w:tabs>
        <w:ind w:left="360"/>
        <w:contextualSpacing/>
        <w:jc w:val="both"/>
        <w:rPr>
          <w:color w:val="000000"/>
          <w:lang w:val="ru-RU"/>
        </w:rPr>
      </w:pPr>
    </w:p>
    <w:p w:rsidR="00E627A6" w:rsidRPr="00E627A6" w:rsidRDefault="00E627A6" w:rsidP="00E627A6">
      <w:pPr>
        <w:numPr>
          <w:ilvl w:val="0"/>
          <w:numId w:val="2"/>
        </w:numPr>
        <w:tabs>
          <w:tab w:val="left" w:pos="426"/>
          <w:tab w:val="left" w:pos="993"/>
          <w:tab w:val="left" w:pos="1701"/>
        </w:tabs>
        <w:spacing w:after="200"/>
        <w:contextualSpacing/>
        <w:jc w:val="both"/>
        <w:rPr>
          <w:color w:val="000000"/>
          <w:lang w:val="ru-RU"/>
        </w:rPr>
      </w:pPr>
      <w:proofErr w:type="gramStart"/>
      <w:r w:rsidRPr="00E627A6">
        <w:rPr>
          <w:color w:val="000000"/>
          <w:lang w:val="ru-RU"/>
        </w:rPr>
        <w:t>З</w:t>
      </w:r>
      <w:proofErr w:type="gramEnd"/>
      <w:r w:rsidRPr="00E627A6">
        <w:rPr>
          <w:color w:val="000000"/>
          <w:lang w:val="ru-RU"/>
        </w:rPr>
        <w:t xml:space="preserve"> огляду на зазначене, надання державної підтримки КП «</w:t>
      </w:r>
      <w:r w:rsidRPr="00E627A6">
        <w:rPr>
          <w:color w:val="000000"/>
        </w:rPr>
        <w:t>Луцьк</w:t>
      </w:r>
      <w:r w:rsidRPr="00E627A6">
        <w:rPr>
          <w:color w:val="000000"/>
          <w:lang w:val="ru-RU"/>
        </w:rPr>
        <w:t xml:space="preserve">водоканал» як суб’єкту природної монополії </w:t>
      </w:r>
      <w:r w:rsidRPr="00E627A6">
        <w:rPr>
          <w:b/>
          <w:bCs/>
          <w:color w:val="000000"/>
          <w:lang w:val="ru-RU"/>
        </w:rPr>
        <w:t xml:space="preserve">не загрожуватиме спотворенням економічної конкуренції. </w:t>
      </w:r>
    </w:p>
    <w:p w:rsidR="00E627A6" w:rsidRPr="00E627A6" w:rsidRDefault="00E627A6" w:rsidP="00E627A6">
      <w:pPr>
        <w:tabs>
          <w:tab w:val="left" w:pos="426"/>
          <w:tab w:val="left" w:pos="993"/>
          <w:tab w:val="left" w:pos="1701"/>
        </w:tabs>
        <w:ind w:left="360"/>
        <w:contextualSpacing/>
        <w:jc w:val="both"/>
        <w:rPr>
          <w:color w:val="000000"/>
        </w:rPr>
      </w:pPr>
    </w:p>
    <w:p w:rsidR="00E627A6" w:rsidRPr="00E627A6" w:rsidRDefault="00623D08" w:rsidP="00E627A6">
      <w:pPr>
        <w:rPr>
          <w:b/>
          <w:bCs/>
        </w:rPr>
      </w:pPr>
      <w:r>
        <w:rPr>
          <w:b/>
          <w:bCs/>
        </w:rPr>
        <w:t>4</w:t>
      </w:r>
      <w:r w:rsidR="00E627A6" w:rsidRPr="00E627A6">
        <w:rPr>
          <w:b/>
          <w:bCs/>
        </w:rPr>
        <w:t>.5. Віднесення повідомленої фінансової підтримки до державної допомоги</w:t>
      </w:r>
    </w:p>
    <w:p w:rsidR="00E627A6" w:rsidRPr="00E627A6" w:rsidRDefault="00E627A6" w:rsidP="00E627A6">
      <w:pPr>
        <w:rPr>
          <w:b/>
          <w:bCs/>
          <w:sz w:val="16"/>
          <w:szCs w:val="16"/>
        </w:rPr>
      </w:pPr>
    </w:p>
    <w:p w:rsidR="00B9313F" w:rsidRDefault="00E627A6" w:rsidP="00B9313F">
      <w:pPr>
        <w:numPr>
          <w:ilvl w:val="0"/>
          <w:numId w:val="2"/>
        </w:numPr>
        <w:shd w:val="clear" w:color="auto" w:fill="FFFFFF"/>
        <w:tabs>
          <w:tab w:val="left" w:pos="426"/>
          <w:tab w:val="left" w:pos="993"/>
          <w:tab w:val="left" w:pos="1701"/>
        </w:tabs>
        <w:spacing w:after="200"/>
        <w:contextualSpacing/>
        <w:jc w:val="both"/>
      </w:pPr>
      <w:r w:rsidRPr="00E627A6">
        <w:t xml:space="preserve">Враховуючи наведене, </w:t>
      </w:r>
      <w:r w:rsidRPr="00E627A6">
        <w:rPr>
          <w:lang w:eastAsia="ru-RU"/>
        </w:rPr>
        <w:t xml:space="preserve">підтримка (фінансування), яку надає Департамент житлово-комунального господарства Луцької міської ради </w:t>
      </w:r>
      <w:r w:rsidRPr="00E627A6">
        <w:t xml:space="preserve">КП «Луцькводоканал» у формі субсидії  на реалізацію комплексу заходів щодо безперебійного надання послуг водопостачання та водовідведення </w:t>
      </w:r>
      <w:r w:rsidRPr="00E627A6">
        <w:rPr>
          <w:color w:val="000000"/>
          <w:lang w:eastAsia="ru-RU"/>
        </w:rPr>
        <w:t xml:space="preserve">на </w:t>
      </w:r>
      <w:r w:rsidRPr="00E627A6">
        <w:rPr>
          <w:lang w:eastAsia="ru-RU"/>
        </w:rPr>
        <w:t xml:space="preserve">період з 01.01.2021 по 31.12.2021 </w:t>
      </w:r>
      <w:r w:rsidRPr="00E627A6">
        <w:rPr>
          <w:color w:val="000000"/>
          <w:lang w:eastAsia="ru-RU"/>
        </w:rPr>
        <w:t>обсягом</w:t>
      </w:r>
      <w:r w:rsidRPr="00E627A6">
        <w:rPr>
          <w:lang w:eastAsia="ru-RU"/>
        </w:rPr>
        <w:t xml:space="preserve"> 102 815 000 грн, не є державною допомогою відповідно до Закону України «Про державну допомогу суб’єктам господарювання».</w:t>
      </w:r>
    </w:p>
    <w:p w:rsidR="00B9313F" w:rsidRPr="00E627A6" w:rsidRDefault="00B9313F" w:rsidP="00B9313F">
      <w:pPr>
        <w:shd w:val="clear" w:color="auto" w:fill="FFFFFF"/>
        <w:tabs>
          <w:tab w:val="left" w:pos="426"/>
          <w:tab w:val="left" w:pos="993"/>
          <w:tab w:val="left" w:pos="1701"/>
        </w:tabs>
        <w:spacing w:after="200"/>
        <w:ind w:left="360"/>
        <w:contextualSpacing/>
        <w:jc w:val="both"/>
      </w:pPr>
    </w:p>
    <w:p w:rsidR="00E627A6" w:rsidRPr="00E627A6" w:rsidRDefault="00E627A6" w:rsidP="00E627A6">
      <w:pPr>
        <w:shd w:val="clear" w:color="auto" w:fill="FFFFFF"/>
        <w:tabs>
          <w:tab w:val="left" w:pos="426"/>
          <w:tab w:val="left" w:pos="993"/>
          <w:tab w:val="left" w:pos="1701"/>
        </w:tabs>
        <w:contextualSpacing/>
        <w:jc w:val="both"/>
        <w:rPr>
          <w:sz w:val="16"/>
          <w:szCs w:val="16"/>
          <w:lang w:eastAsia="ru-RU"/>
        </w:rPr>
      </w:pPr>
    </w:p>
    <w:p w:rsidR="00E627A6" w:rsidRPr="00E627A6" w:rsidRDefault="00E627A6" w:rsidP="00623D08">
      <w:pPr>
        <w:numPr>
          <w:ilvl w:val="0"/>
          <w:numId w:val="13"/>
        </w:numPr>
        <w:tabs>
          <w:tab w:val="left" w:pos="284"/>
          <w:tab w:val="left" w:pos="426"/>
          <w:tab w:val="left" w:pos="851"/>
          <w:tab w:val="left" w:pos="1134"/>
        </w:tabs>
        <w:spacing w:after="200"/>
        <w:contextualSpacing/>
        <w:jc w:val="both"/>
        <w:rPr>
          <w:b/>
        </w:rPr>
      </w:pPr>
      <w:r w:rsidRPr="00E627A6">
        <w:rPr>
          <w:b/>
        </w:rPr>
        <w:t>ВИСНОВКИ ЗА РЕЗУЛЬТАТАМИ РОЗГЛЯДУ ПОВІДОМЛЕННЯ</w:t>
      </w:r>
    </w:p>
    <w:p w:rsidR="00E627A6" w:rsidRPr="00E627A6" w:rsidRDefault="00E627A6" w:rsidP="00E627A6">
      <w:pPr>
        <w:ind w:left="360"/>
        <w:jc w:val="both"/>
        <w:rPr>
          <w:lang w:val="ru-RU"/>
        </w:rPr>
      </w:pPr>
    </w:p>
    <w:p w:rsidR="00E627A6" w:rsidRPr="00E627A6" w:rsidRDefault="00E627A6" w:rsidP="00E627A6">
      <w:pPr>
        <w:numPr>
          <w:ilvl w:val="0"/>
          <w:numId w:val="2"/>
        </w:numPr>
        <w:spacing w:after="200"/>
        <w:contextualSpacing/>
        <w:jc w:val="both"/>
        <w:rPr>
          <w:bCs/>
          <w:lang w:val="ru-RU"/>
        </w:rPr>
      </w:pPr>
      <w:r w:rsidRPr="00E627A6">
        <w:rPr>
          <w:lang w:val="ru-RU"/>
        </w:rPr>
        <w:t>Виконавцем послуг із централізованого водопостачання та водовідведення в мі</w:t>
      </w:r>
      <w:proofErr w:type="gramStart"/>
      <w:r w:rsidRPr="00E627A6">
        <w:rPr>
          <w:lang w:val="ru-RU"/>
        </w:rPr>
        <w:t>ст</w:t>
      </w:r>
      <w:proofErr w:type="gramEnd"/>
      <w:r w:rsidRPr="00E627A6">
        <w:rPr>
          <w:lang w:val="ru-RU"/>
        </w:rPr>
        <w:t>і</w:t>
      </w:r>
      <w:r w:rsidRPr="00E627A6">
        <w:t xml:space="preserve"> Луцьк</w:t>
      </w:r>
      <w:r w:rsidRPr="00E627A6">
        <w:rPr>
          <w:lang w:val="ru-RU"/>
        </w:rPr>
        <w:t xml:space="preserve"> є КП «</w:t>
      </w:r>
      <w:r w:rsidRPr="00E627A6">
        <w:t>Луцьк</w:t>
      </w:r>
      <w:r w:rsidRPr="00E627A6">
        <w:rPr>
          <w:lang w:val="ru-RU"/>
        </w:rPr>
        <w:t xml:space="preserve">водоканал» на підставі </w:t>
      </w:r>
      <w:r w:rsidRPr="00E627A6">
        <w:rPr>
          <w:bCs/>
        </w:rPr>
        <w:t>постанови НКРЕКП № 397 від 28.03.2017 «Про переоформлення ліцензії на централізоване водопостачання та водовідведення, виданої КП «Луцькводоканал».</w:t>
      </w:r>
    </w:p>
    <w:p w:rsidR="00E627A6" w:rsidRPr="00E627A6" w:rsidRDefault="00E627A6" w:rsidP="00E627A6">
      <w:pPr>
        <w:ind w:left="360"/>
        <w:jc w:val="both"/>
        <w:rPr>
          <w:lang w:val="ru-RU"/>
        </w:rPr>
      </w:pPr>
    </w:p>
    <w:p w:rsidR="00E627A6" w:rsidRPr="00E627A6" w:rsidRDefault="00E627A6" w:rsidP="00B9313F">
      <w:pPr>
        <w:numPr>
          <w:ilvl w:val="0"/>
          <w:numId w:val="2"/>
        </w:numPr>
        <w:spacing w:after="200"/>
        <w:jc w:val="both"/>
        <w:rPr>
          <w:lang w:val="ru-RU"/>
        </w:rPr>
      </w:pPr>
      <w:proofErr w:type="gramStart"/>
      <w:r w:rsidRPr="00E627A6">
        <w:rPr>
          <w:lang w:val="ru-RU"/>
        </w:rPr>
        <w:t>П</w:t>
      </w:r>
      <w:proofErr w:type="gramEnd"/>
      <w:r w:rsidRPr="00E627A6">
        <w:rPr>
          <w:lang w:val="ru-RU"/>
        </w:rPr>
        <w:t xml:space="preserve">ідприємство </w:t>
      </w:r>
      <w:r w:rsidRPr="00E627A6">
        <w:rPr>
          <w:b/>
          <w:bCs/>
          <w:lang w:val="ru-RU"/>
        </w:rPr>
        <w:t xml:space="preserve">займає монопольне становище та його внесено до зведеного переліку суб’єктів природних монополій </w:t>
      </w:r>
      <w:r w:rsidRPr="00E627A6">
        <w:rPr>
          <w:lang w:val="ru-RU"/>
        </w:rPr>
        <w:t>із централізованого водопостачання та водовідведення за номером</w:t>
      </w:r>
      <w:r w:rsidRPr="00E627A6">
        <w:t xml:space="preserve"> 145</w:t>
      </w:r>
      <w:r w:rsidRPr="00E627A6">
        <w:rPr>
          <w:lang w:val="ru-RU"/>
        </w:rPr>
        <w:t xml:space="preserve">. </w:t>
      </w:r>
    </w:p>
    <w:p w:rsidR="00E627A6" w:rsidRPr="00E627A6" w:rsidRDefault="00E627A6" w:rsidP="00E627A6">
      <w:pPr>
        <w:numPr>
          <w:ilvl w:val="0"/>
          <w:numId w:val="2"/>
        </w:numPr>
        <w:spacing w:after="200"/>
        <w:jc w:val="both"/>
        <w:rPr>
          <w:lang w:val="ru-RU"/>
        </w:rPr>
      </w:pPr>
      <w:proofErr w:type="gramStart"/>
      <w:r w:rsidRPr="00E627A6">
        <w:rPr>
          <w:lang w:val="ru-RU"/>
        </w:rPr>
        <w:t>КП «</w:t>
      </w:r>
      <w:r w:rsidRPr="00E627A6">
        <w:t>Луцьк</w:t>
      </w:r>
      <w:r w:rsidRPr="00E627A6">
        <w:rPr>
          <w:lang w:val="ru-RU"/>
        </w:rPr>
        <w:t>водоканал» здійснює свою діяльність за допомогою об’єктів централізованого водопостачання та водовідведення, пов’язаних єдиним технологічним процесом виробництва і транспортування питної води</w:t>
      </w:r>
      <w:r w:rsidRPr="00E627A6">
        <w:t>.</w:t>
      </w:r>
      <w:proofErr w:type="gramEnd"/>
    </w:p>
    <w:p w:rsidR="00E627A6" w:rsidRPr="00E627A6" w:rsidRDefault="00E627A6" w:rsidP="00E627A6">
      <w:pPr>
        <w:numPr>
          <w:ilvl w:val="0"/>
          <w:numId w:val="2"/>
        </w:numPr>
        <w:spacing w:after="200"/>
        <w:jc w:val="both"/>
        <w:rPr>
          <w:lang w:val="ru-RU"/>
        </w:rPr>
      </w:pPr>
      <w:proofErr w:type="gramStart"/>
      <w:r w:rsidRPr="00E627A6">
        <w:rPr>
          <w:lang w:val="ru-RU"/>
        </w:rPr>
        <w:t xml:space="preserve">Відповідно до статті 6 Закону України «Про питну воду, питне водопостачання та водовідведення» до принципів державної політики у сфері питної води, питного водопостачання та водовідведення належить, зокрема, гарантоване першочергове </w:t>
      </w:r>
      <w:r w:rsidRPr="00E627A6">
        <w:rPr>
          <w:lang w:val="ru-RU"/>
        </w:rPr>
        <w:lastRenderedPageBreak/>
        <w:t xml:space="preserve">забезпечення питною водою населення для забезпечення питних, фізіологічних, санітарно-гігієнічних та побутових потреб. </w:t>
      </w:r>
      <w:proofErr w:type="gramEnd"/>
    </w:p>
    <w:p w:rsidR="00E627A6" w:rsidRPr="00E627A6" w:rsidRDefault="00E627A6" w:rsidP="00E627A6">
      <w:pPr>
        <w:numPr>
          <w:ilvl w:val="0"/>
          <w:numId w:val="2"/>
        </w:numPr>
        <w:spacing w:after="200"/>
        <w:contextualSpacing/>
        <w:jc w:val="both"/>
        <w:rPr>
          <w:lang w:eastAsia="ru-RU"/>
        </w:rPr>
      </w:pPr>
      <w:r w:rsidRPr="00E627A6">
        <w:rPr>
          <w:lang w:eastAsia="ru-RU"/>
        </w:rPr>
        <w:t>Державна підтримка КП «Луцькводоканал» надається з метою забезпечення належного виконання функції природної монополії – надання послуг централізованого водопостачання та</w:t>
      </w:r>
      <w:r w:rsidR="00623D08">
        <w:rPr>
          <w:lang w:eastAsia="ru-RU"/>
        </w:rPr>
        <w:t xml:space="preserve"> водовідведення для мешканців міста</w:t>
      </w:r>
      <w:r w:rsidRPr="00E627A6">
        <w:rPr>
          <w:lang w:eastAsia="ru-RU"/>
        </w:rPr>
        <w:t xml:space="preserve"> Луцька та прилеглих селищ.</w:t>
      </w:r>
    </w:p>
    <w:p w:rsidR="00E627A6" w:rsidRPr="00E627A6" w:rsidRDefault="00E627A6" w:rsidP="00E627A6">
      <w:pPr>
        <w:ind w:left="360"/>
        <w:jc w:val="both"/>
        <w:rPr>
          <w:lang w:val="ru-RU"/>
        </w:rPr>
      </w:pPr>
    </w:p>
    <w:p w:rsidR="00E627A6" w:rsidRPr="00E627A6" w:rsidRDefault="00E627A6" w:rsidP="00E627A6">
      <w:pPr>
        <w:numPr>
          <w:ilvl w:val="0"/>
          <w:numId w:val="2"/>
        </w:numPr>
        <w:spacing w:after="200"/>
        <w:jc w:val="both"/>
        <w:rPr>
          <w:lang w:val="ru-RU"/>
        </w:rPr>
      </w:pPr>
      <w:r w:rsidRPr="00E627A6">
        <w:rPr>
          <w:lang w:val="ru-RU"/>
        </w:rPr>
        <w:t xml:space="preserve">Відповідно до Повідомлення, державна </w:t>
      </w:r>
      <w:proofErr w:type="gramStart"/>
      <w:r w:rsidRPr="00E627A6">
        <w:t>п</w:t>
      </w:r>
      <w:proofErr w:type="gramEnd"/>
      <w:r w:rsidRPr="00E627A6">
        <w:t>ідтримка</w:t>
      </w:r>
      <w:r w:rsidRPr="00E627A6">
        <w:rPr>
          <w:lang w:val="ru-RU"/>
        </w:rPr>
        <w:t xml:space="preserve"> </w:t>
      </w:r>
      <w:r w:rsidRPr="00E627A6">
        <w:rPr>
          <w:lang w:eastAsia="ru-RU"/>
        </w:rPr>
        <w:t>сприятиме сталому функціонуванню підприємства, обмеженню шкідливого впливу на навколишнє природне середовище та здоров'я людини, розширенню та модернізації діючих потужностей підприємства, зменшенню втрат води в мережах, покращенню якості обслуговування населення.</w:t>
      </w:r>
    </w:p>
    <w:p w:rsidR="00E627A6" w:rsidRPr="00E627A6" w:rsidRDefault="00E627A6" w:rsidP="00E627A6">
      <w:pPr>
        <w:numPr>
          <w:ilvl w:val="0"/>
          <w:numId w:val="2"/>
        </w:numPr>
        <w:spacing w:after="200"/>
        <w:contextualSpacing/>
        <w:jc w:val="both"/>
        <w:rPr>
          <w:bCs/>
        </w:rPr>
      </w:pPr>
      <w:r w:rsidRPr="00E627A6">
        <w:rPr>
          <w:bCs/>
          <w:lang w:val="ru-RU"/>
        </w:rPr>
        <w:t xml:space="preserve">Кошти місцевого бюджету будуть використані виключно на реалізацію Програми </w:t>
      </w:r>
      <w:proofErr w:type="gramStart"/>
      <w:r w:rsidRPr="00E627A6">
        <w:rPr>
          <w:bCs/>
          <w:lang w:val="ru-RU"/>
        </w:rPr>
        <w:t>п</w:t>
      </w:r>
      <w:proofErr w:type="gramEnd"/>
      <w:r w:rsidRPr="00E627A6">
        <w:rPr>
          <w:bCs/>
          <w:lang w:val="ru-RU"/>
        </w:rPr>
        <w:t>ідтримки КП «Луцькводоканал»</w:t>
      </w:r>
      <w:r w:rsidRPr="00E627A6">
        <w:rPr>
          <w:bCs/>
        </w:rPr>
        <w:t>.</w:t>
      </w:r>
    </w:p>
    <w:p w:rsidR="00E627A6" w:rsidRPr="00E627A6" w:rsidRDefault="00E627A6" w:rsidP="00E627A6">
      <w:pPr>
        <w:contextualSpacing/>
        <w:jc w:val="both"/>
        <w:rPr>
          <w:bCs/>
        </w:rPr>
      </w:pPr>
    </w:p>
    <w:p w:rsidR="00E627A6" w:rsidRPr="00E627A6" w:rsidRDefault="00623D08" w:rsidP="00E627A6">
      <w:pPr>
        <w:numPr>
          <w:ilvl w:val="0"/>
          <w:numId w:val="2"/>
        </w:numPr>
        <w:spacing w:after="200"/>
        <w:contextualSpacing/>
        <w:jc w:val="both"/>
        <w:rPr>
          <w:bCs/>
        </w:rPr>
      </w:pPr>
      <w:r>
        <w:rPr>
          <w:bCs/>
        </w:rPr>
        <w:t>Закупівлю</w:t>
      </w:r>
      <w:r w:rsidR="00E627A6" w:rsidRPr="00E627A6">
        <w:rPr>
          <w:rFonts w:eastAsiaTheme="minorHAnsi"/>
          <w:lang w:eastAsia="en-US"/>
        </w:rPr>
        <w:t xml:space="preserve"> </w:t>
      </w:r>
      <w:r w:rsidR="00E627A6" w:rsidRPr="00E627A6">
        <w:rPr>
          <w:bCs/>
        </w:rPr>
        <w:t>товарів</w:t>
      </w:r>
      <w:r w:rsidR="00E627A6" w:rsidRPr="00E627A6">
        <w:rPr>
          <w:rFonts w:eastAsiaTheme="minorHAnsi"/>
          <w:lang w:eastAsia="en-US"/>
        </w:rPr>
        <w:t>, матеріалів, інвентарю, техніки, на які виділятиметься державна підтримка,</w:t>
      </w:r>
      <w:r w:rsidRPr="00623D08">
        <w:rPr>
          <w:rFonts w:eastAsiaTheme="minorHAnsi"/>
          <w:lang w:eastAsia="en-US"/>
        </w:rPr>
        <w:t xml:space="preserve"> </w:t>
      </w:r>
      <w:r>
        <w:rPr>
          <w:rFonts w:eastAsiaTheme="minorHAnsi"/>
          <w:lang w:eastAsia="en-US"/>
        </w:rPr>
        <w:t>КП «Луцькводоканал» буде здійснювати</w:t>
      </w:r>
      <w:r w:rsidR="00E627A6" w:rsidRPr="00E627A6">
        <w:rPr>
          <w:rFonts w:eastAsiaTheme="minorHAnsi"/>
          <w:lang w:eastAsia="en-US"/>
        </w:rPr>
        <w:t xml:space="preserve"> </w:t>
      </w:r>
      <w:r>
        <w:rPr>
          <w:rFonts w:eastAsiaTheme="minorHAnsi"/>
          <w:lang w:eastAsia="en-US"/>
        </w:rPr>
        <w:t xml:space="preserve"> відповідно</w:t>
      </w:r>
      <w:r w:rsidR="00E627A6" w:rsidRPr="00E627A6">
        <w:rPr>
          <w:rFonts w:eastAsiaTheme="minorHAnsi"/>
          <w:lang w:eastAsia="en-US"/>
        </w:rPr>
        <w:t xml:space="preserve"> до вимог Бюджетного кодексу України та Закону України «Про </w:t>
      </w:r>
      <w:r w:rsidR="00E627A6" w:rsidRPr="00E627A6">
        <w:rPr>
          <w:bCs/>
        </w:rPr>
        <w:t>публічні</w:t>
      </w:r>
      <w:r w:rsidR="00E627A6" w:rsidRPr="00E627A6">
        <w:rPr>
          <w:rFonts w:eastAsiaTheme="minorHAnsi"/>
          <w:lang w:eastAsia="en-US"/>
        </w:rPr>
        <w:t xml:space="preserve"> закупівлі».</w:t>
      </w:r>
    </w:p>
    <w:p w:rsidR="00E627A6" w:rsidRPr="00E627A6" w:rsidRDefault="00E627A6" w:rsidP="00E627A6">
      <w:pPr>
        <w:contextualSpacing/>
        <w:jc w:val="both"/>
        <w:rPr>
          <w:bCs/>
        </w:rPr>
      </w:pPr>
    </w:p>
    <w:p w:rsidR="00E627A6" w:rsidRPr="00E627A6" w:rsidRDefault="00E627A6" w:rsidP="00E627A6">
      <w:pPr>
        <w:numPr>
          <w:ilvl w:val="0"/>
          <w:numId w:val="2"/>
        </w:numPr>
        <w:spacing w:after="200"/>
        <w:jc w:val="both"/>
      </w:pPr>
      <w:r w:rsidRPr="00E627A6">
        <w:t xml:space="preserve">Ведення бухгалтерського обліку КП «Луцькводоканал» здійснюється окремо за кожним видом діяльності у сфері централізованого водопостачання та водовідведення та за кожним іншим видом діяльності. </w:t>
      </w:r>
    </w:p>
    <w:p w:rsidR="00E627A6" w:rsidRPr="00E627A6" w:rsidRDefault="00E627A6" w:rsidP="00E627A6">
      <w:pPr>
        <w:numPr>
          <w:ilvl w:val="0"/>
          <w:numId w:val="2"/>
        </w:numPr>
        <w:spacing w:after="200"/>
        <w:jc w:val="both"/>
        <w:rPr>
          <w:lang w:val="ru-RU"/>
        </w:rPr>
      </w:pPr>
      <w:r w:rsidRPr="00E627A6">
        <w:rPr>
          <w:lang w:val="ru-RU"/>
        </w:rPr>
        <w:t xml:space="preserve">Сфера природної монополії передбачає відсутність конкуренції </w:t>
      </w:r>
      <w:proofErr w:type="gramStart"/>
      <w:r w:rsidRPr="00E627A6">
        <w:rPr>
          <w:lang w:val="ru-RU"/>
        </w:rPr>
        <w:t>на</w:t>
      </w:r>
      <w:proofErr w:type="gramEnd"/>
      <w:r w:rsidRPr="00E627A6">
        <w:rPr>
          <w:lang w:val="ru-RU"/>
        </w:rPr>
        <w:t xml:space="preserve"> відповідному </w:t>
      </w:r>
      <w:proofErr w:type="gramStart"/>
      <w:r w:rsidRPr="00E627A6">
        <w:rPr>
          <w:lang w:val="ru-RU"/>
        </w:rPr>
        <w:t>ринку</w:t>
      </w:r>
      <w:proofErr w:type="gramEnd"/>
      <w:r w:rsidRPr="00E627A6">
        <w:rPr>
          <w:lang w:val="ru-RU"/>
        </w:rPr>
        <w:t xml:space="preserve"> внаслідок технологічних особливостей виробництва. Однією з умов, за якої державна </w:t>
      </w:r>
      <w:proofErr w:type="gramStart"/>
      <w:r w:rsidRPr="00E627A6">
        <w:rPr>
          <w:lang w:val="ru-RU"/>
        </w:rPr>
        <w:t>п</w:t>
      </w:r>
      <w:proofErr w:type="gramEnd"/>
      <w:r w:rsidRPr="00E627A6">
        <w:rPr>
          <w:lang w:val="ru-RU"/>
        </w:rPr>
        <w:t xml:space="preserve">ідтримка буде державною допомогою, – підтримка спотворює або загрожує спотворенням економічної конкуренції. </w:t>
      </w:r>
    </w:p>
    <w:p w:rsidR="00E627A6" w:rsidRPr="00E627A6" w:rsidRDefault="00E627A6" w:rsidP="00E627A6">
      <w:pPr>
        <w:numPr>
          <w:ilvl w:val="0"/>
          <w:numId w:val="2"/>
        </w:numPr>
        <w:spacing w:after="200"/>
        <w:jc w:val="both"/>
        <w:rPr>
          <w:lang w:val="ru-RU"/>
        </w:rPr>
      </w:pPr>
      <w:r w:rsidRPr="00E627A6">
        <w:rPr>
          <w:lang w:val="ru-RU"/>
        </w:rPr>
        <w:t>На ринку надання послуг із водопостачання та водовідведення в мі</w:t>
      </w:r>
      <w:proofErr w:type="gramStart"/>
      <w:r w:rsidRPr="00E627A6">
        <w:rPr>
          <w:lang w:val="ru-RU"/>
        </w:rPr>
        <w:t>ст</w:t>
      </w:r>
      <w:proofErr w:type="gramEnd"/>
      <w:r w:rsidRPr="00E627A6">
        <w:rPr>
          <w:lang w:val="ru-RU"/>
        </w:rPr>
        <w:t xml:space="preserve">і </w:t>
      </w:r>
      <w:r w:rsidRPr="00E627A6">
        <w:t>Луцьк</w:t>
      </w:r>
      <w:r w:rsidR="00623D08">
        <w:t>у</w:t>
      </w:r>
      <w:r w:rsidRPr="00E627A6">
        <w:rPr>
          <w:lang w:val="ru-RU"/>
        </w:rPr>
        <w:t xml:space="preserve"> у </w:t>
      </w:r>
      <w:r w:rsidR="00623D08">
        <w:rPr>
          <w:lang w:val="ru-RU"/>
        </w:rPr>
        <w:t xml:space="preserve">                   </w:t>
      </w:r>
      <w:r w:rsidRPr="00E627A6">
        <w:rPr>
          <w:lang w:val="ru-RU"/>
        </w:rPr>
        <w:t>КП «</w:t>
      </w:r>
      <w:r w:rsidRPr="00E627A6">
        <w:t>Луцьк</w:t>
      </w:r>
      <w:r w:rsidRPr="00E627A6">
        <w:rPr>
          <w:lang w:val="ru-RU"/>
        </w:rPr>
        <w:t xml:space="preserve">водоканал» </w:t>
      </w:r>
      <w:r w:rsidRPr="00E627A6">
        <w:rPr>
          <w:bCs/>
          <w:lang w:val="ru-RU"/>
        </w:rPr>
        <w:t>відсутні конкуренти</w:t>
      </w:r>
      <w:r w:rsidRPr="00E627A6">
        <w:rPr>
          <w:lang w:val="ru-RU"/>
        </w:rPr>
        <w:t xml:space="preserve">. </w:t>
      </w:r>
      <w:r w:rsidRPr="00E627A6">
        <w:t xml:space="preserve"> </w:t>
      </w:r>
    </w:p>
    <w:p w:rsidR="00E627A6" w:rsidRPr="00E627A6" w:rsidRDefault="00E627A6" w:rsidP="00E627A6">
      <w:pPr>
        <w:numPr>
          <w:ilvl w:val="0"/>
          <w:numId w:val="2"/>
        </w:numPr>
        <w:spacing w:after="200"/>
        <w:jc w:val="both"/>
        <w:rPr>
          <w:lang w:val="ru-RU"/>
        </w:rPr>
      </w:pPr>
      <w:proofErr w:type="gramStart"/>
      <w:r w:rsidRPr="00E627A6">
        <w:rPr>
          <w:lang w:val="ru-RU"/>
        </w:rPr>
        <w:t>З</w:t>
      </w:r>
      <w:proofErr w:type="gramEnd"/>
      <w:r w:rsidRPr="00E627A6">
        <w:rPr>
          <w:lang w:val="ru-RU"/>
        </w:rPr>
        <w:t xml:space="preserve"> огляду на зазначене, надання державної підтримки КП «</w:t>
      </w:r>
      <w:r w:rsidRPr="00E627A6">
        <w:t>Луцьк</w:t>
      </w:r>
      <w:r w:rsidRPr="00E627A6">
        <w:rPr>
          <w:lang w:val="ru-RU"/>
        </w:rPr>
        <w:t xml:space="preserve">водоканал» як суб’єкту природної монополії </w:t>
      </w:r>
      <w:r w:rsidRPr="00E627A6">
        <w:rPr>
          <w:bCs/>
          <w:lang w:val="ru-RU"/>
        </w:rPr>
        <w:t>не загрожуватиме спотворенням економічної конкуренції</w:t>
      </w:r>
      <w:r w:rsidRPr="00E627A6">
        <w:rPr>
          <w:lang w:val="ru-RU"/>
        </w:rPr>
        <w:t xml:space="preserve">, а отже, </w:t>
      </w:r>
      <w:r w:rsidRPr="00E627A6">
        <w:rPr>
          <w:bCs/>
          <w:lang w:val="ru-RU"/>
        </w:rPr>
        <w:t>не є державною</w:t>
      </w:r>
      <w:r w:rsidRPr="00E627A6">
        <w:rPr>
          <w:b/>
          <w:bCs/>
          <w:lang w:val="ru-RU"/>
        </w:rPr>
        <w:t xml:space="preserve"> </w:t>
      </w:r>
      <w:r w:rsidRPr="00E627A6">
        <w:rPr>
          <w:lang w:val="ru-RU"/>
        </w:rPr>
        <w:t xml:space="preserve">допомогою відповідно до Закону України «Про державну допомогу суб’єктам господарювання». </w:t>
      </w:r>
    </w:p>
    <w:p w:rsidR="00B9313F" w:rsidRDefault="00E627A6" w:rsidP="00E627A6">
      <w:pPr>
        <w:numPr>
          <w:ilvl w:val="0"/>
          <w:numId w:val="2"/>
        </w:numPr>
        <w:shd w:val="clear" w:color="auto" w:fill="FFFFFF"/>
        <w:tabs>
          <w:tab w:val="left" w:pos="426"/>
          <w:tab w:val="left" w:pos="993"/>
          <w:tab w:val="left" w:pos="1701"/>
        </w:tabs>
        <w:spacing w:after="200"/>
        <w:contextualSpacing/>
        <w:jc w:val="both"/>
      </w:pPr>
      <w:r w:rsidRPr="00E627A6">
        <w:t xml:space="preserve">Враховуючи наведене, </w:t>
      </w:r>
      <w:r w:rsidRPr="00E627A6">
        <w:rPr>
          <w:lang w:eastAsia="ru-RU"/>
        </w:rPr>
        <w:t xml:space="preserve">підтримка (фінансування), яку надаватиме Департамент житлово-комунального господарства Луцької міської ради </w:t>
      </w:r>
      <w:r w:rsidRPr="00E627A6">
        <w:t xml:space="preserve">КП «Луцькводоканал» у формі субсидії на реалізацію комплексу заходів щодо безперебійного надання послуг водопостачання та водовідведення </w:t>
      </w:r>
      <w:r w:rsidRPr="00E627A6">
        <w:rPr>
          <w:color w:val="000000"/>
          <w:lang w:eastAsia="ru-RU"/>
        </w:rPr>
        <w:t xml:space="preserve">на </w:t>
      </w:r>
      <w:r w:rsidRPr="00E627A6">
        <w:rPr>
          <w:lang w:eastAsia="ru-RU"/>
        </w:rPr>
        <w:t xml:space="preserve">період з 01.01.2021 по 31.12.2021 </w:t>
      </w:r>
      <w:r w:rsidRPr="00E627A6">
        <w:rPr>
          <w:color w:val="000000"/>
          <w:lang w:eastAsia="ru-RU"/>
        </w:rPr>
        <w:t>обсягом</w:t>
      </w:r>
      <w:r w:rsidRPr="00E627A6">
        <w:rPr>
          <w:lang w:eastAsia="ru-RU"/>
        </w:rPr>
        <w:t xml:space="preserve"> 102 815 000 грн, </w:t>
      </w:r>
      <w:r w:rsidRPr="00E627A6">
        <w:rPr>
          <w:b/>
          <w:lang w:eastAsia="ru-RU"/>
        </w:rPr>
        <w:t xml:space="preserve">не є державною допомогою </w:t>
      </w:r>
      <w:r w:rsidRPr="00E627A6">
        <w:rPr>
          <w:lang w:eastAsia="ru-RU"/>
        </w:rPr>
        <w:t>відповідно до Закону України «Про державну допомогу суб’єктам господарювання».</w:t>
      </w:r>
    </w:p>
    <w:p w:rsidR="00B9313F" w:rsidRPr="00E627A6" w:rsidRDefault="00B9313F" w:rsidP="00E627A6">
      <w:pPr>
        <w:jc w:val="both"/>
      </w:pPr>
    </w:p>
    <w:p w:rsidR="00E627A6" w:rsidRPr="00E627A6" w:rsidRDefault="00E627A6" w:rsidP="00E627A6">
      <w:pPr>
        <w:numPr>
          <w:ilvl w:val="0"/>
          <w:numId w:val="2"/>
        </w:numPr>
        <w:spacing w:after="200"/>
        <w:jc w:val="both"/>
      </w:pPr>
      <w:r w:rsidRPr="00E627A6">
        <w:t>Разом із тим слід зазначити, що:</w:t>
      </w:r>
    </w:p>
    <w:p w:rsidR="00E627A6" w:rsidRPr="00E627A6" w:rsidRDefault="00E627A6" w:rsidP="00E627A6">
      <w:pPr>
        <w:numPr>
          <w:ilvl w:val="0"/>
          <w:numId w:val="11"/>
        </w:numPr>
        <w:spacing w:after="200"/>
        <w:contextualSpacing/>
        <w:jc w:val="both"/>
      </w:pPr>
      <w:r w:rsidRPr="00E627A6">
        <w:t>державна підтримка КП «Луцькводоканал» повинна спрямовуватися виключно на покриття витрат, передбачених</w:t>
      </w:r>
      <w:r w:rsidRPr="00E627A6">
        <w:rPr>
          <w:lang w:eastAsia="ru-RU"/>
        </w:rPr>
        <w:t xml:space="preserve"> Програмою підтримки комунального підприємства «Луцькводоканал» на 2021 рік,</w:t>
      </w:r>
      <w:r w:rsidRPr="00E627A6">
        <w:t xml:space="preserve"> та які є безкоштовними для населення міста, та в жо</w:t>
      </w:r>
      <w:r w:rsidR="00B652CD">
        <w:t>дному разі не повинна</w:t>
      </w:r>
      <w:r w:rsidRPr="00E627A6">
        <w:t xml:space="preserve"> покривати витрати на інші види діяльності, у тому числі на платній основі для населення;</w:t>
      </w:r>
    </w:p>
    <w:p w:rsidR="00E627A6" w:rsidRPr="00E627A6" w:rsidRDefault="00E627A6" w:rsidP="00E627A6">
      <w:pPr>
        <w:numPr>
          <w:ilvl w:val="0"/>
          <w:numId w:val="11"/>
        </w:numPr>
        <w:spacing w:after="200"/>
        <w:contextualSpacing/>
        <w:jc w:val="both"/>
      </w:pPr>
      <w:r w:rsidRPr="00E627A6">
        <w:t xml:space="preserve">КП «Луцькводоканал» </w:t>
      </w:r>
      <w:r w:rsidRPr="00E627A6">
        <w:rPr>
          <w:rFonts w:eastAsia="Calibri"/>
          <w:color w:val="000000"/>
          <w:lang w:eastAsia="en-US"/>
        </w:rPr>
        <w:t>повинно проводити конкурсні торги через систему «</w:t>
      </w:r>
      <w:r w:rsidRPr="00E627A6">
        <w:rPr>
          <w:rFonts w:eastAsia="Calibri"/>
          <w:color w:val="000000"/>
          <w:lang w:val="ru-RU" w:eastAsia="en-US"/>
        </w:rPr>
        <w:t>ProZorro</w:t>
      </w:r>
      <w:r w:rsidRPr="00E627A6">
        <w:rPr>
          <w:rFonts w:eastAsia="Calibri"/>
          <w:color w:val="000000"/>
          <w:lang w:eastAsia="en-US"/>
        </w:rPr>
        <w:t>» відповідно до Закону України «Про публічні закупівлі» з метою закупівлі товарів, на які виділяється державна підтримка</w:t>
      </w:r>
      <w:r w:rsidR="00B652CD">
        <w:rPr>
          <w:rFonts w:eastAsia="Calibri"/>
          <w:color w:val="000000"/>
          <w:lang w:eastAsia="en-US"/>
        </w:rPr>
        <w:t>,</w:t>
      </w:r>
      <w:r w:rsidRPr="00E627A6">
        <w:rPr>
          <w:rFonts w:eastAsia="Calibri"/>
          <w:color w:val="000000"/>
          <w:lang w:eastAsia="en-US"/>
        </w:rPr>
        <w:t xml:space="preserve"> та з метою залучення підрядних організацій для здійснення заходів</w:t>
      </w:r>
      <w:r w:rsidR="00B652CD">
        <w:rPr>
          <w:rFonts w:eastAsia="Calibri"/>
          <w:color w:val="000000"/>
          <w:lang w:eastAsia="en-US"/>
        </w:rPr>
        <w:t>,</w:t>
      </w:r>
      <w:r w:rsidRPr="00E627A6">
        <w:rPr>
          <w:rFonts w:eastAsia="Calibri"/>
          <w:color w:val="000000"/>
          <w:lang w:eastAsia="en-US"/>
        </w:rPr>
        <w:t xml:space="preserve"> передбачених Програмою;</w:t>
      </w:r>
    </w:p>
    <w:p w:rsidR="00E627A6" w:rsidRPr="00E627A6" w:rsidRDefault="00E627A6" w:rsidP="00E627A6">
      <w:pPr>
        <w:numPr>
          <w:ilvl w:val="0"/>
          <w:numId w:val="11"/>
        </w:numPr>
        <w:spacing w:after="200"/>
        <w:contextualSpacing/>
        <w:jc w:val="both"/>
      </w:pPr>
      <w:r w:rsidRPr="00E627A6">
        <w:lastRenderedPageBreak/>
        <w:t>протягом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E627A6" w:rsidRPr="00E627A6" w:rsidRDefault="00E627A6" w:rsidP="00E627A6">
      <w:pPr>
        <w:ind w:left="1146"/>
        <w:contextualSpacing/>
        <w:jc w:val="both"/>
      </w:pPr>
    </w:p>
    <w:p w:rsidR="00065FEC" w:rsidRPr="008A2F43" w:rsidRDefault="00E627A6" w:rsidP="00065FEC">
      <w:pPr>
        <w:numPr>
          <w:ilvl w:val="0"/>
          <w:numId w:val="2"/>
        </w:numPr>
        <w:tabs>
          <w:tab w:val="num" w:pos="360"/>
          <w:tab w:val="num" w:pos="426"/>
        </w:tabs>
        <w:spacing w:after="200"/>
        <w:jc w:val="both"/>
        <w:rPr>
          <w:rFonts w:eastAsia="Calibri"/>
          <w:color w:val="000000"/>
          <w:lang w:eastAsia="en-US"/>
        </w:rPr>
      </w:pPr>
      <w:r w:rsidRPr="00E627A6">
        <w:rPr>
          <w:rFonts w:eastAsia="Calibri"/>
          <w:color w:val="000000"/>
          <w:lang w:eastAsia="en-US"/>
        </w:rPr>
        <w:t>Наведені в цьому рішенні</w:t>
      </w:r>
      <w:r>
        <w:rPr>
          <w:rFonts w:eastAsia="Calibri"/>
          <w:color w:val="000000"/>
          <w:lang w:eastAsia="en-US"/>
        </w:rPr>
        <w:t xml:space="preserve"> </w:t>
      </w:r>
      <w:r w:rsidRPr="00E627A6">
        <w:rPr>
          <w:rFonts w:eastAsia="Calibri"/>
          <w:color w:val="000000"/>
          <w:lang w:eastAsia="en-US"/>
        </w:rPr>
        <w:t xml:space="preserve">обґрунтування та висновки використовуються виключно для цілей застосування положень Закону України «Про державну допомогу суб’єктам господарювання» та </w:t>
      </w:r>
      <w:r w:rsidRPr="00E627A6">
        <w:rPr>
          <w:lang w:eastAsia="ru-RU"/>
        </w:rPr>
        <w:t>не</w:t>
      </w:r>
      <w:r w:rsidRPr="00E627A6">
        <w:rPr>
          <w:rFonts w:eastAsia="Calibri"/>
          <w:color w:val="000000"/>
          <w:lang w:eastAsia="en-US"/>
        </w:rPr>
        <w:t xml:space="preserve"> охоплюють правовідносин, що регулюються Законом України «Про захист економічної конкуренції».</w:t>
      </w:r>
    </w:p>
    <w:p w:rsidR="00065FEC" w:rsidRPr="00065FEC" w:rsidRDefault="00065FEC" w:rsidP="00065FEC">
      <w:pPr>
        <w:ind w:firstLine="540"/>
        <w:jc w:val="both"/>
        <w:rPr>
          <w:lang w:eastAsia="ru-RU"/>
        </w:rPr>
      </w:pPr>
      <w:r w:rsidRPr="00065FEC">
        <w:rPr>
          <w:color w:val="000000"/>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065FEC">
        <w:rPr>
          <w:color w:val="000000"/>
          <w:lang w:eastAsia="ru-RU"/>
        </w:rPr>
        <w:fldChar w:fldCharType="begin"/>
      </w:r>
      <w:r w:rsidRPr="00065FEC">
        <w:rPr>
          <w:color w:val="000000"/>
          <w:lang w:eastAsia="ru-RU"/>
        </w:rPr>
        <w:instrText xml:space="preserve"> =4\*Roman </w:instrText>
      </w:r>
      <w:r w:rsidRPr="00065FEC">
        <w:rPr>
          <w:color w:val="000000"/>
          <w:lang w:eastAsia="ru-RU"/>
        </w:rPr>
        <w:fldChar w:fldCharType="separate"/>
      </w:r>
      <w:r w:rsidRPr="00065FEC">
        <w:rPr>
          <w:color w:val="000000"/>
          <w:lang w:eastAsia="ru-RU"/>
        </w:rPr>
        <w:t>IV</w:t>
      </w:r>
      <w:r w:rsidRPr="00065FEC">
        <w:rPr>
          <w:color w:val="000000"/>
          <w:lang w:eastAsia="ru-RU"/>
        </w:rPr>
        <w:fldChar w:fldCharType="end"/>
      </w:r>
      <w:r w:rsidRPr="00065FEC">
        <w:rPr>
          <w:color w:val="000000"/>
          <w:lang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w:t>
      </w:r>
      <w:r w:rsidR="00B652CD">
        <w:rPr>
          <w:color w:val="000000"/>
          <w:lang w:eastAsia="ru-RU"/>
        </w:rPr>
        <w:t>3.2017 № 2-рп, зареєстрованого в</w:t>
      </w:r>
      <w:r w:rsidRPr="00065FEC">
        <w:rPr>
          <w:color w:val="000000"/>
          <w:lang w:eastAsia="ru-RU"/>
        </w:rPr>
        <w:t xml:space="preserve"> Міністерстві юстиції України 04.04.2016 за № 501/28631 (із змінами, внесеними розпорядженням Антимонопольного комітету України від 13.0</w:t>
      </w:r>
      <w:r w:rsidR="00B652CD">
        <w:rPr>
          <w:color w:val="000000"/>
          <w:lang w:eastAsia="ru-RU"/>
        </w:rPr>
        <w:t>9.2018 № 18-рп, зареєстрованим у</w:t>
      </w:r>
      <w:r w:rsidRPr="00065FEC">
        <w:rPr>
          <w:color w:val="000000"/>
          <w:lang w:eastAsia="ru-RU"/>
        </w:rPr>
        <w:t xml:space="preserve"> </w:t>
      </w:r>
      <w:r w:rsidRPr="00065FEC">
        <w:rPr>
          <w:lang w:eastAsia="ru-RU"/>
        </w:rPr>
        <w:t>Міністерстві юстиції України</w:t>
      </w:r>
      <w:r w:rsidRPr="00065FEC">
        <w:rPr>
          <w:color w:val="000000"/>
          <w:lang w:eastAsia="ru-RU"/>
        </w:rPr>
        <w:t xml:space="preserve"> 27.11.2018 за № 1337/32789), на підставі інформації, наданої Департаментом житлово-комунального господарства </w:t>
      </w:r>
      <w:r w:rsidR="00EE60B2" w:rsidRPr="00EE60B2">
        <w:rPr>
          <w:color w:val="000000"/>
          <w:lang w:eastAsia="ru-RU"/>
        </w:rPr>
        <w:t>Луцько</w:t>
      </w:r>
      <w:r w:rsidRPr="00065FEC">
        <w:rPr>
          <w:color w:val="000000"/>
          <w:lang w:eastAsia="ru-RU"/>
        </w:rPr>
        <w:t xml:space="preserve">ї міської ради, </w:t>
      </w:r>
      <w:r w:rsidR="00EE60B2">
        <w:rPr>
          <w:color w:val="000000"/>
          <w:lang w:eastAsia="ru-RU"/>
        </w:rPr>
        <w:t>Антимонопольний комі</w:t>
      </w:r>
      <w:r w:rsidR="00EE60B2" w:rsidRPr="00EE60B2">
        <w:rPr>
          <w:color w:val="000000"/>
          <w:lang w:eastAsia="ru-RU"/>
        </w:rPr>
        <w:t xml:space="preserve">тет </w:t>
      </w:r>
      <w:r w:rsidR="00EE60B2">
        <w:rPr>
          <w:color w:val="000000"/>
          <w:lang w:eastAsia="ru-RU"/>
        </w:rPr>
        <w:t>України</w:t>
      </w:r>
    </w:p>
    <w:p w:rsidR="00EE60B2" w:rsidRDefault="00EE60B2" w:rsidP="00EE60B2">
      <w:pPr>
        <w:ind w:left="284" w:hanging="284"/>
        <w:jc w:val="center"/>
        <w:rPr>
          <w:b/>
          <w:bCs/>
        </w:rPr>
      </w:pPr>
    </w:p>
    <w:p w:rsidR="00EE60B2" w:rsidRDefault="00EE60B2" w:rsidP="00EE60B2">
      <w:pPr>
        <w:ind w:left="284" w:hanging="284"/>
        <w:jc w:val="center"/>
        <w:rPr>
          <w:b/>
          <w:bCs/>
        </w:rPr>
      </w:pPr>
      <w:r>
        <w:rPr>
          <w:b/>
          <w:bCs/>
        </w:rPr>
        <w:t>П</w:t>
      </w:r>
      <w:r w:rsidRPr="00E627A6">
        <w:rPr>
          <w:b/>
          <w:bCs/>
        </w:rPr>
        <w:t>ОСТАНОВИВ</w:t>
      </w:r>
      <w:r w:rsidRPr="00516FFF">
        <w:rPr>
          <w:b/>
          <w:bCs/>
        </w:rPr>
        <w:t>:</w:t>
      </w:r>
    </w:p>
    <w:p w:rsidR="00EE60B2" w:rsidRDefault="00EE60B2" w:rsidP="00EE60B2">
      <w:pPr>
        <w:ind w:left="284" w:hanging="284"/>
        <w:jc w:val="center"/>
        <w:rPr>
          <w:b/>
          <w:bCs/>
        </w:rPr>
      </w:pPr>
    </w:p>
    <w:p w:rsidR="00664683" w:rsidRPr="00310E56" w:rsidRDefault="00EE60B2" w:rsidP="00EE60B2">
      <w:pPr>
        <w:ind w:right="57" w:firstLine="709"/>
        <w:jc w:val="both"/>
        <w:rPr>
          <w:color w:val="000000"/>
          <w:lang w:eastAsia="ru-RU"/>
        </w:rPr>
      </w:pPr>
      <w:r w:rsidRPr="00EE60B2">
        <w:rPr>
          <w:color w:val="000000"/>
          <w:lang w:eastAsia="ru-RU"/>
        </w:rPr>
        <w:t xml:space="preserve">Визнати, </w:t>
      </w:r>
      <w:r w:rsidR="00E54643">
        <w:rPr>
          <w:color w:val="000000"/>
          <w:lang w:eastAsia="ru-RU"/>
        </w:rPr>
        <w:t>що підтримка (фінансування), яку надаватиме Департамент</w:t>
      </w:r>
      <w:r w:rsidRPr="00EE60B2">
        <w:rPr>
          <w:color w:val="000000"/>
          <w:lang w:eastAsia="ru-RU"/>
        </w:rPr>
        <w:t xml:space="preserve"> житлово-комунального господарства Луцької міської ради </w:t>
      </w:r>
      <w:r w:rsidRPr="00EE60B2">
        <w:t xml:space="preserve">комунальному підприємству «Луцькводоканал» </w:t>
      </w:r>
      <w:r w:rsidRPr="00EE60B2">
        <w:rPr>
          <w:color w:val="000000"/>
          <w:lang w:eastAsia="ru-RU"/>
        </w:rPr>
        <w:t>на підставі</w:t>
      </w:r>
      <w:r w:rsidRPr="00EE60B2">
        <w:rPr>
          <w:lang w:eastAsia="ru-RU"/>
        </w:rPr>
        <w:t xml:space="preserve"> проєкту Програми підтримки комунального підприємства «Луцькводоканал» на 2021 рік, затвердженого рішенням виконавчого комітету Луцької міської ради від 23.07.2020 № 365-1,</w:t>
      </w:r>
      <w:r w:rsidRPr="00EE60B2">
        <w:rPr>
          <w:color w:val="000000"/>
          <w:lang w:eastAsia="ru-RU"/>
        </w:rPr>
        <w:t xml:space="preserve"> у формі субсидії на</w:t>
      </w:r>
      <w:r w:rsidRPr="00EE60B2">
        <w:t xml:space="preserve"> реалізацію комплексу заходів щодо безперебійного надання послуг водопостачання та водовідведення </w:t>
      </w:r>
      <w:r w:rsidRPr="00EE60B2">
        <w:rPr>
          <w:color w:val="000000"/>
          <w:lang w:eastAsia="ru-RU"/>
        </w:rPr>
        <w:t xml:space="preserve">на </w:t>
      </w:r>
      <w:r w:rsidRPr="00EE60B2">
        <w:rPr>
          <w:lang w:eastAsia="ru-RU"/>
        </w:rPr>
        <w:t xml:space="preserve">період з 01.01.2021 по 31.12.2021 </w:t>
      </w:r>
      <w:r w:rsidRPr="00EE60B2">
        <w:rPr>
          <w:color w:val="000000"/>
          <w:lang w:eastAsia="ru-RU"/>
        </w:rPr>
        <w:t>обсягом</w:t>
      </w:r>
      <w:r w:rsidR="00B652CD">
        <w:rPr>
          <w:lang w:eastAsia="ru-RU"/>
        </w:rPr>
        <w:t xml:space="preserve"> 102 815 000 (сто два мільйони</w:t>
      </w:r>
      <w:r w:rsidRPr="00EE60B2">
        <w:rPr>
          <w:lang w:eastAsia="ru-RU"/>
        </w:rPr>
        <w:t xml:space="preserve"> вісімсот п'ятнадцять тисяч) гривень</w:t>
      </w:r>
      <w:r w:rsidRPr="00EE60B2">
        <w:rPr>
          <w:color w:val="000000"/>
          <w:lang w:eastAsia="ru-RU"/>
        </w:rPr>
        <w:t xml:space="preserve">, </w:t>
      </w:r>
      <w:r w:rsidRPr="00EE60B2">
        <w:rPr>
          <w:b/>
          <w:bCs/>
          <w:color w:val="000000"/>
          <w:lang w:eastAsia="ru-RU"/>
        </w:rPr>
        <w:t>не є державною допомогою</w:t>
      </w:r>
      <w:r w:rsidRPr="00EE60B2">
        <w:rPr>
          <w:color w:val="000000"/>
          <w:lang w:eastAsia="ru-RU"/>
        </w:rPr>
        <w:t xml:space="preserve"> відповідно до Закону України «Про державну допомогу суб’єктам господарювання».</w:t>
      </w:r>
    </w:p>
    <w:p w:rsidR="008A2F43" w:rsidRPr="00310E56" w:rsidRDefault="008A2F43" w:rsidP="00EE60B2">
      <w:pPr>
        <w:ind w:right="57" w:firstLine="709"/>
        <w:jc w:val="both"/>
        <w:rPr>
          <w:color w:val="000000"/>
          <w:lang w:eastAsia="ru-RU"/>
        </w:rPr>
      </w:pPr>
    </w:p>
    <w:p w:rsidR="008A2F43" w:rsidRPr="00065FEC" w:rsidRDefault="008A2F43" w:rsidP="008A2F43">
      <w:pPr>
        <w:ind w:firstLine="540"/>
        <w:jc w:val="both"/>
        <w:rPr>
          <w:lang w:eastAsia="ru-RU"/>
        </w:rPr>
      </w:pPr>
      <w:r w:rsidRPr="00065FEC">
        <w:rPr>
          <w:lang w:val="ru-RU" w:eastAsia="ru-RU"/>
        </w:rPr>
        <w:t xml:space="preserve">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w:t>
      </w:r>
      <w:proofErr w:type="gramStart"/>
      <w:r w:rsidRPr="00065FEC">
        <w:rPr>
          <w:lang w:val="ru-RU" w:eastAsia="ru-RU"/>
        </w:rPr>
        <w:t>р</w:t>
      </w:r>
      <w:proofErr w:type="gramEnd"/>
      <w:r w:rsidRPr="00065FEC">
        <w:rPr>
          <w:lang w:val="ru-RU" w:eastAsia="ru-RU"/>
        </w:rPr>
        <w:t>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sidRPr="00065FEC">
        <w:rPr>
          <w:lang w:eastAsia="ru-RU"/>
        </w:rPr>
        <w:t>.</w:t>
      </w:r>
    </w:p>
    <w:p w:rsidR="00EE60B2" w:rsidRDefault="00EE60B2" w:rsidP="00EE60B2">
      <w:pPr>
        <w:jc w:val="both"/>
      </w:pPr>
    </w:p>
    <w:p w:rsidR="00E627A6" w:rsidRDefault="00E627A6" w:rsidP="00EE60B2">
      <w:pPr>
        <w:jc w:val="both"/>
      </w:pPr>
    </w:p>
    <w:p w:rsidR="00E627A6" w:rsidRDefault="00E627A6" w:rsidP="00EE60B2">
      <w:pPr>
        <w:jc w:val="both"/>
      </w:pPr>
    </w:p>
    <w:p w:rsidR="00EE60B2" w:rsidRPr="00EE60B2" w:rsidRDefault="00EE60B2" w:rsidP="00EE60B2">
      <w:pPr>
        <w:jc w:val="both"/>
        <w:rPr>
          <w:lang w:val="ru-RU"/>
        </w:rPr>
      </w:pPr>
      <w:r w:rsidRPr="00516FFF">
        <w:t xml:space="preserve">Голова Комітету                                                                    </w:t>
      </w:r>
      <w:r>
        <w:t xml:space="preserve">     </w:t>
      </w:r>
      <w:r w:rsidRPr="00516FFF">
        <w:t xml:space="preserve">                 О. ПІЩАНСЬКА</w:t>
      </w:r>
    </w:p>
    <w:sectPr w:rsidR="00EE60B2" w:rsidRPr="00EE60B2" w:rsidSect="00310E5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40E" w:rsidRDefault="00FF440E" w:rsidP="00BB76C2">
      <w:r>
        <w:separator/>
      </w:r>
    </w:p>
  </w:endnote>
  <w:endnote w:type="continuationSeparator" w:id="0">
    <w:p w:rsidR="00FF440E" w:rsidRDefault="00FF440E" w:rsidP="00BB7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40E" w:rsidRDefault="00FF440E" w:rsidP="00BB76C2">
      <w:r>
        <w:separator/>
      </w:r>
    </w:p>
  </w:footnote>
  <w:footnote w:type="continuationSeparator" w:id="0">
    <w:p w:rsidR="00FF440E" w:rsidRDefault="00FF440E" w:rsidP="00BB7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31029"/>
      <w:docPartObj>
        <w:docPartGallery w:val="Page Numbers (Top of Page)"/>
        <w:docPartUnique/>
      </w:docPartObj>
    </w:sdtPr>
    <w:sdtEndPr/>
    <w:sdtContent>
      <w:p w:rsidR="00BB76C2" w:rsidRDefault="00BB76C2">
        <w:pPr>
          <w:pStyle w:val="a6"/>
          <w:jc w:val="center"/>
        </w:pPr>
        <w:r>
          <w:fldChar w:fldCharType="begin"/>
        </w:r>
        <w:r>
          <w:instrText>PAGE   \* MERGEFORMAT</w:instrText>
        </w:r>
        <w:r>
          <w:fldChar w:fldCharType="separate"/>
        </w:r>
        <w:r w:rsidR="006F53D2" w:rsidRPr="006F53D2">
          <w:rPr>
            <w:noProof/>
            <w:lang w:val="ru-RU"/>
          </w:rPr>
          <w:t>15</w:t>
        </w:r>
        <w:r>
          <w:fldChar w:fldCharType="end"/>
        </w:r>
      </w:p>
    </w:sdtContent>
  </w:sdt>
  <w:p w:rsidR="00BB76C2" w:rsidRDefault="00BB76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63C9"/>
    <w:multiLevelType w:val="multilevel"/>
    <w:tmpl w:val="C6DEEEF4"/>
    <w:lvl w:ilvl="0">
      <w:start w:val="4"/>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nsid w:val="239F3B69"/>
    <w:multiLevelType w:val="multilevel"/>
    <w:tmpl w:val="033C5CCC"/>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nsid w:val="2C36483B"/>
    <w:multiLevelType w:val="multilevel"/>
    <w:tmpl w:val="D9C4BD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45C71B5"/>
    <w:multiLevelType w:val="hybridMultilevel"/>
    <w:tmpl w:val="DFF668D6"/>
    <w:lvl w:ilvl="0" w:tplc="E7C652C0">
      <w:numFmt w:val="bullet"/>
      <w:lvlText w:val="-"/>
      <w:lvlJc w:val="center"/>
      <w:pPr>
        <w:ind w:left="72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2E0520"/>
    <w:multiLevelType w:val="hybridMultilevel"/>
    <w:tmpl w:val="BBB82F5A"/>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492C5E82"/>
    <w:multiLevelType w:val="hybridMultilevel"/>
    <w:tmpl w:val="E53CB886"/>
    <w:lvl w:ilvl="0" w:tplc="E7C652C0">
      <w:numFmt w:val="bullet"/>
      <w:lvlText w:val="-"/>
      <w:lvlJc w:val="center"/>
      <w:pPr>
        <w:ind w:left="72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C323E"/>
    <w:multiLevelType w:val="hybridMultilevel"/>
    <w:tmpl w:val="43E04ED4"/>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2E96DA3"/>
    <w:multiLevelType w:val="hybridMultilevel"/>
    <w:tmpl w:val="E77AB5AA"/>
    <w:lvl w:ilvl="0" w:tplc="E7C652C0">
      <w:numFmt w:val="bullet"/>
      <w:lvlText w:val="-"/>
      <w:lvlJc w:val="center"/>
      <w:pPr>
        <w:ind w:left="1146"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C9A2A1A"/>
    <w:multiLevelType w:val="hybridMultilevel"/>
    <w:tmpl w:val="22C2E2E8"/>
    <w:lvl w:ilvl="0" w:tplc="2EA853D4">
      <w:start w:val="1"/>
      <w:numFmt w:val="decimal"/>
      <w:suff w:val="space"/>
      <w:lvlText w:val="(%1)"/>
      <w:lvlJc w:val="left"/>
      <w:pPr>
        <w:ind w:left="360" w:hanging="360"/>
      </w:pPr>
      <w:rPr>
        <w:rFonts w:ascii="Times New Roman" w:hAnsi="Times New Roman" w:cs="Times New Roman" w:hint="default"/>
        <w:b w:val="0"/>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7"/>
  </w:num>
  <w:num w:numId="7">
    <w:abstractNumId w:val="5"/>
  </w:num>
  <w:num w:numId="8">
    <w:abstractNumId w:val="6"/>
  </w:num>
  <w:num w:numId="9">
    <w:abstractNumId w:val="0"/>
  </w:num>
  <w:num w:numId="10">
    <w:abstractNumId w:val="9"/>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034"/>
    <w:rsid w:val="00065FEC"/>
    <w:rsid w:val="00140BEE"/>
    <w:rsid w:val="00310E56"/>
    <w:rsid w:val="00326733"/>
    <w:rsid w:val="004240D9"/>
    <w:rsid w:val="00623D08"/>
    <w:rsid w:val="00664683"/>
    <w:rsid w:val="006B0CFB"/>
    <w:rsid w:val="006F53D2"/>
    <w:rsid w:val="008373B5"/>
    <w:rsid w:val="008A2F43"/>
    <w:rsid w:val="008A6B8C"/>
    <w:rsid w:val="00987EA7"/>
    <w:rsid w:val="00B652CD"/>
    <w:rsid w:val="00B9313F"/>
    <w:rsid w:val="00BB76C2"/>
    <w:rsid w:val="00CB1034"/>
    <w:rsid w:val="00CF7CA9"/>
    <w:rsid w:val="00D06C7E"/>
    <w:rsid w:val="00E54643"/>
    <w:rsid w:val="00E627A6"/>
    <w:rsid w:val="00EE60B2"/>
    <w:rsid w:val="00FF4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F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5FEC"/>
    <w:rPr>
      <w:rFonts w:ascii="Tahoma" w:hAnsi="Tahoma" w:cs="Tahoma"/>
      <w:sz w:val="16"/>
      <w:szCs w:val="16"/>
    </w:rPr>
  </w:style>
  <w:style w:type="character" w:customStyle="1" w:styleId="a4">
    <w:name w:val="Текст выноски Знак"/>
    <w:basedOn w:val="a0"/>
    <w:link w:val="a3"/>
    <w:uiPriority w:val="99"/>
    <w:semiHidden/>
    <w:rsid w:val="00065FEC"/>
    <w:rPr>
      <w:rFonts w:ascii="Tahoma" w:eastAsia="Times New Roman" w:hAnsi="Tahoma" w:cs="Tahoma"/>
      <w:sz w:val="16"/>
      <w:szCs w:val="16"/>
      <w:lang w:val="uk-UA" w:eastAsia="uk-UA"/>
    </w:rPr>
  </w:style>
  <w:style w:type="paragraph" w:styleId="a5">
    <w:name w:val="List Paragraph"/>
    <w:basedOn w:val="a"/>
    <w:uiPriority w:val="34"/>
    <w:qFormat/>
    <w:rsid w:val="00065FEC"/>
    <w:pPr>
      <w:ind w:left="720"/>
      <w:contextualSpacing/>
    </w:pPr>
  </w:style>
  <w:style w:type="paragraph" w:styleId="a6">
    <w:name w:val="header"/>
    <w:basedOn w:val="a"/>
    <w:link w:val="a7"/>
    <w:uiPriority w:val="99"/>
    <w:unhideWhenUsed/>
    <w:rsid w:val="00BB76C2"/>
    <w:pPr>
      <w:tabs>
        <w:tab w:val="center" w:pos="4677"/>
        <w:tab w:val="right" w:pos="9355"/>
      </w:tabs>
    </w:pPr>
  </w:style>
  <w:style w:type="character" w:customStyle="1" w:styleId="a7">
    <w:name w:val="Верхний колонтитул Знак"/>
    <w:basedOn w:val="a0"/>
    <w:link w:val="a6"/>
    <w:uiPriority w:val="99"/>
    <w:rsid w:val="00BB76C2"/>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BB76C2"/>
    <w:pPr>
      <w:tabs>
        <w:tab w:val="center" w:pos="4677"/>
        <w:tab w:val="right" w:pos="9355"/>
      </w:tabs>
    </w:pPr>
  </w:style>
  <w:style w:type="character" w:customStyle="1" w:styleId="a9">
    <w:name w:val="Нижний колонтитул Знак"/>
    <w:basedOn w:val="a0"/>
    <w:link w:val="a8"/>
    <w:uiPriority w:val="99"/>
    <w:rsid w:val="00BB76C2"/>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F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5FEC"/>
    <w:rPr>
      <w:rFonts w:ascii="Tahoma" w:hAnsi="Tahoma" w:cs="Tahoma"/>
      <w:sz w:val="16"/>
      <w:szCs w:val="16"/>
    </w:rPr>
  </w:style>
  <w:style w:type="character" w:customStyle="1" w:styleId="a4">
    <w:name w:val="Текст выноски Знак"/>
    <w:basedOn w:val="a0"/>
    <w:link w:val="a3"/>
    <w:uiPriority w:val="99"/>
    <w:semiHidden/>
    <w:rsid w:val="00065FEC"/>
    <w:rPr>
      <w:rFonts w:ascii="Tahoma" w:eastAsia="Times New Roman" w:hAnsi="Tahoma" w:cs="Tahoma"/>
      <w:sz w:val="16"/>
      <w:szCs w:val="16"/>
      <w:lang w:val="uk-UA" w:eastAsia="uk-UA"/>
    </w:rPr>
  </w:style>
  <w:style w:type="paragraph" w:styleId="a5">
    <w:name w:val="List Paragraph"/>
    <w:basedOn w:val="a"/>
    <w:uiPriority w:val="34"/>
    <w:qFormat/>
    <w:rsid w:val="00065FEC"/>
    <w:pPr>
      <w:ind w:left="720"/>
      <w:contextualSpacing/>
    </w:pPr>
  </w:style>
  <w:style w:type="paragraph" w:styleId="a6">
    <w:name w:val="header"/>
    <w:basedOn w:val="a"/>
    <w:link w:val="a7"/>
    <w:uiPriority w:val="99"/>
    <w:unhideWhenUsed/>
    <w:rsid w:val="00BB76C2"/>
    <w:pPr>
      <w:tabs>
        <w:tab w:val="center" w:pos="4677"/>
        <w:tab w:val="right" w:pos="9355"/>
      </w:tabs>
    </w:pPr>
  </w:style>
  <w:style w:type="character" w:customStyle="1" w:styleId="a7">
    <w:name w:val="Верхний колонтитул Знак"/>
    <w:basedOn w:val="a0"/>
    <w:link w:val="a6"/>
    <w:uiPriority w:val="99"/>
    <w:rsid w:val="00BB76C2"/>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BB76C2"/>
    <w:pPr>
      <w:tabs>
        <w:tab w:val="center" w:pos="4677"/>
        <w:tab w:val="right" w:pos="9355"/>
      </w:tabs>
    </w:pPr>
  </w:style>
  <w:style w:type="character" w:customStyle="1" w:styleId="a9">
    <w:name w:val="Нижний колонтитул Знак"/>
    <w:basedOn w:val="a0"/>
    <w:link w:val="a8"/>
    <w:uiPriority w:val="99"/>
    <w:rsid w:val="00BB76C2"/>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6085</Words>
  <Characters>34691</Characters>
  <Application>Microsoft Office Word</Application>
  <DocSecurity>4</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2020-12-21T13:52:00Z</cp:lastPrinted>
  <dcterms:created xsi:type="dcterms:W3CDTF">2020-12-21T14:17:00Z</dcterms:created>
  <dcterms:modified xsi:type="dcterms:W3CDTF">2020-12-21T14:17:00Z</dcterms:modified>
</cp:coreProperties>
</file>