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11C" w:rsidRPr="00876633" w:rsidRDefault="00713039" w:rsidP="00261174">
      <w:pPr>
        <w:contextualSpacing/>
        <w:jc w:val="center"/>
        <w:rPr>
          <w:sz w:val="16"/>
          <w:szCs w:val="16"/>
          <w:lang w:val="uk-UA"/>
        </w:rPr>
      </w:pPr>
      <w:bookmarkStart w:id="0" w:name="_GoBack"/>
      <w:bookmarkEnd w:id="0"/>
      <w:r>
        <w:rPr>
          <w:noProof/>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12711C" w:rsidRPr="009E2F9B" w:rsidRDefault="0012711C" w:rsidP="00DA2B5A">
      <w:pPr>
        <w:contextualSpacing/>
        <w:jc w:val="center"/>
        <w:rPr>
          <w:b/>
          <w:sz w:val="32"/>
          <w:szCs w:val="32"/>
          <w:lang w:val="uk-UA"/>
        </w:rPr>
      </w:pPr>
      <w:r w:rsidRPr="009E2F9B">
        <w:rPr>
          <w:b/>
          <w:sz w:val="32"/>
          <w:szCs w:val="32"/>
          <w:lang w:val="uk-UA"/>
        </w:rPr>
        <w:t>АНТИМОНОПОЛЬНИЙ   КОМІТЕТ   УКРАЇНИ</w:t>
      </w:r>
    </w:p>
    <w:p w:rsidR="00AF0FB0" w:rsidRPr="00876633" w:rsidRDefault="00AF0FB0" w:rsidP="00DA2B5A">
      <w:pPr>
        <w:tabs>
          <w:tab w:val="left" w:leader="hyphen" w:pos="10206"/>
        </w:tabs>
        <w:contextualSpacing/>
        <w:jc w:val="center"/>
        <w:rPr>
          <w:b/>
          <w:sz w:val="28"/>
          <w:szCs w:val="28"/>
          <w:lang w:val="uk-UA"/>
        </w:rPr>
      </w:pPr>
    </w:p>
    <w:p w:rsidR="0012711C" w:rsidRPr="009E2F9B" w:rsidRDefault="0012711C" w:rsidP="00DA2B5A">
      <w:pPr>
        <w:tabs>
          <w:tab w:val="left" w:leader="hyphen" w:pos="10206"/>
        </w:tabs>
        <w:contextualSpacing/>
        <w:jc w:val="center"/>
        <w:rPr>
          <w:b/>
          <w:sz w:val="32"/>
          <w:szCs w:val="32"/>
          <w:lang w:val="uk-UA"/>
        </w:rPr>
      </w:pPr>
      <w:r w:rsidRPr="009E2F9B">
        <w:rPr>
          <w:b/>
          <w:sz w:val="32"/>
          <w:szCs w:val="32"/>
          <w:lang w:val="uk-UA"/>
        </w:rPr>
        <w:t>РІШЕННЯ</w:t>
      </w:r>
    </w:p>
    <w:p w:rsidR="00AF0FB0" w:rsidRPr="009E2F9B" w:rsidRDefault="00AF0FB0" w:rsidP="00DA2B5A">
      <w:pPr>
        <w:tabs>
          <w:tab w:val="left" w:leader="hyphen" w:pos="10206"/>
        </w:tabs>
        <w:contextualSpacing/>
        <w:jc w:val="center"/>
        <w:rPr>
          <w:b/>
          <w:sz w:val="28"/>
          <w:szCs w:val="28"/>
          <w:lang w:val="uk-UA"/>
        </w:rPr>
      </w:pPr>
    </w:p>
    <w:p w:rsidR="0012711C" w:rsidRPr="00876633" w:rsidRDefault="00A20D23" w:rsidP="00261174">
      <w:pPr>
        <w:tabs>
          <w:tab w:val="left" w:leader="hyphen" w:pos="10206"/>
        </w:tabs>
        <w:contextualSpacing/>
        <w:rPr>
          <w:lang w:val="uk-UA"/>
        </w:rPr>
      </w:pPr>
      <w:r>
        <w:rPr>
          <w:bCs/>
          <w:lang w:val="uk-UA"/>
        </w:rPr>
        <w:t>24</w:t>
      </w:r>
      <w:r w:rsidR="00AF0FB0" w:rsidRPr="00876633">
        <w:rPr>
          <w:bCs/>
          <w:lang w:val="uk-UA"/>
        </w:rPr>
        <w:t xml:space="preserve"> </w:t>
      </w:r>
      <w:r w:rsidR="00D72629">
        <w:rPr>
          <w:bCs/>
          <w:lang w:val="uk-UA"/>
        </w:rPr>
        <w:t>грудня</w:t>
      </w:r>
      <w:r w:rsidR="0012711C" w:rsidRPr="00876633">
        <w:rPr>
          <w:bCs/>
          <w:lang w:val="uk-UA"/>
        </w:rPr>
        <w:t xml:space="preserve"> 20</w:t>
      </w:r>
      <w:r w:rsidR="00DA2B5A">
        <w:rPr>
          <w:bCs/>
          <w:lang w:val="uk-UA"/>
        </w:rPr>
        <w:t>20</w:t>
      </w:r>
      <w:r w:rsidR="0012711C" w:rsidRPr="00876633">
        <w:rPr>
          <w:bCs/>
          <w:lang w:val="uk-UA"/>
        </w:rPr>
        <w:t xml:space="preserve"> р.</w:t>
      </w:r>
      <w:r w:rsidR="0012711C" w:rsidRPr="00876633">
        <w:rPr>
          <w:lang w:val="uk-UA"/>
        </w:rPr>
        <w:t xml:space="preserve">              </w:t>
      </w:r>
      <w:r w:rsidR="00AF0FB0" w:rsidRPr="00876633">
        <w:rPr>
          <w:lang w:val="uk-UA"/>
        </w:rPr>
        <w:t xml:space="preserve">    </w:t>
      </w:r>
      <w:r w:rsidR="0012711C" w:rsidRPr="00876633">
        <w:rPr>
          <w:lang w:val="uk-UA"/>
        </w:rPr>
        <w:t xml:space="preserve">              </w:t>
      </w:r>
      <w:r w:rsidR="00261174" w:rsidRPr="00876633">
        <w:rPr>
          <w:lang w:val="uk-UA"/>
        </w:rPr>
        <w:t xml:space="preserve">   </w:t>
      </w:r>
      <w:r w:rsidR="0012711C" w:rsidRPr="00876633">
        <w:rPr>
          <w:lang w:val="uk-UA"/>
        </w:rPr>
        <w:t xml:space="preserve">             Київ                 </w:t>
      </w:r>
      <w:r w:rsidR="00AF0FB0" w:rsidRPr="00876633">
        <w:rPr>
          <w:lang w:val="uk-UA"/>
        </w:rPr>
        <w:t xml:space="preserve">    </w:t>
      </w:r>
      <w:r w:rsidR="0012711C" w:rsidRPr="00876633">
        <w:rPr>
          <w:lang w:val="uk-UA"/>
        </w:rPr>
        <w:t xml:space="preserve">                                        №</w:t>
      </w:r>
      <w:r>
        <w:rPr>
          <w:lang w:val="uk-UA"/>
        </w:rPr>
        <w:t xml:space="preserve"> 811</w:t>
      </w:r>
      <w:r w:rsidR="00AF0FB0" w:rsidRPr="00876633">
        <w:rPr>
          <w:lang w:val="uk-UA"/>
        </w:rPr>
        <w:t>-р</w:t>
      </w:r>
    </w:p>
    <w:p w:rsidR="00293F72" w:rsidRPr="00876633" w:rsidRDefault="00293F72" w:rsidP="00261174">
      <w:pPr>
        <w:pStyle w:val="a4"/>
        <w:contextualSpacing/>
        <w:rPr>
          <w:lang w:val="uk-UA"/>
        </w:rPr>
      </w:pPr>
    </w:p>
    <w:p w:rsidR="003C3CF5" w:rsidRPr="00610F0B" w:rsidRDefault="003C3CF5" w:rsidP="00211FA6">
      <w:pPr>
        <w:pStyle w:val="a4"/>
        <w:contextualSpacing/>
        <w:rPr>
          <w:lang w:val="uk-UA"/>
        </w:rPr>
      </w:pPr>
      <w:r w:rsidRPr="00610F0B">
        <w:rPr>
          <w:lang w:val="uk-UA"/>
        </w:rPr>
        <w:t xml:space="preserve">Про результати розгляду  </w:t>
      </w:r>
    </w:p>
    <w:p w:rsidR="003C3CF5" w:rsidRPr="00610F0B" w:rsidRDefault="003C3CF5" w:rsidP="00211FA6">
      <w:pPr>
        <w:contextualSpacing/>
        <w:rPr>
          <w:lang w:val="uk-UA"/>
        </w:rPr>
      </w:pPr>
      <w:r w:rsidRPr="00610F0B">
        <w:rPr>
          <w:lang w:val="uk-UA"/>
        </w:rPr>
        <w:t>справи про концентрацію</w:t>
      </w:r>
    </w:p>
    <w:p w:rsidR="00FE266D" w:rsidRPr="00610F0B" w:rsidRDefault="00FE266D" w:rsidP="00211FA6">
      <w:pPr>
        <w:contextualSpacing/>
        <w:rPr>
          <w:lang w:val="uk-UA"/>
        </w:rPr>
      </w:pPr>
    </w:p>
    <w:p w:rsidR="0012711C" w:rsidRPr="00610F0B" w:rsidRDefault="0012711C" w:rsidP="00211FA6">
      <w:pPr>
        <w:ind w:firstLine="709"/>
        <w:contextualSpacing/>
        <w:jc w:val="both"/>
        <w:rPr>
          <w:lang w:val="uk-UA"/>
        </w:rPr>
      </w:pPr>
      <w:r w:rsidRPr="00610F0B">
        <w:rPr>
          <w:lang w:val="uk-UA"/>
        </w:rPr>
        <w:t xml:space="preserve">Антимонопольний комітет України, розглянувши </w:t>
      </w:r>
      <w:r w:rsidR="004D7E44" w:rsidRPr="00610F0B">
        <w:rPr>
          <w:lang w:val="uk-UA"/>
        </w:rPr>
        <w:t>матеріали справи</w:t>
      </w:r>
      <w:r w:rsidRPr="00610F0B">
        <w:rPr>
          <w:lang w:val="uk-UA"/>
        </w:rPr>
        <w:br/>
      </w:r>
      <w:r w:rsidR="00D72629" w:rsidRPr="00610F0B">
        <w:rPr>
          <w:lang w:val="uk-UA"/>
        </w:rPr>
        <w:t>№ 128-25/17-20-ЕК</w:t>
      </w:r>
      <w:r w:rsidR="00293F72" w:rsidRPr="00610F0B">
        <w:rPr>
          <w:lang w:val="uk-UA"/>
        </w:rPr>
        <w:t xml:space="preserve"> про концентрацію</w:t>
      </w:r>
      <w:r w:rsidR="00D72629" w:rsidRPr="00610F0B">
        <w:rPr>
          <w:lang w:val="uk-UA"/>
        </w:rPr>
        <w:t xml:space="preserve"> у вигляді набуття акціонерним товариством «Національна акціонерна компанія </w:t>
      </w:r>
      <w:r w:rsidR="003E22CB">
        <w:rPr>
          <w:lang w:val="uk-UA"/>
        </w:rPr>
        <w:t>«Нафтогаз України»</w:t>
      </w:r>
      <w:r w:rsidR="00D72629" w:rsidRPr="00610F0B">
        <w:rPr>
          <w:lang w:val="uk-UA"/>
        </w:rPr>
        <w:t xml:space="preserve"> (далі – НАК </w:t>
      </w:r>
      <w:r w:rsidR="003E22CB">
        <w:rPr>
          <w:lang w:val="uk-UA"/>
        </w:rPr>
        <w:t>«Нафтогаз України»</w:t>
      </w:r>
      <w:r w:rsidR="00D72629" w:rsidRPr="00610F0B">
        <w:rPr>
          <w:lang w:val="uk-UA"/>
        </w:rPr>
        <w:t xml:space="preserve">) </w:t>
      </w:r>
      <w:r w:rsidR="003E22CB">
        <w:rPr>
          <w:lang w:val="uk-UA"/>
        </w:rPr>
        <w:br/>
      </w:r>
      <w:r w:rsidR="00D72629" w:rsidRPr="00610F0B">
        <w:rPr>
          <w:lang w:val="uk-UA"/>
        </w:rPr>
        <w:t xml:space="preserve">(м. Київ) у власність частки у статутному капіталі </w:t>
      </w:r>
      <w:r w:rsidR="00F95657">
        <w:rPr>
          <w:lang w:val="uk-UA"/>
        </w:rPr>
        <w:t>т</w:t>
      </w:r>
      <w:r w:rsidR="00D72629" w:rsidRPr="00610F0B">
        <w:rPr>
          <w:lang w:val="uk-UA"/>
        </w:rPr>
        <w:t xml:space="preserve">овариства з обмеженою відповідальністю «Надра Юзівська» (далі – ТОВ «Надра Юзівська») (м. Київ, ідентифікаційний код юридичної особи 38077614), </w:t>
      </w:r>
    </w:p>
    <w:p w:rsidR="00211FA6" w:rsidRPr="002950FF" w:rsidRDefault="00211FA6" w:rsidP="00211FA6">
      <w:pPr>
        <w:overflowPunct w:val="0"/>
        <w:autoSpaceDE w:val="0"/>
        <w:autoSpaceDN w:val="0"/>
        <w:adjustRightInd w:val="0"/>
        <w:ind w:firstLine="709"/>
        <w:contextualSpacing/>
        <w:jc w:val="both"/>
        <w:textAlignment w:val="baseline"/>
        <w:rPr>
          <w:sz w:val="16"/>
          <w:szCs w:val="16"/>
          <w:lang w:val="uk-UA"/>
        </w:rPr>
      </w:pPr>
    </w:p>
    <w:p w:rsidR="00262106" w:rsidRPr="00610F0B" w:rsidRDefault="00262106" w:rsidP="00211FA6">
      <w:pPr>
        <w:contextualSpacing/>
        <w:jc w:val="center"/>
        <w:outlineLvl w:val="0"/>
        <w:rPr>
          <w:lang w:val="uk-UA"/>
        </w:rPr>
      </w:pPr>
      <w:r w:rsidRPr="00610F0B">
        <w:rPr>
          <w:b/>
          <w:lang w:val="uk-UA"/>
        </w:rPr>
        <w:t>ВСТАНОВИВ:</w:t>
      </w:r>
    </w:p>
    <w:p w:rsidR="00FE266D" w:rsidRPr="002950FF" w:rsidRDefault="00FE266D" w:rsidP="00D72629">
      <w:pPr>
        <w:contextualSpacing/>
        <w:jc w:val="both"/>
        <w:rPr>
          <w:sz w:val="16"/>
          <w:szCs w:val="16"/>
          <w:lang w:val="uk-UA"/>
        </w:rPr>
      </w:pPr>
    </w:p>
    <w:p w:rsidR="00A3102E" w:rsidRDefault="00A3102E" w:rsidP="00A3102E">
      <w:pPr>
        <w:numPr>
          <w:ilvl w:val="0"/>
          <w:numId w:val="2"/>
        </w:numPr>
        <w:tabs>
          <w:tab w:val="left" w:pos="709"/>
          <w:tab w:val="left" w:pos="1418"/>
        </w:tabs>
        <w:ind w:left="709" w:hanging="709"/>
        <w:contextualSpacing/>
        <w:jc w:val="both"/>
        <w:rPr>
          <w:b/>
          <w:lang w:val="uk-UA"/>
        </w:rPr>
      </w:pPr>
      <w:r w:rsidRPr="00610F0B">
        <w:rPr>
          <w:b/>
          <w:lang w:val="uk-UA"/>
        </w:rPr>
        <w:t>ПРЕДМЕТ СПРАВ</w:t>
      </w:r>
      <w:r w:rsidR="00293F72" w:rsidRPr="00610F0B">
        <w:rPr>
          <w:b/>
          <w:lang w:val="uk-UA"/>
        </w:rPr>
        <w:t>И</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Концентрація у </w:t>
      </w:r>
      <w:r w:rsidR="00293F72" w:rsidRPr="00610F0B">
        <w:rPr>
          <w:lang w:val="uk-UA"/>
        </w:rPr>
        <w:t xml:space="preserve">вигляді </w:t>
      </w:r>
      <w:r w:rsidRPr="00610F0B">
        <w:rPr>
          <w:lang w:val="uk-UA"/>
        </w:rPr>
        <w:t>набутт</w:t>
      </w:r>
      <w:r w:rsidR="00293F72" w:rsidRPr="00610F0B">
        <w:rPr>
          <w:lang w:val="uk-UA"/>
        </w:rPr>
        <w:t>я</w:t>
      </w:r>
      <w:r w:rsidRPr="00610F0B">
        <w:rPr>
          <w:lang w:val="uk-UA"/>
        </w:rPr>
        <w:t xml:space="preserve"> НАК </w:t>
      </w:r>
      <w:r w:rsidR="003E22CB">
        <w:rPr>
          <w:lang w:val="uk-UA"/>
        </w:rPr>
        <w:t>«Нафтогаз України»</w:t>
      </w:r>
      <w:r w:rsidRPr="00610F0B">
        <w:rPr>
          <w:lang w:val="uk-UA"/>
        </w:rPr>
        <w:t xml:space="preserve"> у власність частки у статутному капіталі ТОВ «Надра Юзівська» у розмірі 99</w:t>
      </w:r>
      <w:r w:rsidR="00F95657">
        <w:rPr>
          <w:lang w:val="uk-UA"/>
        </w:rPr>
        <w:t xml:space="preserve"> </w:t>
      </w:r>
      <w:r w:rsidR="003E22CB">
        <w:rPr>
          <w:lang w:val="uk-UA"/>
        </w:rPr>
        <w:t>%</w:t>
      </w:r>
      <w:r w:rsidRPr="00610F0B">
        <w:rPr>
          <w:lang w:val="uk-UA"/>
        </w:rPr>
        <w:t xml:space="preserve"> шляхом укладення договору купівлі-продажу частки у статутному капіталі з НАК </w:t>
      </w:r>
      <w:r w:rsidR="00F95657">
        <w:rPr>
          <w:lang w:val="uk-UA"/>
        </w:rPr>
        <w:t>«</w:t>
      </w:r>
      <w:r w:rsidRPr="00610F0B">
        <w:rPr>
          <w:lang w:val="uk-UA"/>
        </w:rPr>
        <w:t>Надра України</w:t>
      </w:r>
      <w:r w:rsidR="00F95657">
        <w:rPr>
          <w:lang w:val="uk-UA"/>
        </w:rPr>
        <w:t>»</w:t>
      </w:r>
      <w:r w:rsidRPr="00610F0B">
        <w:rPr>
          <w:lang w:val="uk-UA"/>
        </w:rPr>
        <w:t xml:space="preserve"> (Концентрація) та </w:t>
      </w:r>
      <w:r w:rsidR="00F95657">
        <w:rPr>
          <w:lang w:val="uk-UA"/>
        </w:rPr>
        <w:t>в</w:t>
      </w:r>
      <w:r w:rsidRPr="00610F0B">
        <w:rPr>
          <w:lang w:val="uk-UA"/>
        </w:rPr>
        <w:t xml:space="preserve"> розмірі 1</w:t>
      </w:r>
      <w:r w:rsidR="00F95657">
        <w:rPr>
          <w:lang w:val="uk-UA"/>
        </w:rPr>
        <w:t xml:space="preserve"> </w:t>
      </w:r>
      <w:r w:rsidR="003E22CB">
        <w:rPr>
          <w:lang w:val="uk-UA"/>
        </w:rPr>
        <w:t>%</w:t>
      </w:r>
      <w:r w:rsidR="00293F72" w:rsidRPr="00610F0B">
        <w:rPr>
          <w:lang w:val="uk-UA"/>
        </w:rPr>
        <w:t xml:space="preserve"> </w:t>
      </w:r>
      <w:r w:rsidRPr="00610F0B">
        <w:rPr>
          <w:lang w:val="uk-UA"/>
        </w:rPr>
        <w:t>шляхом укладення договору купівлі-продажу частки у статутному капіталі з Дочірнім підприємством ПрАТ «НАК «Надра України» «Український геологічний науково-виробничий центр».</w:t>
      </w:r>
    </w:p>
    <w:p w:rsidR="00293F72" w:rsidRPr="00610F0B" w:rsidRDefault="00A3102E" w:rsidP="00293F72">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Відповідно до статті 22 Закону України «Про захист економічної конкуренції» концентрацією визнається, зокрема</w:t>
      </w:r>
      <w:r w:rsidR="00293F72" w:rsidRPr="00610F0B">
        <w:rPr>
          <w:lang w:val="uk-UA"/>
        </w:rPr>
        <w:t>,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A3102E" w:rsidRDefault="00293F72" w:rsidP="00293F72">
      <w:pPr>
        <w:pStyle w:val="aff8"/>
        <w:tabs>
          <w:tab w:val="left" w:pos="709"/>
          <w:tab w:val="left" w:pos="851"/>
        </w:tabs>
        <w:autoSpaceDE w:val="0"/>
        <w:autoSpaceDN w:val="0"/>
        <w:adjustRightInd w:val="0"/>
        <w:ind w:left="709"/>
        <w:contextualSpacing/>
        <w:jc w:val="both"/>
        <w:rPr>
          <w:lang w:val="uk-UA"/>
        </w:rPr>
      </w:pPr>
      <w:r w:rsidRPr="00610F0B">
        <w:rPr>
          <w:lang w:val="uk-UA"/>
        </w:rPr>
        <w:t xml:space="preserve">Отже, заявлені дії </w:t>
      </w:r>
      <w:r w:rsidR="00FE266D">
        <w:rPr>
          <w:lang w:val="uk-UA"/>
        </w:rPr>
        <w:t>є концентрацією.</w:t>
      </w:r>
    </w:p>
    <w:p w:rsidR="00A3102E"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Відповідні вартісні показники учасників концентрації, з урахуванням відносин контролю, за підсумками 2019 року перевищують порогові значення, визначені частиною першою статті 24 Закону України «Про захист економічної конкуренції».</w:t>
      </w:r>
    </w:p>
    <w:p w:rsidR="00FE266D" w:rsidRPr="00610F0B" w:rsidRDefault="00FE266D" w:rsidP="00FE266D">
      <w:pPr>
        <w:pStyle w:val="aff8"/>
        <w:tabs>
          <w:tab w:val="left" w:pos="709"/>
          <w:tab w:val="left" w:pos="851"/>
        </w:tabs>
        <w:autoSpaceDE w:val="0"/>
        <w:autoSpaceDN w:val="0"/>
        <w:adjustRightInd w:val="0"/>
        <w:ind w:left="709"/>
        <w:contextualSpacing/>
        <w:jc w:val="both"/>
        <w:rPr>
          <w:lang w:val="uk-UA"/>
        </w:rPr>
      </w:pPr>
    </w:p>
    <w:p w:rsidR="00293F72" w:rsidRPr="00610F0B" w:rsidRDefault="00293F72" w:rsidP="00293F72">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Враховуючи, що за резуль</w:t>
      </w:r>
      <w:r w:rsidR="00561366">
        <w:rPr>
          <w:lang w:val="uk-UA"/>
        </w:rPr>
        <w:t>татом здійснення концентрації, яка</w:t>
      </w:r>
      <w:r w:rsidRPr="00610F0B">
        <w:rPr>
          <w:lang w:val="uk-UA"/>
        </w:rPr>
        <w:t xml:space="preserve"> зазначена </w:t>
      </w:r>
      <w:r w:rsidR="00FE266D">
        <w:rPr>
          <w:lang w:val="uk-UA"/>
        </w:rPr>
        <w:br/>
      </w:r>
      <w:r w:rsidR="00561366">
        <w:rPr>
          <w:lang w:val="uk-UA"/>
        </w:rPr>
        <w:t>в</w:t>
      </w:r>
      <w:r w:rsidRPr="00610F0B">
        <w:rPr>
          <w:lang w:val="uk-UA"/>
        </w:rPr>
        <w:t xml:space="preserve"> пункті 1 цього рішення, у НАК </w:t>
      </w:r>
      <w:r w:rsidR="003E22CB">
        <w:rPr>
          <w:lang w:val="uk-UA"/>
        </w:rPr>
        <w:t>«Нафтогаз України»</w:t>
      </w:r>
      <w:r w:rsidRPr="00610F0B">
        <w:rPr>
          <w:lang w:val="uk-UA"/>
        </w:rPr>
        <w:t xml:space="preserve"> існує можливість, за рахунок збільшення обсягів власного видобутку природного газу та нафти, суттєво обмежувати конкуренцію на ринках газу та нафти, відповідно до статті 30 Закону України «Про захист економічної конкуренції», було розпочато розгляд справ про концентрацію.</w:t>
      </w:r>
    </w:p>
    <w:p w:rsidR="00A3102E" w:rsidRPr="002950FF" w:rsidRDefault="00A3102E" w:rsidP="00A3102E">
      <w:pPr>
        <w:pStyle w:val="aff8"/>
        <w:tabs>
          <w:tab w:val="left" w:pos="709"/>
          <w:tab w:val="left" w:pos="851"/>
        </w:tabs>
        <w:contextualSpacing/>
        <w:jc w:val="both"/>
        <w:rPr>
          <w:sz w:val="16"/>
          <w:szCs w:val="16"/>
          <w:lang w:val="uk-UA"/>
        </w:rPr>
      </w:pPr>
    </w:p>
    <w:p w:rsidR="00A3102E" w:rsidRDefault="00A3102E" w:rsidP="00A3102E">
      <w:pPr>
        <w:numPr>
          <w:ilvl w:val="0"/>
          <w:numId w:val="2"/>
        </w:numPr>
        <w:tabs>
          <w:tab w:val="left" w:pos="709"/>
          <w:tab w:val="left" w:pos="1418"/>
        </w:tabs>
        <w:ind w:left="709" w:hanging="709"/>
        <w:contextualSpacing/>
        <w:jc w:val="both"/>
        <w:rPr>
          <w:b/>
          <w:lang w:val="uk-UA"/>
        </w:rPr>
      </w:pPr>
      <w:r w:rsidRPr="00610F0B">
        <w:rPr>
          <w:b/>
          <w:lang w:val="uk-UA"/>
        </w:rPr>
        <w:t xml:space="preserve">УЧАСНИКИ КОНЦЕНТРАЦІЇ </w:t>
      </w:r>
    </w:p>
    <w:p w:rsidR="00A3102E"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Набувач </w:t>
      </w:r>
      <w:r w:rsidR="00293F72" w:rsidRPr="00610F0B">
        <w:rPr>
          <w:lang w:val="uk-UA"/>
        </w:rPr>
        <w:t xml:space="preserve">частки </w:t>
      </w:r>
      <w:r w:rsidR="00561366">
        <w:rPr>
          <w:lang w:val="uk-UA"/>
        </w:rPr>
        <w:t xml:space="preserve">– </w:t>
      </w:r>
      <w:r w:rsidRPr="00610F0B">
        <w:rPr>
          <w:lang w:val="uk-UA"/>
        </w:rPr>
        <w:t xml:space="preserve">НАК </w:t>
      </w:r>
      <w:r w:rsidR="003E22CB">
        <w:rPr>
          <w:lang w:val="uk-UA"/>
        </w:rPr>
        <w:t>«Нафтогаз України»</w:t>
      </w:r>
      <w:r w:rsidRPr="00610F0B">
        <w:rPr>
          <w:lang w:val="uk-UA"/>
        </w:rPr>
        <w:t xml:space="preserve"> (м. Київ).</w:t>
      </w:r>
    </w:p>
    <w:p w:rsidR="00FE266D" w:rsidRPr="002950FF" w:rsidRDefault="00FE266D" w:rsidP="00FE266D">
      <w:pPr>
        <w:pStyle w:val="aff8"/>
        <w:tabs>
          <w:tab w:val="left" w:pos="709"/>
          <w:tab w:val="left" w:pos="851"/>
        </w:tabs>
        <w:autoSpaceDE w:val="0"/>
        <w:autoSpaceDN w:val="0"/>
        <w:adjustRightInd w:val="0"/>
        <w:ind w:left="709"/>
        <w:contextualSpacing/>
        <w:jc w:val="both"/>
        <w:rPr>
          <w:sz w:val="16"/>
          <w:szCs w:val="16"/>
          <w:lang w:val="uk-UA"/>
        </w:rPr>
      </w:pPr>
    </w:p>
    <w:p w:rsidR="00A3102E"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Об’єкт кон</w:t>
      </w:r>
      <w:r w:rsidR="00FE266D">
        <w:rPr>
          <w:lang w:val="uk-UA"/>
        </w:rPr>
        <w:t>центрації</w:t>
      </w:r>
      <w:r w:rsidR="00561366">
        <w:rPr>
          <w:lang w:val="uk-UA"/>
        </w:rPr>
        <w:t xml:space="preserve"> –</w:t>
      </w:r>
      <w:r w:rsidR="00FE266D">
        <w:rPr>
          <w:lang w:val="uk-UA"/>
        </w:rPr>
        <w:t xml:space="preserve"> ТОВ «Надра Юзівська».</w:t>
      </w:r>
    </w:p>
    <w:p w:rsidR="00FE266D" w:rsidRPr="002950FF" w:rsidRDefault="00FE266D" w:rsidP="00FE266D">
      <w:pPr>
        <w:pStyle w:val="aff8"/>
        <w:tabs>
          <w:tab w:val="left" w:pos="709"/>
          <w:tab w:val="left" w:pos="851"/>
        </w:tabs>
        <w:autoSpaceDE w:val="0"/>
        <w:autoSpaceDN w:val="0"/>
        <w:adjustRightInd w:val="0"/>
        <w:ind w:left="0"/>
        <w:contextualSpacing/>
        <w:jc w:val="both"/>
        <w:rPr>
          <w:sz w:val="16"/>
          <w:szCs w:val="16"/>
          <w:lang w:val="uk-UA"/>
        </w:rPr>
      </w:pP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Власник об’єкт</w:t>
      </w:r>
      <w:r w:rsidR="00561366">
        <w:rPr>
          <w:lang w:val="uk-UA"/>
        </w:rPr>
        <w:t>а</w:t>
      </w:r>
      <w:r w:rsidRPr="00610F0B">
        <w:rPr>
          <w:lang w:val="uk-UA"/>
        </w:rPr>
        <w:t xml:space="preserve"> концентрації: приватне акціонерне товариство «Національна акціонерна компанія «Надра України» (далі – НАК «Надра України») (м. Київ).</w:t>
      </w:r>
    </w:p>
    <w:p w:rsidR="00FE266D" w:rsidRPr="002950FF" w:rsidRDefault="00FE266D" w:rsidP="00A3102E">
      <w:pPr>
        <w:pStyle w:val="aff8"/>
        <w:tabs>
          <w:tab w:val="left" w:pos="709"/>
          <w:tab w:val="left" w:pos="851"/>
        </w:tabs>
        <w:ind w:left="709"/>
        <w:contextualSpacing/>
        <w:jc w:val="both"/>
        <w:rPr>
          <w:sz w:val="16"/>
          <w:szCs w:val="16"/>
          <w:lang w:val="uk-UA"/>
        </w:rPr>
      </w:pPr>
    </w:p>
    <w:p w:rsidR="00A3102E" w:rsidRDefault="00A3102E" w:rsidP="00A3102E">
      <w:pPr>
        <w:numPr>
          <w:ilvl w:val="0"/>
          <w:numId w:val="2"/>
        </w:numPr>
        <w:tabs>
          <w:tab w:val="left" w:pos="709"/>
          <w:tab w:val="left" w:pos="1418"/>
        </w:tabs>
        <w:ind w:left="709" w:hanging="709"/>
        <w:contextualSpacing/>
        <w:jc w:val="both"/>
        <w:rPr>
          <w:b/>
          <w:lang w:val="uk-UA"/>
        </w:rPr>
      </w:pPr>
      <w:r w:rsidRPr="00610F0B">
        <w:rPr>
          <w:b/>
          <w:lang w:val="uk-UA"/>
        </w:rPr>
        <w:lastRenderedPageBreak/>
        <w:t>ПРОЦЕ</w:t>
      </w:r>
      <w:r w:rsidR="00293F72" w:rsidRPr="00610F0B">
        <w:rPr>
          <w:b/>
          <w:lang w:val="uk-UA"/>
        </w:rPr>
        <w:t>СУАЛЬНІ</w:t>
      </w:r>
      <w:r w:rsidRPr="00610F0B">
        <w:rPr>
          <w:b/>
          <w:lang w:val="uk-UA"/>
        </w:rPr>
        <w:t xml:space="preserve"> ДІЇ</w:t>
      </w:r>
    </w:p>
    <w:p w:rsidR="00293F72" w:rsidRDefault="00293F72" w:rsidP="00293F72">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Р</w:t>
      </w:r>
      <w:r w:rsidR="00A3102E" w:rsidRPr="00610F0B">
        <w:rPr>
          <w:lang w:val="uk-UA"/>
        </w:rPr>
        <w:t xml:space="preserve">озпорядженням Голови Антимонопольного комітету України – державного уповноваженого від 08 грудня 2020 року № 01/344-р розпочато розгляд справи </w:t>
      </w:r>
      <w:r w:rsidR="00A3102E" w:rsidRPr="00610F0B">
        <w:rPr>
          <w:lang w:val="uk-UA"/>
        </w:rPr>
        <w:br/>
        <w:t>№ 128-25/17-20-ЕК про концентрацію</w:t>
      </w:r>
      <w:r w:rsidR="00561366">
        <w:rPr>
          <w:lang w:val="uk-UA"/>
        </w:rPr>
        <w:t xml:space="preserve"> у зв’язку </w:t>
      </w:r>
      <w:r w:rsidRPr="00610F0B">
        <w:rPr>
          <w:lang w:val="uk-UA"/>
        </w:rPr>
        <w:t xml:space="preserve">з виявленими </w:t>
      </w:r>
      <w:r w:rsidR="00561366">
        <w:rPr>
          <w:lang w:val="uk-UA"/>
        </w:rPr>
        <w:t xml:space="preserve">в поданих матеріалах підставами </w:t>
      </w:r>
      <w:r w:rsidRPr="00610F0B">
        <w:rPr>
          <w:lang w:val="uk-UA"/>
        </w:rPr>
        <w:t>для заборони концентрації.</w:t>
      </w:r>
    </w:p>
    <w:p w:rsidR="00A3102E" w:rsidRPr="00610F0B" w:rsidRDefault="00293F72" w:rsidP="00293F72">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Л</w:t>
      </w:r>
      <w:r w:rsidR="00A3102E" w:rsidRPr="00610F0B">
        <w:rPr>
          <w:lang w:val="uk-UA"/>
        </w:rPr>
        <w:t xml:space="preserve">истами від 08.12.2020 № 128-25/01-16845 та № 128-25/01-16852 направлено </w:t>
      </w:r>
      <w:r w:rsidR="00A3102E" w:rsidRPr="00610F0B">
        <w:rPr>
          <w:lang w:val="uk-UA"/>
        </w:rPr>
        <w:br/>
      </w:r>
      <w:r w:rsidRPr="00610F0B">
        <w:rPr>
          <w:lang w:val="uk-UA"/>
        </w:rPr>
        <w:t xml:space="preserve">до </w:t>
      </w:r>
      <w:r w:rsidR="00A3102E" w:rsidRPr="00610F0B">
        <w:rPr>
          <w:lang w:val="uk-UA"/>
        </w:rPr>
        <w:t xml:space="preserve">НАК </w:t>
      </w:r>
      <w:r w:rsidR="003E22CB">
        <w:rPr>
          <w:lang w:val="uk-UA"/>
        </w:rPr>
        <w:t>«Нафтогаз України»</w:t>
      </w:r>
      <w:r w:rsidR="00A3102E" w:rsidRPr="00610F0B">
        <w:rPr>
          <w:lang w:val="uk-UA"/>
        </w:rPr>
        <w:t xml:space="preserve"> та НАК «Надра України», відповідно, розпорядження </w:t>
      </w:r>
      <w:r w:rsidR="00A3102E" w:rsidRPr="00610F0B">
        <w:rPr>
          <w:lang w:val="uk-UA"/>
        </w:rPr>
        <w:br/>
        <w:t>№ 01/344-р про початок розгляду справи № 128-25/17-20-ЕК про концентрацію. Одночасно, відповідно до частини другої статті 31 Закону України «Про захист економічної конкуренції», запропоновано у тридцятиденний строк надати пропозиції щодо зобов’язань, які усувають негативний вплив концентрації на конкуренцію та дозволяють Антимонопольного комітету України прийняти рішення про надання дозволу на концентрацію.</w:t>
      </w:r>
    </w:p>
    <w:p w:rsidR="00FE266D" w:rsidRPr="003E25C7" w:rsidRDefault="00FE266D" w:rsidP="00A3102E">
      <w:pPr>
        <w:pStyle w:val="aff8"/>
        <w:tabs>
          <w:tab w:val="left" w:pos="851"/>
          <w:tab w:val="left" w:pos="1134"/>
        </w:tabs>
        <w:ind w:left="851"/>
        <w:contextualSpacing/>
        <w:jc w:val="both"/>
        <w:rPr>
          <w:sz w:val="16"/>
          <w:szCs w:val="16"/>
          <w:lang w:val="uk-UA"/>
        </w:rPr>
      </w:pPr>
    </w:p>
    <w:p w:rsidR="00A3102E" w:rsidRPr="00610F0B" w:rsidRDefault="00A3102E" w:rsidP="00A3102E">
      <w:pPr>
        <w:numPr>
          <w:ilvl w:val="0"/>
          <w:numId w:val="2"/>
        </w:numPr>
        <w:tabs>
          <w:tab w:val="left" w:pos="709"/>
          <w:tab w:val="left" w:pos="1418"/>
        </w:tabs>
        <w:ind w:left="709" w:hanging="709"/>
        <w:contextualSpacing/>
        <w:jc w:val="both"/>
        <w:rPr>
          <w:b/>
          <w:lang w:val="uk-UA"/>
        </w:rPr>
      </w:pPr>
      <w:r w:rsidRPr="00610F0B">
        <w:rPr>
          <w:b/>
          <w:lang w:val="uk-UA"/>
        </w:rPr>
        <w:t>ІНФОРМАЦІЯ ПРО УЧАСНИКІВ КОНЦЕНТРАЦІЇ</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ТОВ «Надра Юзівська» на дату розгляду заяви про концентрацію є стороною чинної Угоди від 24.01.2013 про розподіл вуглеводнів, які видобуватимуться в межах ділянки Юзівська, між Державою Україна, компанією «</w:t>
      </w:r>
      <w:proofErr w:type="spellStart"/>
      <w:r w:rsidRPr="00610F0B">
        <w:rPr>
          <w:lang w:val="uk-UA"/>
        </w:rPr>
        <w:t>Шелл</w:t>
      </w:r>
      <w:proofErr w:type="spellEnd"/>
      <w:r w:rsidRPr="00610F0B">
        <w:rPr>
          <w:lang w:val="uk-UA"/>
        </w:rPr>
        <w:t xml:space="preserve"> </w:t>
      </w:r>
      <w:proofErr w:type="spellStart"/>
      <w:r w:rsidRPr="00610F0B">
        <w:rPr>
          <w:lang w:val="uk-UA"/>
        </w:rPr>
        <w:t>Експлорейшн</w:t>
      </w:r>
      <w:proofErr w:type="spellEnd"/>
      <w:r w:rsidRPr="00610F0B">
        <w:rPr>
          <w:lang w:val="uk-UA"/>
        </w:rPr>
        <w:t xml:space="preserve"> </w:t>
      </w:r>
      <w:proofErr w:type="spellStart"/>
      <w:r w:rsidRPr="00610F0B">
        <w:rPr>
          <w:lang w:val="uk-UA"/>
        </w:rPr>
        <w:t>енд</w:t>
      </w:r>
      <w:proofErr w:type="spellEnd"/>
      <w:r w:rsidRPr="00610F0B">
        <w:rPr>
          <w:lang w:val="uk-UA"/>
        </w:rPr>
        <w:t xml:space="preserve"> </w:t>
      </w:r>
      <w:proofErr w:type="spellStart"/>
      <w:r w:rsidRPr="00610F0B">
        <w:rPr>
          <w:lang w:val="uk-UA"/>
        </w:rPr>
        <w:t>Продакшн</w:t>
      </w:r>
      <w:proofErr w:type="spellEnd"/>
      <w:r w:rsidRPr="00610F0B">
        <w:rPr>
          <w:lang w:val="uk-UA"/>
        </w:rPr>
        <w:t xml:space="preserve"> </w:t>
      </w:r>
      <w:proofErr w:type="spellStart"/>
      <w:r w:rsidRPr="00610F0B">
        <w:rPr>
          <w:lang w:val="uk-UA"/>
        </w:rPr>
        <w:t>Юкрейн</w:t>
      </w:r>
      <w:proofErr w:type="spellEnd"/>
      <w:r w:rsidRPr="00610F0B">
        <w:rPr>
          <w:lang w:val="uk-UA"/>
        </w:rPr>
        <w:t xml:space="preserve"> Інвестментс (IV) Б.В.» (далі – компанія </w:t>
      </w:r>
      <w:proofErr w:type="spellStart"/>
      <w:r w:rsidRPr="00610F0B">
        <w:rPr>
          <w:lang w:val="uk-UA"/>
        </w:rPr>
        <w:t>Шелл</w:t>
      </w:r>
      <w:proofErr w:type="spellEnd"/>
      <w:r w:rsidRPr="00610F0B">
        <w:rPr>
          <w:lang w:val="uk-UA"/>
        </w:rPr>
        <w:t>) і ТОВ «Надра Юзівська» (далі – Угода).</w:t>
      </w:r>
    </w:p>
    <w:p w:rsidR="00A3102E" w:rsidRPr="00610F0B" w:rsidRDefault="00A3102E" w:rsidP="00A3102E">
      <w:pPr>
        <w:pStyle w:val="aff8"/>
        <w:tabs>
          <w:tab w:val="left" w:pos="709"/>
          <w:tab w:val="left" w:pos="851"/>
        </w:tabs>
        <w:ind w:left="709"/>
        <w:contextualSpacing/>
        <w:jc w:val="both"/>
        <w:rPr>
          <w:lang w:val="uk-UA"/>
        </w:rPr>
      </w:pPr>
      <w:r w:rsidRPr="00610F0B">
        <w:rPr>
          <w:lang w:val="uk-UA"/>
        </w:rPr>
        <w:t xml:space="preserve">Відповідно до повідомлення компанії </w:t>
      </w:r>
      <w:proofErr w:type="spellStart"/>
      <w:r w:rsidRPr="00610F0B">
        <w:rPr>
          <w:lang w:val="uk-UA"/>
        </w:rPr>
        <w:t>Шелл</w:t>
      </w:r>
      <w:proofErr w:type="spellEnd"/>
      <w:r w:rsidRPr="00610F0B">
        <w:rPr>
          <w:lang w:val="uk-UA"/>
        </w:rPr>
        <w:t xml:space="preserve"> від 15.07.2014 через події на Сході України компанія </w:t>
      </w:r>
      <w:proofErr w:type="spellStart"/>
      <w:r w:rsidRPr="00610F0B">
        <w:rPr>
          <w:lang w:val="uk-UA"/>
        </w:rPr>
        <w:t>Шелл</w:t>
      </w:r>
      <w:proofErr w:type="spellEnd"/>
      <w:r w:rsidRPr="00610F0B">
        <w:rPr>
          <w:lang w:val="uk-UA"/>
        </w:rPr>
        <w:t xml:space="preserve">, відповідно до статті 35 Угоди, повідомила Державу Україна </w:t>
      </w:r>
      <w:r w:rsidR="00561366">
        <w:rPr>
          <w:lang w:val="uk-UA"/>
        </w:rPr>
        <w:t>і</w:t>
      </w:r>
      <w:r w:rsidRPr="00610F0B">
        <w:rPr>
          <w:lang w:val="uk-UA"/>
        </w:rPr>
        <w:t xml:space="preserve"> ТОВ «Надра Юзівська» про настання форс-мажору.</w:t>
      </w:r>
    </w:p>
    <w:p w:rsidR="00A3102E" w:rsidRPr="00610F0B" w:rsidRDefault="00A3102E" w:rsidP="00A3102E">
      <w:pPr>
        <w:pStyle w:val="aff8"/>
        <w:tabs>
          <w:tab w:val="left" w:pos="709"/>
          <w:tab w:val="left" w:pos="851"/>
        </w:tabs>
        <w:ind w:left="709"/>
        <w:contextualSpacing/>
        <w:jc w:val="both"/>
        <w:rPr>
          <w:lang w:val="uk-UA"/>
        </w:rPr>
      </w:pPr>
      <w:r w:rsidRPr="00610F0B">
        <w:rPr>
          <w:lang w:val="uk-UA"/>
        </w:rPr>
        <w:t xml:space="preserve">10.06.2015 компанія </w:t>
      </w:r>
      <w:proofErr w:type="spellStart"/>
      <w:r w:rsidRPr="00610F0B">
        <w:rPr>
          <w:lang w:val="uk-UA"/>
        </w:rPr>
        <w:t>Шелл</w:t>
      </w:r>
      <w:proofErr w:type="spellEnd"/>
      <w:r w:rsidRPr="00610F0B">
        <w:rPr>
          <w:lang w:val="uk-UA"/>
        </w:rPr>
        <w:t xml:space="preserve"> направила до Кабінету Міністрів України, Мінпаливенерго і ТОВ «Надра Юзівська» повідомлення про відмову від Угоди. Також 11.09.2015 компанія </w:t>
      </w:r>
      <w:proofErr w:type="spellStart"/>
      <w:r w:rsidRPr="00610F0B">
        <w:rPr>
          <w:lang w:val="uk-UA"/>
        </w:rPr>
        <w:t>Шелл</w:t>
      </w:r>
      <w:proofErr w:type="spellEnd"/>
      <w:r w:rsidRPr="00610F0B">
        <w:rPr>
          <w:lang w:val="uk-UA"/>
        </w:rPr>
        <w:t xml:space="preserve"> звернулася з листом до Кабінету Міністрів України й Мінпаливенерго, в якому повторно зазначила про те, що з 08.09.2015 компанія </w:t>
      </w:r>
      <w:proofErr w:type="spellStart"/>
      <w:r w:rsidRPr="00610F0B">
        <w:rPr>
          <w:lang w:val="uk-UA"/>
        </w:rPr>
        <w:t>Шелл</w:t>
      </w:r>
      <w:proofErr w:type="spellEnd"/>
      <w:r w:rsidRPr="00610F0B">
        <w:rPr>
          <w:lang w:val="uk-UA"/>
        </w:rPr>
        <w:t xml:space="preserve"> більше не є стороною Угоди, яка із цього часу продовжуватиме діяти виключно стосовно </w:t>
      </w:r>
      <w:r w:rsidRPr="00610F0B">
        <w:rPr>
          <w:lang w:val="uk-UA"/>
        </w:rPr>
        <w:br/>
        <w:t>ТОВ «Надра Юзівська» як компанії-інвестора за Угодою.</w:t>
      </w:r>
    </w:p>
    <w:p w:rsidR="00A3102E" w:rsidRPr="00610F0B" w:rsidRDefault="00A3102E" w:rsidP="00A3102E">
      <w:pPr>
        <w:pStyle w:val="aff8"/>
        <w:tabs>
          <w:tab w:val="left" w:pos="709"/>
          <w:tab w:val="left" w:pos="851"/>
        </w:tabs>
        <w:ind w:left="709"/>
        <w:contextualSpacing/>
        <w:jc w:val="both"/>
        <w:rPr>
          <w:lang w:val="uk-UA"/>
        </w:rPr>
      </w:pPr>
      <w:r w:rsidRPr="00610F0B">
        <w:rPr>
          <w:lang w:val="uk-UA"/>
        </w:rPr>
        <w:t xml:space="preserve">Отже, на дату розгляду заяви про надання дозволу на концентрацію компанія </w:t>
      </w:r>
      <w:proofErr w:type="spellStart"/>
      <w:r w:rsidRPr="00610F0B">
        <w:rPr>
          <w:lang w:val="uk-UA"/>
        </w:rPr>
        <w:t>Шелл</w:t>
      </w:r>
      <w:proofErr w:type="spellEnd"/>
      <w:r w:rsidRPr="00610F0B">
        <w:rPr>
          <w:lang w:val="uk-UA"/>
        </w:rPr>
        <w:t xml:space="preserve"> не є учасником Угоди, при цьому ТОВ «Надра Юзівська» набуло 100 відсотків прав та обов’язків інвестора за Угодою.</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НАК «Надра України» є засновником ТОВ «Надра Юзівська»</w:t>
      </w:r>
      <w:r w:rsidR="00293F72" w:rsidRPr="00610F0B">
        <w:rPr>
          <w:lang w:val="uk-UA"/>
        </w:rPr>
        <w:t>.</w:t>
      </w:r>
      <w:r w:rsidRPr="00610F0B">
        <w:rPr>
          <w:lang w:val="uk-UA"/>
        </w:rPr>
        <w:t xml:space="preserve"> </w:t>
      </w:r>
      <w:r w:rsidR="00293F72" w:rsidRPr="00610F0B">
        <w:rPr>
          <w:lang w:val="uk-UA"/>
        </w:rPr>
        <w:t>З</w:t>
      </w:r>
      <w:r w:rsidRPr="00610F0B">
        <w:rPr>
          <w:lang w:val="uk-UA"/>
        </w:rPr>
        <w:t>асновник</w:t>
      </w:r>
      <w:r w:rsidR="00293F72" w:rsidRPr="00610F0B">
        <w:rPr>
          <w:lang w:val="uk-UA"/>
        </w:rPr>
        <w:t>ом</w:t>
      </w:r>
      <w:r w:rsidRPr="00610F0B">
        <w:rPr>
          <w:lang w:val="uk-UA"/>
        </w:rPr>
        <w:t xml:space="preserve"> </w:t>
      </w:r>
      <w:r w:rsidR="00293F72" w:rsidRPr="00610F0B">
        <w:rPr>
          <w:lang w:val="uk-UA"/>
        </w:rPr>
        <w:br/>
        <w:t xml:space="preserve">НАК «Надра України </w:t>
      </w:r>
      <w:r w:rsidRPr="00610F0B">
        <w:rPr>
          <w:lang w:val="uk-UA"/>
        </w:rPr>
        <w:t>є Держава Україна (в особі Кабінету Міністрів України).</w:t>
      </w:r>
    </w:p>
    <w:p w:rsidR="003E25C7" w:rsidRDefault="003E25C7" w:rsidP="003E25C7">
      <w:pPr>
        <w:pStyle w:val="aff8"/>
        <w:tabs>
          <w:tab w:val="left" w:pos="709"/>
          <w:tab w:val="left" w:pos="851"/>
        </w:tabs>
        <w:autoSpaceDE w:val="0"/>
        <w:autoSpaceDN w:val="0"/>
        <w:adjustRightInd w:val="0"/>
        <w:ind w:left="0"/>
        <w:contextualSpacing/>
        <w:jc w:val="both"/>
        <w:rPr>
          <w:lang w:val="uk-UA"/>
        </w:rPr>
      </w:pP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НАК </w:t>
      </w:r>
      <w:r w:rsidR="003E22CB">
        <w:rPr>
          <w:lang w:val="uk-UA"/>
        </w:rPr>
        <w:t>«Нафтогаз України»</w:t>
      </w:r>
      <w:r w:rsidRPr="00610F0B">
        <w:rPr>
          <w:lang w:val="uk-UA"/>
        </w:rPr>
        <w:t xml:space="preserve">, з урахуванням відносин контролю (далі – група НАК </w:t>
      </w:r>
      <w:r w:rsidR="003E22CB">
        <w:rPr>
          <w:lang w:val="uk-UA"/>
        </w:rPr>
        <w:t>«Нафтогаз України»</w:t>
      </w:r>
      <w:r w:rsidRPr="00610F0B">
        <w:rPr>
          <w:lang w:val="uk-UA"/>
        </w:rPr>
        <w:t xml:space="preserve">), здійснює діяльність </w:t>
      </w:r>
      <w:r w:rsidR="00561366">
        <w:rPr>
          <w:lang w:val="uk-UA"/>
        </w:rPr>
        <w:t>і</w:t>
      </w:r>
      <w:r w:rsidRPr="00610F0B">
        <w:rPr>
          <w:lang w:val="uk-UA"/>
        </w:rPr>
        <w:t>з:</w:t>
      </w:r>
    </w:p>
    <w:p w:rsidR="00A3102E"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розвідки та розробки родовищ</w:t>
      </w:r>
      <w:r w:rsidR="00561366">
        <w:rPr>
          <w:lang w:val="uk-UA"/>
        </w:rPr>
        <w:t>;</w:t>
      </w:r>
      <w:r w:rsidRPr="00610F0B">
        <w:rPr>
          <w:lang w:val="uk-UA"/>
        </w:rPr>
        <w:t xml:space="preserve"> </w:t>
      </w:r>
    </w:p>
    <w:p w:rsidR="00561366" w:rsidRPr="00561366" w:rsidRDefault="00561366" w:rsidP="00561366">
      <w:pPr>
        <w:pStyle w:val="aff8"/>
        <w:numPr>
          <w:ilvl w:val="0"/>
          <w:numId w:val="12"/>
        </w:numPr>
        <w:tabs>
          <w:tab w:val="left" w:pos="709"/>
          <w:tab w:val="left" w:pos="851"/>
        </w:tabs>
        <w:autoSpaceDE w:val="0"/>
        <w:autoSpaceDN w:val="0"/>
        <w:adjustRightInd w:val="0"/>
        <w:contextualSpacing/>
        <w:jc w:val="both"/>
        <w:rPr>
          <w:lang w:val="uk-UA"/>
        </w:rPr>
      </w:pPr>
      <w:r>
        <w:rPr>
          <w:lang w:val="uk-UA"/>
        </w:rPr>
        <w:t>видобування нафти та газу;</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експлуатаційного та розвідувального буріння</w:t>
      </w:r>
      <w:r w:rsidR="00561366">
        <w:rPr>
          <w:lang w:val="uk-UA"/>
        </w:rPr>
        <w:t>;</w:t>
      </w:r>
      <w:r w:rsidRPr="00610F0B">
        <w:rPr>
          <w:lang w:val="uk-UA"/>
        </w:rPr>
        <w:t xml:space="preserve"> </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транспортування та зберігання нафти</w:t>
      </w:r>
      <w:r w:rsidR="00561366">
        <w:rPr>
          <w:lang w:val="uk-UA"/>
        </w:rPr>
        <w:t>;</w:t>
      </w:r>
      <w:r w:rsidRPr="00610F0B">
        <w:rPr>
          <w:lang w:val="uk-UA"/>
        </w:rPr>
        <w:t xml:space="preserve"> </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постачання природного і скрапленого газу споживачам</w:t>
      </w:r>
      <w:r w:rsidR="00561366">
        <w:rPr>
          <w:lang w:val="uk-UA"/>
        </w:rPr>
        <w:t>;</w:t>
      </w:r>
      <w:r w:rsidRPr="00610F0B">
        <w:rPr>
          <w:lang w:val="uk-UA"/>
        </w:rPr>
        <w:t xml:space="preserve"> </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виробництва електричної енергії</w:t>
      </w:r>
      <w:r w:rsidR="00561366">
        <w:rPr>
          <w:lang w:val="uk-UA"/>
        </w:rPr>
        <w:t>;</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постачання електричної енергії</w:t>
      </w:r>
      <w:r w:rsidR="00561366">
        <w:rPr>
          <w:lang w:val="uk-UA"/>
        </w:rPr>
        <w:t>;</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виробництва, транспортування та постачання теплової енергії.</w:t>
      </w:r>
    </w:p>
    <w:p w:rsidR="00A3102E"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Єдиним акціонером НАК </w:t>
      </w:r>
      <w:r w:rsidR="003E22CB">
        <w:rPr>
          <w:lang w:val="uk-UA"/>
        </w:rPr>
        <w:t>«Нафтогаз України»</w:t>
      </w:r>
      <w:r w:rsidRPr="00610F0B">
        <w:rPr>
          <w:lang w:val="uk-UA"/>
        </w:rPr>
        <w:t xml:space="preserve"> є Держава Україна (в ос</w:t>
      </w:r>
      <w:r w:rsidR="00FE266D">
        <w:rPr>
          <w:lang w:val="uk-UA"/>
        </w:rPr>
        <w:t>обі Кабінету Міністрів України).</w:t>
      </w:r>
    </w:p>
    <w:p w:rsidR="00A3102E" w:rsidRPr="002950FF" w:rsidRDefault="00A3102E" w:rsidP="00A3102E">
      <w:pPr>
        <w:pStyle w:val="aff8"/>
        <w:tabs>
          <w:tab w:val="left" w:pos="709"/>
          <w:tab w:val="left" w:pos="851"/>
        </w:tabs>
        <w:ind w:left="709"/>
        <w:contextualSpacing/>
        <w:jc w:val="both"/>
        <w:rPr>
          <w:sz w:val="16"/>
          <w:szCs w:val="16"/>
          <w:lang w:val="uk-UA"/>
        </w:rPr>
      </w:pPr>
    </w:p>
    <w:p w:rsidR="00A3102E" w:rsidRDefault="00A3102E" w:rsidP="00A3102E">
      <w:pPr>
        <w:numPr>
          <w:ilvl w:val="0"/>
          <w:numId w:val="2"/>
        </w:numPr>
        <w:tabs>
          <w:tab w:val="left" w:pos="709"/>
          <w:tab w:val="left" w:pos="1418"/>
        </w:tabs>
        <w:ind w:left="709" w:hanging="709"/>
        <w:contextualSpacing/>
        <w:jc w:val="both"/>
        <w:rPr>
          <w:b/>
          <w:lang w:val="uk-UA"/>
        </w:rPr>
      </w:pPr>
      <w:r w:rsidRPr="00610F0B">
        <w:rPr>
          <w:b/>
          <w:lang w:val="uk-UA"/>
        </w:rPr>
        <w:t>ОЦІНКА ВПЛИВУ КОНЦЕНТРАЦІЙ НА ЗАДІЯНІ РИНКИ</w:t>
      </w:r>
    </w:p>
    <w:p w:rsidR="00293F72" w:rsidRDefault="00561366" w:rsidP="00293F72">
      <w:pPr>
        <w:pStyle w:val="aff8"/>
        <w:numPr>
          <w:ilvl w:val="0"/>
          <w:numId w:val="7"/>
        </w:numPr>
        <w:tabs>
          <w:tab w:val="left" w:pos="709"/>
          <w:tab w:val="left" w:pos="851"/>
        </w:tabs>
        <w:autoSpaceDE w:val="0"/>
        <w:autoSpaceDN w:val="0"/>
        <w:adjustRightInd w:val="0"/>
        <w:ind w:left="709" w:hanging="709"/>
        <w:contextualSpacing/>
        <w:jc w:val="both"/>
        <w:rPr>
          <w:lang w:val="uk-UA"/>
        </w:rPr>
      </w:pPr>
      <w:r>
        <w:rPr>
          <w:lang w:val="uk-UA"/>
        </w:rPr>
        <w:t>Комітет дійшов</w:t>
      </w:r>
      <w:r w:rsidR="00293F72" w:rsidRPr="00610F0B">
        <w:rPr>
          <w:lang w:val="uk-UA"/>
        </w:rPr>
        <w:t xml:space="preserve"> висновку, що відповідними задіяними ринками товару, у розумінні законодавства про захист економічної конкуренції</w:t>
      </w:r>
      <w:r w:rsidR="00293F72" w:rsidRPr="00561366">
        <w:rPr>
          <w:vertAlign w:val="superscript"/>
          <w:lang w:val="uk-UA"/>
        </w:rPr>
        <w:t>,</w:t>
      </w:r>
      <w:r w:rsidR="00293F72" w:rsidRPr="00610F0B">
        <w:rPr>
          <w:lang w:val="uk-UA"/>
        </w:rPr>
        <w:t xml:space="preserve"> для зазначеної концентрації є ринки природного газу та нафти.</w:t>
      </w:r>
    </w:p>
    <w:p w:rsidR="00561366" w:rsidRDefault="00561366" w:rsidP="00561366">
      <w:pPr>
        <w:pStyle w:val="aff8"/>
        <w:tabs>
          <w:tab w:val="left" w:pos="709"/>
          <w:tab w:val="left" w:pos="851"/>
        </w:tabs>
        <w:autoSpaceDE w:val="0"/>
        <w:autoSpaceDN w:val="0"/>
        <w:adjustRightInd w:val="0"/>
        <w:ind w:left="709"/>
        <w:contextualSpacing/>
        <w:jc w:val="both"/>
        <w:rPr>
          <w:lang w:val="uk-UA"/>
        </w:rPr>
      </w:pPr>
    </w:p>
    <w:p w:rsidR="00A3102E" w:rsidRPr="00610F0B" w:rsidRDefault="00561366" w:rsidP="00381823">
      <w:pPr>
        <w:numPr>
          <w:ilvl w:val="1"/>
          <w:numId w:val="22"/>
        </w:numPr>
        <w:contextualSpacing/>
        <w:rPr>
          <w:b/>
          <w:lang w:val="uk-UA"/>
        </w:rPr>
      </w:pPr>
      <w:r>
        <w:rPr>
          <w:b/>
          <w:lang w:val="uk-UA"/>
        </w:rPr>
        <w:lastRenderedPageBreak/>
        <w:t>ОЦІНКА ВПЛИВУ НА РИНОК НАФТИ</w:t>
      </w:r>
    </w:p>
    <w:p w:rsidR="00A3102E" w:rsidRDefault="00A3102E" w:rsidP="00A3102E">
      <w:pPr>
        <w:numPr>
          <w:ilvl w:val="0"/>
          <w:numId w:val="7"/>
        </w:numPr>
        <w:ind w:left="709" w:hanging="709"/>
        <w:contextualSpacing/>
        <w:jc w:val="both"/>
        <w:rPr>
          <w:lang w:val="uk-UA"/>
        </w:rPr>
      </w:pPr>
      <w:r w:rsidRPr="00610F0B">
        <w:rPr>
          <w:lang w:val="uk-UA"/>
        </w:rPr>
        <w:t>Потреби українського ринку в нафті забезпечуються за рахунок власного видобутку та імпортних поставок.</w:t>
      </w:r>
    </w:p>
    <w:p w:rsidR="00FE266D" w:rsidRPr="002950FF" w:rsidRDefault="00FE266D" w:rsidP="00FE266D">
      <w:pPr>
        <w:contextualSpacing/>
        <w:jc w:val="both"/>
        <w:rPr>
          <w:sz w:val="16"/>
          <w:szCs w:val="16"/>
          <w:lang w:val="uk-UA"/>
        </w:rPr>
      </w:pPr>
    </w:p>
    <w:p w:rsidR="00A3102E" w:rsidRDefault="00A3102E" w:rsidP="00A3102E">
      <w:pPr>
        <w:numPr>
          <w:ilvl w:val="0"/>
          <w:numId w:val="7"/>
        </w:numPr>
        <w:ind w:left="709" w:hanging="709"/>
        <w:contextualSpacing/>
        <w:jc w:val="both"/>
        <w:rPr>
          <w:lang w:val="uk-UA"/>
        </w:rPr>
      </w:pPr>
      <w:r w:rsidRPr="00610F0B">
        <w:rPr>
          <w:lang w:val="uk-UA"/>
        </w:rPr>
        <w:t xml:space="preserve">Найбільшими підприємствами, що видобувають нафту та газовий конденсат в Україні, є акціонерні товариства «Укрнафта» та «Укргазвидобування», що входять до складу групи НАК </w:t>
      </w:r>
      <w:r w:rsidR="003E22CB">
        <w:rPr>
          <w:lang w:val="uk-UA"/>
        </w:rPr>
        <w:t>«Нафтогаз України»</w:t>
      </w:r>
      <w:r w:rsidRPr="00610F0B">
        <w:rPr>
          <w:lang w:val="uk-UA"/>
        </w:rPr>
        <w:t xml:space="preserve">. Загалом зазначені підприємства у 2019 році збільшили видобуток нафти </w:t>
      </w:r>
      <w:r w:rsidR="00561366">
        <w:rPr>
          <w:lang w:val="uk-UA"/>
        </w:rPr>
        <w:t>й</w:t>
      </w:r>
      <w:r w:rsidRPr="00610F0B">
        <w:rPr>
          <w:lang w:val="uk-UA"/>
        </w:rPr>
        <w:t xml:space="preserve"> конденсату на 5,7</w:t>
      </w:r>
      <w:r w:rsidR="00561366">
        <w:rPr>
          <w:lang w:val="uk-UA"/>
        </w:rPr>
        <w:t xml:space="preserve"> </w:t>
      </w:r>
      <w:r w:rsidRPr="00610F0B">
        <w:rPr>
          <w:lang w:val="uk-UA"/>
        </w:rPr>
        <w:t>% – з 1,89 млн т</w:t>
      </w:r>
      <w:r w:rsidR="00FE266D">
        <w:rPr>
          <w:lang w:val="uk-UA"/>
        </w:rPr>
        <w:t>онн</w:t>
      </w:r>
      <w:r w:rsidRPr="00610F0B">
        <w:rPr>
          <w:lang w:val="uk-UA"/>
        </w:rPr>
        <w:t xml:space="preserve"> до 1,99 млн т</w:t>
      </w:r>
      <w:r w:rsidR="00FE266D">
        <w:rPr>
          <w:lang w:val="uk-UA"/>
        </w:rPr>
        <w:t>онн</w:t>
      </w:r>
      <w:r w:rsidRPr="00610F0B">
        <w:rPr>
          <w:lang w:val="uk-UA"/>
        </w:rPr>
        <w:t xml:space="preserve">. </w:t>
      </w:r>
    </w:p>
    <w:p w:rsidR="00FE266D" w:rsidRDefault="00A3102E" w:rsidP="00FE266D">
      <w:pPr>
        <w:numPr>
          <w:ilvl w:val="0"/>
          <w:numId w:val="7"/>
        </w:numPr>
        <w:ind w:left="709" w:hanging="709"/>
        <w:contextualSpacing/>
        <w:jc w:val="both"/>
        <w:rPr>
          <w:lang w:val="uk-UA"/>
        </w:rPr>
      </w:pPr>
      <w:r w:rsidRPr="00610F0B">
        <w:rPr>
          <w:lang w:val="uk-UA"/>
        </w:rPr>
        <w:t xml:space="preserve">АТ «Укрнафта», зокрема, збільшила видобуток нафти </w:t>
      </w:r>
      <w:r w:rsidR="00561366">
        <w:rPr>
          <w:lang w:val="uk-UA"/>
        </w:rPr>
        <w:t>й</w:t>
      </w:r>
      <w:r w:rsidRPr="00610F0B">
        <w:rPr>
          <w:lang w:val="uk-UA"/>
        </w:rPr>
        <w:t xml:space="preserve"> конденсату на 4,8</w:t>
      </w:r>
      <w:r w:rsidR="00561366">
        <w:rPr>
          <w:lang w:val="uk-UA"/>
        </w:rPr>
        <w:t xml:space="preserve"> </w:t>
      </w:r>
      <w:r w:rsidRPr="00610F0B">
        <w:rPr>
          <w:lang w:val="uk-UA"/>
        </w:rPr>
        <w:t xml:space="preserve">% – </w:t>
      </w:r>
      <w:r w:rsidRPr="00610F0B">
        <w:rPr>
          <w:lang w:val="uk-UA"/>
        </w:rPr>
        <w:br/>
        <w:t>з 1,45 млн тон</w:t>
      </w:r>
      <w:r w:rsidR="00561366">
        <w:rPr>
          <w:lang w:val="uk-UA"/>
        </w:rPr>
        <w:t>н</w:t>
      </w:r>
      <w:r w:rsidRPr="00610F0B">
        <w:rPr>
          <w:lang w:val="uk-UA"/>
        </w:rPr>
        <w:t xml:space="preserve"> до 1,52 млн тон</w:t>
      </w:r>
      <w:r w:rsidR="00561366">
        <w:rPr>
          <w:lang w:val="uk-UA"/>
        </w:rPr>
        <w:t>н</w:t>
      </w:r>
      <w:r w:rsidRPr="00610F0B">
        <w:rPr>
          <w:lang w:val="uk-UA"/>
        </w:rPr>
        <w:t>. Однак загальний тренд видобутку нафти в Україні за останні роки залишається негативним.</w:t>
      </w:r>
    </w:p>
    <w:p w:rsidR="003E25C7" w:rsidRDefault="003E25C7" w:rsidP="003E25C7">
      <w:pPr>
        <w:ind w:left="709"/>
        <w:contextualSpacing/>
        <w:jc w:val="both"/>
        <w:rPr>
          <w:lang w:val="uk-UA"/>
        </w:rPr>
      </w:pPr>
    </w:p>
    <w:p w:rsidR="00A3102E" w:rsidRDefault="00A3102E" w:rsidP="00A3102E">
      <w:pPr>
        <w:numPr>
          <w:ilvl w:val="0"/>
          <w:numId w:val="7"/>
        </w:numPr>
        <w:ind w:left="709" w:hanging="709"/>
        <w:contextualSpacing/>
        <w:jc w:val="both"/>
        <w:rPr>
          <w:lang w:val="uk-UA"/>
        </w:rPr>
      </w:pPr>
      <w:r w:rsidRPr="00610F0B">
        <w:rPr>
          <w:lang w:val="uk-UA"/>
        </w:rPr>
        <w:t>Відповідно до статті 4</w:t>
      </w:r>
      <w:r w:rsidR="00381823" w:rsidRPr="00610F0B">
        <w:rPr>
          <w:vertAlign w:val="superscript"/>
          <w:lang w:val="uk-UA"/>
        </w:rPr>
        <w:t>1</w:t>
      </w:r>
      <w:r w:rsidRPr="00610F0B">
        <w:rPr>
          <w:lang w:val="uk-UA"/>
        </w:rPr>
        <w:t xml:space="preserve"> Закону України «Про нафту і газ» АТ «Укрнафта» реалізовує нафту і газовий конденсат власного видобутку на біржових аукціонах під державним контролем.</w:t>
      </w:r>
    </w:p>
    <w:p w:rsidR="00A3102E" w:rsidRDefault="00A3102E" w:rsidP="00A3102E">
      <w:pPr>
        <w:numPr>
          <w:ilvl w:val="0"/>
          <w:numId w:val="7"/>
        </w:numPr>
        <w:ind w:left="709" w:hanging="709"/>
        <w:contextualSpacing/>
        <w:jc w:val="both"/>
        <w:rPr>
          <w:lang w:val="uk-UA"/>
        </w:rPr>
      </w:pPr>
      <w:r w:rsidRPr="00610F0B">
        <w:rPr>
          <w:lang w:val="uk-UA"/>
        </w:rPr>
        <w:t xml:space="preserve">Динаміка цін реалізації нафти </w:t>
      </w:r>
      <w:r w:rsidR="00561366">
        <w:rPr>
          <w:lang w:val="uk-UA"/>
        </w:rPr>
        <w:t>й</w:t>
      </w:r>
      <w:r w:rsidRPr="00610F0B">
        <w:rPr>
          <w:lang w:val="uk-UA"/>
        </w:rPr>
        <w:t xml:space="preserve"> газового конденсату на аукціонах повторювала тренд зміни світових цін на нафту.</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Інше підприємство групи НАК </w:t>
      </w:r>
      <w:r w:rsidR="003E22CB">
        <w:rPr>
          <w:lang w:val="uk-UA"/>
        </w:rPr>
        <w:t>«Нафтогаз України»</w:t>
      </w:r>
      <w:r w:rsidRPr="00610F0B">
        <w:rPr>
          <w:lang w:val="uk-UA"/>
        </w:rPr>
        <w:t xml:space="preserve">, АТ «Укргазвидобування», яке здійснює видобуток та переробку газового конденсату </w:t>
      </w:r>
      <w:r w:rsidR="003E22CB">
        <w:rPr>
          <w:lang w:val="uk-UA"/>
        </w:rPr>
        <w:t>й</w:t>
      </w:r>
      <w:r w:rsidRPr="00610F0B">
        <w:rPr>
          <w:lang w:val="uk-UA"/>
        </w:rPr>
        <w:t xml:space="preserve"> нафти на власних виробничих потужностях, збільшило видобуток сировини на 6,6</w:t>
      </w:r>
      <w:r w:rsidR="00561366">
        <w:rPr>
          <w:lang w:val="uk-UA"/>
        </w:rPr>
        <w:t xml:space="preserve"> </w:t>
      </w:r>
      <w:r w:rsidRPr="00610F0B">
        <w:rPr>
          <w:lang w:val="uk-UA"/>
        </w:rPr>
        <w:t>% — з 446,7 тис. т</w:t>
      </w:r>
      <w:r w:rsidR="00FE266D">
        <w:rPr>
          <w:lang w:val="uk-UA"/>
        </w:rPr>
        <w:t>онн</w:t>
      </w:r>
      <w:r w:rsidRPr="00610F0B">
        <w:rPr>
          <w:lang w:val="uk-UA"/>
        </w:rPr>
        <w:t xml:space="preserve"> до 478,2 тис. т</w:t>
      </w:r>
      <w:r w:rsidR="00FE266D">
        <w:rPr>
          <w:lang w:val="uk-UA"/>
        </w:rPr>
        <w:t>онн</w:t>
      </w:r>
      <w:r w:rsidRPr="00610F0B">
        <w:rPr>
          <w:lang w:val="uk-UA"/>
        </w:rPr>
        <w:t xml:space="preserve">. У загальному видобутку нафти та газового конденсату в Україні </w:t>
      </w:r>
      <w:r w:rsidR="00561366">
        <w:rPr>
          <w:lang w:val="uk-UA"/>
        </w:rPr>
        <w:t>у</w:t>
      </w:r>
      <w:r w:rsidRPr="00610F0B">
        <w:rPr>
          <w:lang w:val="uk-UA"/>
        </w:rPr>
        <w:t xml:space="preserve"> 2019 році частка групи НАК </w:t>
      </w:r>
      <w:r w:rsidR="003E22CB">
        <w:rPr>
          <w:lang w:val="uk-UA"/>
        </w:rPr>
        <w:t>«Нафтогаз України»</w:t>
      </w:r>
      <w:r w:rsidRPr="00610F0B">
        <w:rPr>
          <w:lang w:val="uk-UA"/>
        </w:rPr>
        <w:t xml:space="preserve"> </w:t>
      </w:r>
      <w:r w:rsidR="00561366">
        <w:rPr>
          <w:lang w:val="uk-UA"/>
        </w:rPr>
        <w:t>становила</w:t>
      </w:r>
      <w:r w:rsidRPr="00610F0B">
        <w:rPr>
          <w:lang w:val="uk-UA"/>
        </w:rPr>
        <w:t xml:space="preserve"> більше 90</w:t>
      </w:r>
      <w:r w:rsidR="00561366">
        <w:rPr>
          <w:lang w:val="uk-UA"/>
        </w:rPr>
        <w:t xml:space="preserve"> </w:t>
      </w:r>
      <w:r w:rsidRPr="00610F0B">
        <w:rPr>
          <w:lang w:val="uk-UA"/>
        </w:rPr>
        <w:t xml:space="preserve">%. Разом </w:t>
      </w:r>
      <w:r w:rsidR="00561366">
        <w:rPr>
          <w:lang w:val="uk-UA"/>
        </w:rPr>
        <w:t>і</w:t>
      </w:r>
      <w:r w:rsidRPr="00610F0B">
        <w:rPr>
          <w:lang w:val="uk-UA"/>
        </w:rPr>
        <w:t xml:space="preserve">з тим 100 </w:t>
      </w:r>
      <w:r w:rsidR="003E22CB">
        <w:rPr>
          <w:lang w:val="uk-UA"/>
        </w:rPr>
        <w:t>%</w:t>
      </w:r>
      <w:r w:rsidRPr="00610F0B">
        <w:rPr>
          <w:lang w:val="uk-UA"/>
        </w:rPr>
        <w:t xml:space="preserve"> видобутку нафти, який здійснює АТ «Укргазвидобування»</w:t>
      </w:r>
      <w:r w:rsidR="00561366">
        <w:rPr>
          <w:lang w:val="uk-UA"/>
        </w:rPr>
        <w:t>,</w:t>
      </w:r>
      <w:r w:rsidRPr="00610F0B">
        <w:rPr>
          <w:lang w:val="uk-UA"/>
        </w:rPr>
        <w:t xml:space="preserve"> не реалізується на ринку, а споживається для потреб </w:t>
      </w:r>
      <w:r w:rsidR="00561366">
        <w:rPr>
          <w:lang w:val="uk-UA"/>
        </w:rPr>
        <w:t>у</w:t>
      </w:r>
      <w:r w:rsidRPr="00610F0B">
        <w:rPr>
          <w:lang w:val="uk-UA"/>
        </w:rPr>
        <w:t xml:space="preserve"> межах групи НАК </w:t>
      </w:r>
      <w:r w:rsidR="003E22CB">
        <w:rPr>
          <w:lang w:val="uk-UA"/>
        </w:rPr>
        <w:t>«Нафтогаз України»</w:t>
      </w:r>
      <w:r w:rsidRPr="00610F0B">
        <w:rPr>
          <w:lang w:val="uk-UA"/>
        </w:rPr>
        <w:t>.</w:t>
      </w:r>
    </w:p>
    <w:p w:rsidR="00A3102E" w:rsidRPr="002950FF" w:rsidRDefault="00A3102E" w:rsidP="00A3102E">
      <w:pPr>
        <w:pStyle w:val="aff8"/>
        <w:tabs>
          <w:tab w:val="left" w:pos="709"/>
          <w:tab w:val="left" w:pos="851"/>
        </w:tabs>
        <w:ind w:left="709"/>
        <w:contextualSpacing/>
        <w:jc w:val="both"/>
        <w:rPr>
          <w:sz w:val="16"/>
          <w:szCs w:val="16"/>
          <w:lang w:val="uk-UA"/>
        </w:rPr>
      </w:pP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За повідомленням ТОВ «На</w:t>
      </w:r>
      <w:r w:rsidR="00381823" w:rsidRPr="00610F0B">
        <w:rPr>
          <w:lang w:val="uk-UA"/>
        </w:rPr>
        <w:t xml:space="preserve">дра Юзівська» </w:t>
      </w:r>
      <w:r w:rsidRPr="00610F0B">
        <w:rPr>
          <w:lang w:val="uk-UA"/>
        </w:rPr>
        <w:t xml:space="preserve">щодо ділянки Юзівська: </w:t>
      </w:r>
    </w:p>
    <w:p w:rsidR="00A3102E" w:rsidRPr="00610F0B" w:rsidRDefault="00A3102E" w:rsidP="00A3102E">
      <w:pPr>
        <w:pStyle w:val="aff8"/>
        <w:tabs>
          <w:tab w:val="left" w:pos="709"/>
          <w:tab w:val="left" w:pos="851"/>
        </w:tabs>
        <w:ind w:left="709"/>
        <w:contextualSpacing/>
        <w:jc w:val="both"/>
        <w:rPr>
          <w:lang w:val="uk-UA"/>
        </w:rPr>
      </w:pPr>
      <w:r w:rsidRPr="00610F0B">
        <w:rPr>
          <w:lang w:val="uk-UA"/>
        </w:rPr>
        <w:t xml:space="preserve">навколо та в межах </w:t>
      </w:r>
      <w:proofErr w:type="spellStart"/>
      <w:r w:rsidRPr="00610F0B">
        <w:rPr>
          <w:lang w:val="uk-UA"/>
        </w:rPr>
        <w:t>Юзівської</w:t>
      </w:r>
      <w:proofErr w:type="spellEnd"/>
      <w:r w:rsidRPr="00610F0B">
        <w:rPr>
          <w:lang w:val="uk-UA"/>
        </w:rPr>
        <w:t xml:space="preserve"> ділянки, протягом останніх 50 років за результатом пошуково-розвідувального буріння, не було отримано комерційних приливів нафти, що</w:t>
      </w:r>
      <w:r w:rsidR="00561366">
        <w:rPr>
          <w:lang w:val="uk-UA"/>
        </w:rPr>
        <w:t>,</w:t>
      </w:r>
      <w:r w:rsidRPr="00610F0B">
        <w:rPr>
          <w:lang w:val="uk-UA"/>
        </w:rPr>
        <w:t xml:space="preserve"> </w:t>
      </w:r>
      <w:r w:rsidR="00561366">
        <w:rPr>
          <w:lang w:val="uk-UA"/>
        </w:rPr>
        <w:t>у</w:t>
      </w:r>
      <w:r w:rsidRPr="00610F0B">
        <w:rPr>
          <w:lang w:val="uk-UA"/>
        </w:rPr>
        <w:t xml:space="preserve"> свою чергу, пояснюється геологічною будовою регіону, а саме відсутністю нафто</w:t>
      </w:r>
      <w:r w:rsidR="003E25C7">
        <w:rPr>
          <w:lang w:val="uk-UA"/>
        </w:rPr>
        <w:t>-</w:t>
      </w:r>
      <w:r w:rsidRPr="00610F0B">
        <w:rPr>
          <w:lang w:val="uk-UA"/>
        </w:rPr>
        <w:t xml:space="preserve">материнських порід та високою температурою порід на глибині. </w:t>
      </w:r>
      <w:r w:rsidR="003E25C7">
        <w:rPr>
          <w:lang w:val="uk-UA"/>
        </w:rPr>
        <w:t>Отже, у</w:t>
      </w:r>
      <w:r w:rsidRPr="00610F0B">
        <w:rPr>
          <w:lang w:val="uk-UA"/>
        </w:rPr>
        <w:t xml:space="preserve"> межах </w:t>
      </w:r>
      <w:proofErr w:type="spellStart"/>
      <w:r w:rsidRPr="00610F0B">
        <w:rPr>
          <w:lang w:val="uk-UA"/>
        </w:rPr>
        <w:t>Юзівської</w:t>
      </w:r>
      <w:proofErr w:type="spellEnd"/>
      <w:r w:rsidRPr="00610F0B">
        <w:rPr>
          <w:lang w:val="uk-UA"/>
        </w:rPr>
        <w:t xml:space="preserve"> ділянки не очкується промислового видобутку нафти; </w:t>
      </w:r>
    </w:p>
    <w:p w:rsidR="00A3102E" w:rsidRPr="00610F0B" w:rsidRDefault="00A3102E" w:rsidP="00A3102E">
      <w:pPr>
        <w:pStyle w:val="aff8"/>
        <w:tabs>
          <w:tab w:val="left" w:pos="709"/>
          <w:tab w:val="left" w:pos="851"/>
        </w:tabs>
        <w:ind w:left="709"/>
        <w:contextualSpacing/>
        <w:jc w:val="both"/>
        <w:rPr>
          <w:lang w:val="uk-UA"/>
        </w:rPr>
      </w:pPr>
      <w:r w:rsidRPr="00610F0B">
        <w:rPr>
          <w:lang w:val="uk-UA"/>
        </w:rPr>
        <w:t>відповідна розвідка та оцінка наявних запасів нафти на ділянці Юзівська з моменту укладання 24.01.2013 Угоди про розподіл вуглеводнів не проводилась.</w:t>
      </w:r>
    </w:p>
    <w:p w:rsidR="00A3102E" w:rsidRPr="002950FF" w:rsidRDefault="00A3102E" w:rsidP="00A3102E">
      <w:pPr>
        <w:ind w:left="709"/>
        <w:contextualSpacing/>
        <w:jc w:val="both"/>
        <w:rPr>
          <w:sz w:val="16"/>
          <w:szCs w:val="16"/>
          <w:lang w:val="uk-UA"/>
        </w:rPr>
      </w:pPr>
    </w:p>
    <w:p w:rsidR="00A3102E" w:rsidRDefault="00A3102E" w:rsidP="00A3102E">
      <w:pPr>
        <w:numPr>
          <w:ilvl w:val="0"/>
          <w:numId w:val="7"/>
        </w:numPr>
        <w:ind w:left="709" w:hanging="709"/>
        <w:contextualSpacing/>
        <w:jc w:val="both"/>
        <w:rPr>
          <w:lang w:val="uk-UA"/>
        </w:rPr>
      </w:pPr>
      <w:r w:rsidRPr="00610F0B">
        <w:rPr>
          <w:lang w:val="uk-UA"/>
        </w:rPr>
        <w:t xml:space="preserve">Водночас частка виробництва нафтопродуктів вітчизняними підприємствами, вироблених </w:t>
      </w:r>
      <w:r w:rsidR="003E25C7">
        <w:rPr>
          <w:lang w:val="uk-UA"/>
        </w:rPr>
        <w:t>і</w:t>
      </w:r>
      <w:r w:rsidRPr="00610F0B">
        <w:rPr>
          <w:lang w:val="uk-UA"/>
        </w:rPr>
        <w:t>з нафти українського видобутку, є суттєво меншою за частку нафтопродуктів, завезених в Україну з-за кордону.</w:t>
      </w:r>
    </w:p>
    <w:p w:rsidR="003E25C7" w:rsidRDefault="003E25C7" w:rsidP="003E25C7">
      <w:pPr>
        <w:ind w:left="709"/>
        <w:contextualSpacing/>
        <w:jc w:val="both"/>
        <w:rPr>
          <w:lang w:val="uk-UA"/>
        </w:rPr>
      </w:pPr>
    </w:p>
    <w:p w:rsidR="00A3102E" w:rsidRDefault="00A3102E" w:rsidP="00A3102E">
      <w:pPr>
        <w:numPr>
          <w:ilvl w:val="0"/>
          <w:numId w:val="7"/>
        </w:numPr>
        <w:ind w:left="709" w:hanging="709"/>
        <w:contextualSpacing/>
        <w:jc w:val="both"/>
        <w:rPr>
          <w:lang w:val="uk-UA"/>
        </w:rPr>
      </w:pPr>
      <w:r w:rsidRPr="00610F0B">
        <w:rPr>
          <w:lang w:val="uk-UA"/>
        </w:rPr>
        <w:t>В Україні переробку нафти здійснюють Кременчу</w:t>
      </w:r>
      <w:r w:rsidR="003E25C7">
        <w:rPr>
          <w:lang w:val="uk-UA"/>
        </w:rPr>
        <w:t>ц</w:t>
      </w:r>
      <w:r w:rsidRPr="00610F0B">
        <w:rPr>
          <w:lang w:val="uk-UA"/>
        </w:rPr>
        <w:t xml:space="preserve">ький НПЗ (ПАТ «Укртатнафта) та </w:t>
      </w:r>
      <w:proofErr w:type="spellStart"/>
      <w:r w:rsidRPr="00610F0B">
        <w:rPr>
          <w:lang w:val="uk-UA"/>
        </w:rPr>
        <w:t>Шебелинський</w:t>
      </w:r>
      <w:proofErr w:type="spellEnd"/>
      <w:r w:rsidRPr="00610F0B">
        <w:rPr>
          <w:lang w:val="uk-UA"/>
        </w:rPr>
        <w:t xml:space="preserve"> ГПЗ (АТ «Укргазвидобування»). Обсяги переробки Кременчу</w:t>
      </w:r>
      <w:r w:rsidR="003E25C7">
        <w:rPr>
          <w:lang w:val="uk-UA"/>
        </w:rPr>
        <w:t>ц</w:t>
      </w:r>
      <w:r w:rsidRPr="00610F0B">
        <w:rPr>
          <w:lang w:val="uk-UA"/>
        </w:rPr>
        <w:t xml:space="preserve">ьким НПЗ (ПАТ «Укртатнафта) впродовж трьох останніх років </w:t>
      </w:r>
      <w:r w:rsidR="003E25C7">
        <w:rPr>
          <w:lang w:val="uk-UA"/>
        </w:rPr>
        <w:t>становлять</w:t>
      </w:r>
      <w:r w:rsidRPr="00610F0B">
        <w:rPr>
          <w:lang w:val="uk-UA"/>
        </w:rPr>
        <w:t xml:space="preserve"> до 2,3 млн тон</w:t>
      </w:r>
      <w:r w:rsidR="003E25C7">
        <w:rPr>
          <w:lang w:val="uk-UA"/>
        </w:rPr>
        <w:t>н</w:t>
      </w:r>
      <w:r w:rsidRPr="00610F0B">
        <w:rPr>
          <w:lang w:val="uk-UA"/>
        </w:rPr>
        <w:t xml:space="preserve"> на рік, Шебелинським ГПЗ (АТ «Укргазвидобування») – близько 0,5 млн тон</w:t>
      </w:r>
      <w:r w:rsidR="003E22CB">
        <w:rPr>
          <w:lang w:val="uk-UA"/>
        </w:rPr>
        <w:t>н</w:t>
      </w:r>
      <w:r w:rsidRPr="00610F0B">
        <w:rPr>
          <w:lang w:val="uk-UA"/>
        </w:rPr>
        <w:t xml:space="preserve"> на рік. Оскільки для потреб </w:t>
      </w:r>
      <w:proofErr w:type="spellStart"/>
      <w:r w:rsidRPr="00610F0B">
        <w:rPr>
          <w:lang w:val="uk-UA"/>
        </w:rPr>
        <w:t>Шебелинськи</w:t>
      </w:r>
      <w:r w:rsidR="003E25C7">
        <w:rPr>
          <w:lang w:val="uk-UA"/>
        </w:rPr>
        <w:t>й</w:t>
      </w:r>
      <w:proofErr w:type="spellEnd"/>
      <w:r w:rsidRPr="00610F0B">
        <w:rPr>
          <w:lang w:val="uk-UA"/>
        </w:rPr>
        <w:t xml:space="preserve"> ГПЗ використовує нафт</w:t>
      </w:r>
      <w:r w:rsidR="003E25C7">
        <w:rPr>
          <w:lang w:val="uk-UA"/>
        </w:rPr>
        <w:t>у</w:t>
      </w:r>
      <w:r w:rsidRPr="00610F0B">
        <w:rPr>
          <w:lang w:val="uk-UA"/>
        </w:rPr>
        <w:t xml:space="preserve"> та конденсат</w:t>
      </w:r>
      <w:r w:rsidR="003E25C7">
        <w:rPr>
          <w:lang w:val="uk-UA"/>
        </w:rPr>
        <w:t>,</w:t>
      </w:r>
      <w:r w:rsidRPr="00610F0B">
        <w:rPr>
          <w:lang w:val="uk-UA"/>
        </w:rPr>
        <w:t xml:space="preserve"> видобут</w:t>
      </w:r>
      <w:r w:rsidR="003E25C7">
        <w:rPr>
          <w:lang w:val="uk-UA"/>
        </w:rPr>
        <w:t>і</w:t>
      </w:r>
      <w:r w:rsidRPr="00610F0B">
        <w:rPr>
          <w:lang w:val="uk-UA"/>
        </w:rPr>
        <w:t xml:space="preserve"> АТ «Укргазвидобування» (тобто в межах єдиного суб’єкта господарювання), ринок нафти України, по суті, є ринком</w:t>
      </w:r>
      <w:r w:rsidR="003E25C7">
        <w:rPr>
          <w:lang w:val="uk-UA"/>
        </w:rPr>
        <w:t>,</w:t>
      </w:r>
      <w:r w:rsidRPr="00610F0B">
        <w:rPr>
          <w:lang w:val="uk-UA"/>
        </w:rPr>
        <w:t xml:space="preserve"> на якому є лише один покупець – </w:t>
      </w:r>
      <w:r w:rsidR="003E25C7">
        <w:rPr>
          <w:lang w:val="uk-UA"/>
        </w:rPr>
        <w:br/>
      </w:r>
      <w:r w:rsidRPr="00610F0B">
        <w:rPr>
          <w:lang w:val="uk-UA"/>
        </w:rPr>
        <w:t>ПАТ «Укртатнафта». Діяльність нафтопереробних підприємств Лисичанська, Одеси, Надвірної, Дрогобича та Херсон</w:t>
      </w:r>
      <w:r w:rsidR="003E25C7">
        <w:rPr>
          <w:lang w:val="uk-UA"/>
        </w:rPr>
        <w:t>а</w:t>
      </w:r>
      <w:r w:rsidRPr="00610F0B">
        <w:rPr>
          <w:lang w:val="uk-UA"/>
        </w:rPr>
        <w:t xml:space="preserve"> на </w:t>
      </w:r>
      <w:r w:rsidR="003E25C7">
        <w:rPr>
          <w:lang w:val="uk-UA"/>
        </w:rPr>
        <w:t>цей</w:t>
      </w:r>
      <w:r w:rsidRPr="00610F0B">
        <w:rPr>
          <w:lang w:val="uk-UA"/>
        </w:rPr>
        <w:t xml:space="preserve"> час зупинена. Саме тому в Україні необхідним є імпорт нафтопродуктів, частка якого в окремі період</w:t>
      </w:r>
      <w:r w:rsidR="003E25C7">
        <w:rPr>
          <w:lang w:val="uk-UA"/>
        </w:rPr>
        <w:t>и</w:t>
      </w:r>
      <w:r w:rsidRPr="00610F0B">
        <w:rPr>
          <w:lang w:val="uk-UA"/>
        </w:rPr>
        <w:t xml:space="preserve"> становить до 80</w:t>
      </w:r>
      <w:r w:rsidR="003E25C7">
        <w:rPr>
          <w:lang w:val="uk-UA"/>
        </w:rPr>
        <w:t xml:space="preserve"> %</w:t>
      </w:r>
      <w:r w:rsidRPr="00610F0B">
        <w:rPr>
          <w:lang w:val="uk-UA"/>
        </w:rPr>
        <w:t xml:space="preserve"> потреб внутрішнього споживання.</w:t>
      </w:r>
    </w:p>
    <w:p w:rsidR="00FE266D" w:rsidRPr="002950FF" w:rsidRDefault="00FE266D" w:rsidP="00FE266D">
      <w:pPr>
        <w:contextualSpacing/>
        <w:jc w:val="both"/>
        <w:rPr>
          <w:sz w:val="16"/>
          <w:szCs w:val="16"/>
          <w:lang w:val="uk-UA"/>
        </w:rPr>
      </w:pPr>
    </w:p>
    <w:p w:rsidR="00A3102E" w:rsidRPr="00610F0B" w:rsidRDefault="00A3102E" w:rsidP="00A3102E">
      <w:pPr>
        <w:numPr>
          <w:ilvl w:val="0"/>
          <w:numId w:val="7"/>
        </w:numPr>
        <w:ind w:left="709" w:hanging="709"/>
        <w:contextualSpacing/>
        <w:jc w:val="both"/>
        <w:rPr>
          <w:lang w:val="uk-UA"/>
        </w:rPr>
      </w:pPr>
      <w:r w:rsidRPr="00610F0B">
        <w:rPr>
          <w:lang w:val="uk-UA"/>
        </w:rPr>
        <w:t xml:space="preserve">З огляду на зазначене, проводити оцінку впливу збільшення обсягів видобутку у </w:t>
      </w:r>
      <w:r w:rsidR="003E25C7">
        <w:rPr>
          <w:lang w:val="uk-UA"/>
        </w:rPr>
        <w:t>г</w:t>
      </w:r>
      <w:r w:rsidRPr="00610F0B">
        <w:rPr>
          <w:lang w:val="uk-UA"/>
        </w:rPr>
        <w:t xml:space="preserve">рупи НАК </w:t>
      </w:r>
      <w:r w:rsidR="003E22CB">
        <w:rPr>
          <w:lang w:val="uk-UA"/>
        </w:rPr>
        <w:t>«Нафтогаз України»</w:t>
      </w:r>
      <w:r w:rsidRPr="00610F0B">
        <w:rPr>
          <w:lang w:val="uk-UA"/>
        </w:rPr>
        <w:t xml:space="preserve"> за рахунок видобутку нафти з ділянки Юзівська </w:t>
      </w:r>
      <w:r w:rsidRPr="00610F0B">
        <w:rPr>
          <w:lang w:val="uk-UA"/>
        </w:rPr>
        <w:br/>
        <w:t xml:space="preserve">є недоцільним </w:t>
      </w:r>
      <w:r w:rsidR="003E25C7">
        <w:rPr>
          <w:lang w:val="uk-UA"/>
        </w:rPr>
        <w:t xml:space="preserve">у </w:t>
      </w:r>
      <w:r w:rsidRPr="00610F0B">
        <w:rPr>
          <w:lang w:val="uk-UA"/>
        </w:rPr>
        <w:t xml:space="preserve">тому числі з огляду на нижній ринок готових нафтопродуктів, на </w:t>
      </w:r>
      <w:r w:rsidRPr="00610F0B">
        <w:rPr>
          <w:lang w:val="uk-UA"/>
        </w:rPr>
        <w:lastRenderedPageBreak/>
        <w:t>якому протягом останніх років про</w:t>
      </w:r>
      <w:r w:rsidR="003E25C7">
        <w:rPr>
          <w:lang w:val="uk-UA"/>
        </w:rPr>
        <w:t>стежується</w:t>
      </w:r>
      <w:r w:rsidRPr="00610F0B">
        <w:rPr>
          <w:lang w:val="uk-UA"/>
        </w:rPr>
        <w:t xml:space="preserve"> залежність від імпорту, зокрема, моторних бензинів та дизельного пального.</w:t>
      </w:r>
    </w:p>
    <w:p w:rsidR="00A3102E" w:rsidRPr="002950FF" w:rsidRDefault="00A3102E" w:rsidP="00A3102E">
      <w:pPr>
        <w:ind w:left="360"/>
        <w:contextualSpacing/>
        <w:rPr>
          <w:b/>
          <w:sz w:val="16"/>
          <w:szCs w:val="16"/>
          <w:lang w:val="uk-UA"/>
        </w:rPr>
      </w:pPr>
    </w:p>
    <w:p w:rsidR="00A3102E" w:rsidRPr="00610F0B" w:rsidRDefault="00A3102E" w:rsidP="003E25C7">
      <w:pPr>
        <w:ind w:left="360"/>
        <w:contextualSpacing/>
        <w:jc w:val="both"/>
        <w:rPr>
          <w:b/>
          <w:lang w:val="uk-UA"/>
        </w:rPr>
      </w:pPr>
      <w:r w:rsidRPr="00610F0B">
        <w:rPr>
          <w:b/>
          <w:lang w:val="uk-UA"/>
        </w:rPr>
        <w:t>Орієнтовний баланс моторного пального у 2018-2019 роках та перш</w:t>
      </w:r>
      <w:r w:rsidR="003E25C7">
        <w:rPr>
          <w:b/>
          <w:lang w:val="uk-UA"/>
        </w:rPr>
        <w:t>ому</w:t>
      </w:r>
      <w:r w:rsidRPr="00610F0B">
        <w:rPr>
          <w:b/>
          <w:lang w:val="uk-UA"/>
        </w:rPr>
        <w:t xml:space="preserve"> піврічч</w:t>
      </w:r>
      <w:r w:rsidR="003E25C7">
        <w:rPr>
          <w:b/>
          <w:lang w:val="uk-UA"/>
        </w:rPr>
        <w:t>і</w:t>
      </w:r>
      <w:r w:rsidRPr="00610F0B">
        <w:rPr>
          <w:b/>
          <w:lang w:val="uk-UA"/>
        </w:rPr>
        <w:t xml:space="preserve"> </w:t>
      </w:r>
      <w:r w:rsidR="003E25C7">
        <w:rPr>
          <w:b/>
          <w:lang w:val="uk-UA"/>
        </w:rPr>
        <w:br/>
      </w:r>
      <w:r w:rsidRPr="00610F0B">
        <w:rPr>
          <w:b/>
          <w:lang w:val="uk-UA"/>
        </w:rPr>
        <w:t>2020 року</w:t>
      </w:r>
      <w:r w:rsidRPr="00610F0B">
        <w:rPr>
          <w:rStyle w:val="af3"/>
          <w:b/>
          <w:lang w:val="uk-UA"/>
        </w:rPr>
        <w:footnoteReference w:id="1"/>
      </w:r>
    </w:p>
    <w:tbl>
      <w:tblPr>
        <w:tblW w:w="97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134"/>
        <w:gridCol w:w="1134"/>
        <w:gridCol w:w="1418"/>
        <w:gridCol w:w="1417"/>
        <w:gridCol w:w="1276"/>
        <w:gridCol w:w="1276"/>
        <w:gridCol w:w="1353"/>
      </w:tblGrid>
      <w:tr w:rsidR="00A3102E" w:rsidRPr="00610F0B" w:rsidTr="00BB6037">
        <w:trPr>
          <w:trHeight w:val="315"/>
        </w:trPr>
        <w:tc>
          <w:tcPr>
            <w:tcW w:w="724" w:type="dxa"/>
            <w:vMerge w:val="restart"/>
            <w:shd w:val="clear" w:color="auto" w:fill="auto"/>
            <w:noWrap/>
            <w:vAlign w:val="center"/>
            <w:hideMark/>
          </w:tcPr>
          <w:p w:rsidR="00A3102E" w:rsidRPr="00610F0B" w:rsidRDefault="00A3102E" w:rsidP="00BB6037">
            <w:pPr>
              <w:contextualSpacing/>
              <w:jc w:val="center"/>
              <w:rPr>
                <w:b/>
                <w:bCs/>
                <w:color w:val="000000"/>
                <w:sz w:val="16"/>
                <w:szCs w:val="16"/>
                <w:lang w:val="uk-UA"/>
              </w:rPr>
            </w:pPr>
            <w:r w:rsidRPr="00610F0B">
              <w:rPr>
                <w:b/>
                <w:bCs/>
                <w:color w:val="000000"/>
                <w:sz w:val="16"/>
                <w:szCs w:val="16"/>
                <w:lang w:val="uk-UA" w:eastAsia="uk-UA"/>
              </w:rPr>
              <w:t>Рік</w:t>
            </w:r>
          </w:p>
        </w:tc>
        <w:tc>
          <w:tcPr>
            <w:tcW w:w="3686" w:type="dxa"/>
            <w:gridSpan w:val="3"/>
            <w:shd w:val="clear" w:color="auto" w:fill="auto"/>
            <w:vAlign w:val="center"/>
            <w:hideMark/>
          </w:tcPr>
          <w:p w:rsidR="00A3102E" w:rsidRPr="00610F0B" w:rsidRDefault="00A3102E" w:rsidP="00BB6037">
            <w:pPr>
              <w:contextualSpacing/>
              <w:jc w:val="center"/>
              <w:rPr>
                <w:b/>
                <w:bCs/>
                <w:color w:val="000000"/>
                <w:sz w:val="16"/>
                <w:szCs w:val="16"/>
                <w:lang w:val="uk-UA"/>
              </w:rPr>
            </w:pPr>
            <w:r w:rsidRPr="00610F0B">
              <w:rPr>
                <w:b/>
                <w:bCs/>
                <w:color w:val="000000"/>
                <w:sz w:val="16"/>
                <w:szCs w:val="16"/>
                <w:lang w:val="uk-UA" w:eastAsia="uk-UA"/>
              </w:rPr>
              <w:t> </w:t>
            </w:r>
          </w:p>
          <w:p w:rsidR="00A3102E" w:rsidRPr="00610F0B" w:rsidRDefault="00A3102E" w:rsidP="00BB6037">
            <w:pPr>
              <w:contextualSpacing/>
              <w:rPr>
                <w:b/>
                <w:bCs/>
                <w:color w:val="000000"/>
                <w:sz w:val="16"/>
                <w:szCs w:val="16"/>
                <w:lang w:val="uk-UA"/>
              </w:rPr>
            </w:pPr>
            <w:r w:rsidRPr="00610F0B">
              <w:rPr>
                <w:b/>
                <w:bCs/>
                <w:color w:val="000000"/>
                <w:sz w:val="16"/>
                <w:szCs w:val="16"/>
                <w:lang w:val="uk-UA" w:eastAsia="uk-UA"/>
              </w:rPr>
              <w:t xml:space="preserve">Високооктанові моторні бензини </w:t>
            </w:r>
          </w:p>
        </w:tc>
        <w:tc>
          <w:tcPr>
            <w:tcW w:w="3969" w:type="dxa"/>
            <w:gridSpan w:val="3"/>
            <w:shd w:val="clear" w:color="auto" w:fill="auto"/>
            <w:vAlign w:val="center"/>
            <w:hideMark/>
          </w:tcPr>
          <w:p w:rsidR="00A3102E" w:rsidRPr="00610F0B" w:rsidRDefault="00A3102E" w:rsidP="00BB6037">
            <w:pPr>
              <w:contextualSpacing/>
              <w:jc w:val="center"/>
              <w:rPr>
                <w:b/>
                <w:bCs/>
                <w:color w:val="000000"/>
                <w:sz w:val="16"/>
                <w:szCs w:val="16"/>
                <w:lang w:val="uk-UA"/>
              </w:rPr>
            </w:pPr>
            <w:r w:rsidRPr="00610F0B">
              <w:rPr>
                <w:b/>
                <w:bCs/>
                <w:color w:val="000000"/>
                <w:sz w:val="16"/>
                <w:szCs w:val="16"/>
                <w:lang w:val="uk-UA" w:eastAsia="uk-UA"/>
              </w:rPr>
              <w:t> </w:t>
            </w:r>
          </w:p>
          <w:p w:rsidR="00A3102E" w:rsidRPr="00610F0B" w:rsidRDefault="00A3102E" w:rsidP="00BB6037">
            <w:pPr>
              <w:contextualSpacing/>
              <w:rPr>
                <w:b/>
                <w:bCs/>
                <w:color w:val="000000"/>
                <w:sz w:val="16"/>
                <w:szCs w:val="16"/>
                <w:lang w:val="uk-UA"/>
              </w:rPr>
            </w:pPr>
            <w:r w:rsidRPr="00610F0B">
              <w:rPr>
                <w:b/>
                <w:bCs/>
                <w:color w:val="000000"/>
                <w:sz w:val="16"/>
                <w:szCs w:val="16"/>
                <w:lang w:val="uk-UA" w:eastAsia="uk-UA"/>
              </w:rPr>
              <w:t>Дизельне пальне</w:t>
            </w:r>
          </w:p>
        </w:tc>
        <w:tc>
          <w:tcPr>
            <w:tcW w:w="1353" w:type="dxa"/>
            <w:vMerge w:val="restart"/>
            <w:shd w:val="clear" w:color="auto" w:fill="auto"/>
            <w:noWrap/>
            <w:vAlign w:val="bottom"/>
            <w:hideMark/>
          </w:tcPr>
          <w:p w:rsidR="00A3102E" w:rsidRPr="00610F0B" w:rsidRDefault="00A3102E" w:rsidP="003E25C7">
            <w:pPr>
              <w:contextualSpacing/>
              <w:rPr>
                <w:color w:val="000000"/>
                <w:sz w:val="16"/>
                <w:szCs w:val="16"/>
                <w:lang w:val="uk-UA"/>
              </w:rPr>
            </w:pPr>
            <w:r w:rsidRPr="00610F0B">
              <w:rPr>
                <w:color w:val="000000"/>
                <w:sz w:val="16"/>
                <w:szCs w:val="16"/>
                <w:lang w:val="uk-UA" w:eastAsia="uk-UA"/>
              </w:rPr>
              <w:t xml:space="preserve">Частка виробництва </w:t>
            </w:r>
            <w:r w:rsidR="003E25C7">
              <w:rPr>
                <w:color w:val="000000"/>
                <w:sz w:val="16"/>
                <w:szCs w:val="16"/>
                <w:lang w:val="uk-UA" w:eastAsia="uk-UA"/>
              </w:rPr>
              <w:t>в</w:t>
            </w:r>
            <w:r w:rsidRPr="00610F0B">
              <w:rPr>
                <w:color w:val="000000"/>
                <w:sz w:val="16"/>
                <w:szCs w:val="16"/>
                <w:lang w:val="uk-UA" w:eastAsia="uk-UA"/>
              </w:rPr>
              <w:t xml:space="preserve"> загальному обсязі імпортованого та виробленого в Україні моторного пального, %</w:t>
            </w:r>
          </w:p>
        </w:tc>
      </w:tr>
      <w:tr w:rsidR="00A3102E" w:rsidRPr="00610F0B" w:rsidTr="00BB6037">
        <w:trPr>
          <w:trHeight w:val="1535"/>
        </w:trPr>
        <w:tc>
          <w:tcPr>
            <w:tcW w:w="724" w:type="dxa"/>
            <w:vMerge/>
            <w:tcBorders>
              <w:bottom w:val="single" w:sz="4" w:space="0" w:color="auto"/>
            </w:tcBorders>
            <w:vAlign w:val="center"/>
            <w:hideMark/>
          </w:tcPr>
          <w:p w:rsidR="00A3102E" w:rsidRPr="00610F0B" w:rsidRDefault="00A3102E" w:rsidP="00BB6037">
            <w:pPr>
              <w:contextualSpacing/>
              <w:rPr>
                <w:b/>
                <w:bCs/>
                <w:color w:val="000000"/>
                <w:sz w:val="16"/>
                <w:szCs w:val="16"/>
                <w:lang w:val="uk-UA"/>
              </w:rPr>
            </w:pPr>
          </w:p>
        </w:tc>
        <w:tc>
          <w:tcPr>
            <w:tcW w:w="1134" w:type="dxa"/>
            <w:tcBorders>
              <w:bottom w:val="single" w:sz="4" w:space="0" w:color="auto"/>
            </w:tcBorders>
            <w:shd w:val="clear" w:color="auto" w:fill="auto"/>
            <w:vAlign w:val="center"/>
            <w:hideMark/>
          </w:tcPr>
          <w:p w:rsidR="00A3102E" w:rsidRPr="00610F0B" w:rsidRDefault="00A3102E" w:rsidP="00BB6037">
            <w:pPr>
              <w:contextualSpacing/>
              <w:jc w:val="center"/>
              <w:rPr>
                <w:color w:val="000000"/>
                <w:sz w:val="16"/>
                <w:szCs w:val="16"/>
                <w:lang w:val="uk-UA"/>
              </w:rPr>
            </w:pPr>
            <w:r w:rsidRPr="00610F0B">
              <w:rPr>
                <w:color w:val="000000"/>
                <w:sz w:val="16"/>
                <w:szCs w:val="16"/>
                <w:lang w:val="uk-UA" w:eastAsia="uk-UA"/>
              </w:rPr>
              <w:t>Обсяг імпорту,  тон</w:t>
            </w:r>
            <w:r w:rsidR="003E25C7">
              <w:rPr>
                <w:color w:val="000000"/>
                <w:sz w:val="16"/>
                <w:szCs w:val="16"/>
                <w:lang w:val="uk-UA" w:eastAsia="uk-UA"/>
              </w:rPr>
              <w:t>н</w:t>
            </w:r>
          </w:p>
        </w:tc>
        <w:tc>
          <w:tcPr>
            <w:tcW w:w="1134" w:type="dxa"/>
            <w:tcBorders>
              <w:bottom w:val="single" w:sz="4" w:space="0" w:color="auto"/>
            </w:tcBorders>
            <w:shd w:val="clear" w:color="auto" w:fill="auto"/>
            <w:vAlign w:val="center"/>
            <w:hideMark/>
          </w:tcPr>
          <w:p w:rsidR="00A3102E" w:rsidRPr="00610F0B" w:rsidRDefault="00A3102E" w:rsidP="00BB6037">
            <w:pPr>
              <w:contextualSpacing/>
              <w:jc w:val="center"/>
              <w:rPr>
                <w:color w:val="000000"/>
                <w:sz w:val="16"/>
                <w:szCs w:val="16"/>
                <w:lang w:val="uk-UA"/>
              </w:rPr>
            </w:pPr>
            <w:r w:rsidRPr="00610F0B">
              <w:rPr>
                <w:color w:val="000000"/>
                <w:sz w:val="16"/>
                <w:szCs w:val="16"/>
                <w:lang w:val="uk-UA" w:eastAsia="uk-UA"/>
              </w:rPr>
              <w:t>Обсяг виробництва в Україні, тон</w:t>
            </w:r>
            <w:r w:rsidR="003E25C7">
              <w:rPr>
                <w:color w:val="000000"/>
                <w:sz w:val="16"/>
                <w:szCs w:val="16"/>
                <w:lang w:val="uk-UA" w:eastAsia="uk-UA"/>
              </w:rPr>
              <w:t>н</w:t>
            </w:r>
          </w:p>
          <w:p w:rsidR="00A3102E" w:rsidRPr="00610F0B" w:rsidRDefault="00A3102E" w:rsidP="00BB6037">
            <w:pPr>
              <w:contextualSpacing/>
              <w:rPr>
                <w:color w:val="000000"/>
                <w:sz w:val="16"/>
                <w:szCs w:val="16"/>
                <w:lang w:val="uk-UA"/>
              </w:rPr>
            </w:pPr>
          </w:p>
        </w:tc>
        <w:tc>
          <w:tcPr>
            <w:tcW w:w="1418" w:type="dxa"/>
            <w:tcBorders>
              <w:bottom w:val="single" w:sz="4" w:space="0" w:color="auto"/>
            </w:tcBorders>
            <w:shd w:val="clear" w:color="auto" w:fill="auto"/>
            <w:vAlign w:val="center"/>
            <w:hideMark/>
          </w:tcPr>
          <w:p w:rsidR="00A3102E" w:rsidRPr="00610F0B" w:rsidRDefault="00A3102E" w:rsidP="00BB6037">
            <w:pPr>
              <w:contextualSpacing/>
              <w:jc w:val="center"/>
              <w:rPr>
                <w:color w:val="000000"/>
                <w:sz w:val="16"/>
                <w:szCs w:val="16"/>
                <w:lang w:val="uk-UA"/>
              </w:rPr>
            </w:pPr>
            <w:r w:rsidRPr="00610F0B">
              <w:rPr>
                <w:color w:val="000000"/>
                <w:sz w:val="16"/>
                <w:szCs w:val="16"/>
                <w:lang w:val="uk-UA" w:eastAsia="uk-UA"/>
              </w:rPr>
              <w:t>Частка виробництва у загальному обсязі імпортованих та вироблених в Україні бензинів, %</w:t>
            </w:r>
          </w:p>
        </w:tc>
        <w:tc>
          <w:tcPr>
            <w:tcW w:w="1417" w:type="dxa"/>
            <w:tcBorders>
              <w:bottom w:val="single" w:sz="4" w:space="0" w:color="auto"/>
            </w:tcBorders>
            <w:shd w:val="clear" w:color="auto" w:fill="auto"/>
            <w:vAlign w:val="center"/>
            <w:hideMark/>
          </w:tcPr>
          <w:p w:rsidR="00A3102E" w:rsidRPr="00610F0B" w:rsidRDefault="00A3102E" w:rsidP="00BB6037">
            <w:pPr>
              <w:contextualSpacing/>
              <w:jc w:val="center"/>
              <w:rPr>
                <w:color w:val="000000"/>
                <w:sz w:val="16"/>
                <w:szCs w:val="16"/>
                <w:lang w:val="uk-UA"/>
              </w:rPr>
            </w:pPr>
            <w:r w:rsidRPr="00610F0B">
              <w:rPr>
                <w:color w:val="000000"/>
                <w:sz w:val="16"/>
                <w:szCs w:val="16"/>
                <w:lang w:val="uk-UA" w:eastAsia="uk-UA"/>
              </w:rPr>
              <w:t>Обсяг імпорту, тон</w:t>
            </w:r>
            <w:r w:rsidR="003E25C7">
              <w:rPr>
                <w:color w:val="000000"/>
                <w:sz w:val="16"/>
                <w:szCs w:val="16"/>
                <w:lang w:val="uk-UA" w:eastAsia="uk-UA"/>
              </w:rPr>
              <w:t>н</w:t>
            </w:r>
          </w:p>
        </w:tc>
        <w:tc>
          <w:tcPr>
            <w:tcW w:w="1276" w:type="dxa"/>
            <w:tcBorders>
              <w:bottom w:val="single" w:sz="4" w:space="0" w:color="auto"/>
            </w:tcBorders>
            <w:shd w:val="clear" w:color="auto" w:fill="auto"/>
            <w:vAlign w:val="center"/>
            <w:hideMark/>
          </w:tcPr>
          <w:p w:rsidR="00A3102E" w:rsidRPr="00610F0B" w:rsidRDefault="00A3102E" w:rsidP="00BB6037">
            <w:pPr>
              <w:contextualSpacing/>
              <w:jc w:val="center"/>
              <w:rPr>
                <w:color w:val="000000"/>
                <w:sz w:val="16"/>
                <w:szCs w:val="16"/>
                <w:lang w:val="uk-UA"/>
              </w:rPr>
            </w:pPr>
            <w:r w:rsidRPr="00610F0B">
              <w:rPr>
                <w:color w:val="000000"/>
                <w:sz w:val="16"/>
                <w:szCs w:val="16"/>
                <w:lang w:val="uk-UA" w:eastAsia="uk-UA"/>
              </w:rPr>
              <w:t>Обсяг виробництва в Україні, тон</w:t>
            </w:r>
            <w:r w:rsidR="003E25C7">
              <w:rPr>
                <w:color w:val="000000"/>
                <w:sz w:val="16"/>
                <w:szCs w:val="16"/>
                <w:lang w:val="uk-UA" w:eastAsia="uk-UA"/>
              </w:rPr>
              <w:t>н</w:t>
            </w:r>
          </w:p>
        </w:tc>
        <w:tc>
          <w:tcPr>
            <w:tcW w:w="1276" w:type="dxa"/>
            <w:tcBorders>
              <w:bottom w:val="single" w:sz="4" w:space="0" w:color="auto"/>
            </w:tcBorders>
            <w:shd w:val="clear" w:color="auto" w:fill="auto"/>
            <w:vAlign w:val="center"/>
            <w:hideMark/>
          </w:tcPr>
          <w:p w:rsidR="00A3102E" w:rsidRPr="00610F0B" w:rsidRDefault="00A3102E" w:rsidP="003E22CB">
            <w:pPr>
              <w:contextualSpacing/>
              <w:jc w:val="center"/>
              <w:rPr>
                <w:color w:val="000000"/>
                <w:sz w:val="16"/>
                <w:szCs w:val="16"/>
                <w:lang w:val="uk-UA"/>
              </w:rPr>
            </w:pPr>
            <w:r w:rsidRPr="00610F0B">
              <w:rPr>
                <w:color w:val="000000"/>
                <w:sz w:val="16"/>
                <w:szCs w:val="16"/>
                <w:lang w:val="uk-UA" w:eastAsia="uk-UA"/>
              </w:rPr>
              <w:t>Частка виробництва у загальному обсязі імпортованого та виробленого в Україні дизельного пального, %</w:t>
            </w:r>
          </w:p>
        </w:tc>
        <w:tc>
          <w:tcPr>
            <w:tcW w:w="1353" w:type="dxa"/>
            <w:vMerge/>
            <w:tcBorders>
              <w:bottom w:val="single" w:sz="4" w:space="0" w:color="auto"/>
            </w:tcBorders>
            <w:shd w:val="clear" w:color="auto" w:fill="auto"/>
            <w:noWrap/>
            <w:vAlign w:val="bottom"/>
            <w:hideMark/>
          </w:tcPr>
          <w:p w:rsidR="00A3102E" w:rsidRPr="00610F0B" w:rsidRDefault="00A3102E" w:rsidP="00BB6037">
            <w:pPr>
              <w:contextualSpacing/>
              <w:rPr>
                <w:color w:val="000000"/>
                <w:sz w:val="16"/>
                <w:szCs w:val="16"/>
                <w:lang w:val="uk-UA"/>
              </w:rPr>
            </w:pPr>
          </w:p>
        </w:tc>
      </w:tr>
      <w:tr w:rsidR="0043270F" w:rsidRPr="00610F0B" w:rsidTr="00BB6037">
        <w:trPr>
          <w:trHeight w:val="315"/>
        </w:trPr>
        <w:tc>
          <w:tcPr>
            <w:tcW w:w="724" w:type="dxa"/>
            <w:shd w:val="clear" w:color="auto" w:fill="auto"/>
            <w:noWrap/>
            <w:vAlign w:val="center"/>
            <w:hideMark/>
          </w:tcPr>
          <w:p w:rsidR="0043270F" w:rsidRPr="00610F0B" w:rsidRDefault="0043270F" w:rsidP="00BB6037">
            <w:pPr>
              <w:contextualSpacing/>
              <w:jc w:val="center"/>
              <w:rPr>
                <w:color w:val="000000"/>
                <w:sz w:val="16"/>
                <w:szCs w:val="16"/>
                <w:lang w:val="uk-UA"/>
              </w:rPr>
            </w:pPr>
            <w:r w:rsidRPr="00610F0B">
              <w:rPr>
                <w:color w:val="000000"/>
                <w:sz w:val="16"/>
                <w:szCs w:val="16"/>
                <w:lang w:val="uk-UA" w:eastAsia="uk-UA"/>
              </w:rPr>
              <w:t>2018</w:t>
            </w:r>
          </w:p>
        </w:tc>
        <w:tc>
          <w:tcPr>
            <w:tcW w:w="1134" w:type="dxa"/>
            <w:shd w:val="clear" w:color="auto" w:fill="auto"/>
            <w:noWrap/>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1 119 426,58</w:t>
            </w:r>
          </w:p>
        </w:tc>
        <w:tc>
          <w:tcPr>
            <w:tcW w:w="1134" w:type="dxa"/>
            <w:shd w:val="clear" w:color="auto" w:fill="auto"/>
            <w:vAlign w:val="center"/>
            <w:hideMark/>
          </w:tcPr>
          <w:p w:rsidR="0043270F" w:rsidRPr="00610F0B" w:rsidRDefault="0043270F" w:rsidP="00BB6037">
            <w:pPr>
              <w:contextualSpacing/>
              <w:jc w:val="center"/>
              <w:rPr>
                <w:color w:val="000000"/>
                <w:sz w:val="16"/>
                <w:szCs w:val="16"/>
                <w:lang w:val="uk-UA"/>
              </w:rPr>
            </w:pPr>
            <w:r w:rsidRPr="00610F0B">
              <w:rPr>
                <w:color w:val="000000"/>
                <w:sz w:val="16"/>
                <w:szCs w:val="16"/>
                <w:lang w:val="uk-UA" w:eastAsia="uk-UA"/>
              </w:rPr>
              <w:t>705 000</w:t>
            </w:r>
          </w:p>
        </w:tc>
        <w:tc>
          <w:tcPr>
            <w:tcW w:w="1418" w:type="dxa"/>
            <w:shd w:val="clear" w:color="auto" w:fill="auto"/>
            <w:noWrap/>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38,64%</w:t>
            </w:r>
          </w:p>
        </w:tc>
        <w:tc>
          <w:tcPr>
            <w:tcW w:w="1417" w:type="dxa"/>
            <w:shd w:val="clear" w:color="auto" w:fill="auto"/>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6 714 164,57</w:t>
            </w:r>
          </w:p>
        </w:tc>
        <w:tc>
          <w:tcPr>
            <w:tcW w:w="1276" w:type="dxa"/>
            <w:shd w:val="clear" w:color="auto" w:fill="auto"/>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623 000</w:t>
            </w:r>
          </w:p>
        </w:tc>
        <w:tc>
          <w:tcPr>
            <w:tcW w:w="1276" w:type="dxa"/>
            <w:shd w:val="clear" w:color="auto" w:fill="auto"/>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8,49%</w:t>
            </w:r>
          </w:p>
        </w:tc>
        <w:tc>
          <w:tcPr>
            <w:tcW w:w="1353" w:type="dxa"/>
            <w:shd w:val="clear" w:color="auto" w:fill="auto"/>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14,49%</w:t>
            </w:r>
          </w:p>
        </w:tc>
      </w:tr>
      <w:tr w:rsidR="0043270F" w:rsidRPr="00610F0B" w:rsidTr="00BB6037">
        <w:trPr>
          <w:trHeight w:val="315"/>
        </w:trPr>
        <w:tc>
          <w:tcPr>
            <w:tcW w:w="724" w:type="dxa"/>
            <w:shd w:val="clear" w:color="auto" w:fill="auto"/>
            <w:noWrap/>
            <w:vAlign w:val="center"/>
            <w:hideMark/>
          </w:tcPr>
          <w:p w:rsidR="0043270F" w:rsidRPr="00610F0B" w:rsidRDefault="0043270F" w:rsidP="00BB6037">
            <w:pPr>
              <w:contextualSpacing/>
              <w:jc w:val="center"/>
              <w:rPr>
                <w:color w:val="000000"/>
                <w:sz w:val="16"/>
                <w:szCs w:val="16"/>
                <w:lang w:val="uk-UA"/>
              </w:rPr>
            </w:pPr>
            <w:r w:rsidRPr="00610F0B">
              <w:rPr>
                <w:color w:val="000000"/>
                <w:sz w:val="16"/>
                <w:szCs w:val="16"/>
                <w:lang w:val="uk-UA" w:eastAsia="uk-UA"/>
              </w:rPr>
              <w:t>2019</w:t>
            </w:r>
          </w:p>
        </w:tc>
        <w:tc>
          <w:tcPr>
            <w:tcW w:w="1134" w:type="dxa"/>
            <w:shd w:val="clear" w:color="auto" w:fill="auto"/>
            <w:noWrap/>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1 042 170,98</w:t>
            </w:r>
          </w:p>
        </w:tc>
        <w:tc>
          <w:tcPr>
            <w:tcW w:w="1134" w:type="dxa"/>
            <w:shd w:val="clear" w:color="auto" w:fill="auto"/>
            <w:vAlign w:val="center"/>
            <w:hideMark/>
          </w:tcPr>
          <w:p w:rsidR="0043270F" w:rsidRPr="00610F0B" w:rsidRDefault="0043270F" w:rsidP="00BB6037">
            <w:pPr>
              <w:contextualSpacing/>
              <w:jc w:val="center"/>
              <w:rPr>
                <w:color w:val="000000"/>
                <w:sz w:val="16"/>
                <w:szCs w:val="16"/>
                <w:lang w:val="uk-UA"/>
              </w:rPr>
            </w:pPr>
            <w:r w:rsidRPr="00610F0B">
              <w:rPr>
                <w:color w:val="000000"/>
                <w:sz w:val="16"/>
                <w:szCs w:val="16"/>
                <w:lang w:val="uk-UA" w:eastAsia="uk-UA"/>
              </w:rPr>
              <w:t>730 000</w:t>
            </w:r>
          </w:p>
        </w:tc>
        <w:tc>
          <w:tcPr>
            <w:tcW w:w="1418" w:type="dxa"/>
            <w:shd w:val="clear" w:color="auto" w:fill="auto"/>
            <w:noWrap/>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41,12%</w:t>
            </w:r>
          </w:p>
        </w:tc>
        <w:tc>
          <w:tcPr>
            <w:tcW w:w="1417" w:type="dxa"/>
            <w:shd w:val="clear" w:color="auto" w:fill="auto"/>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7 229 501,65</w:t>
            </w:r>
          </w:p>
        </w:tc>
        <w:tc>
          <w:tcPr>
            <w:tcW w:w="1276" w:type="dxa"/>
            <w:shd w:val="clear" w:color="auto" w:fill="auto"/>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700 000</w:t>
            </w:r>
          </w:p>
        </w:tc>
        <w:tc>
          <w:tcPr>
            <w:tcW w:w="1276" w:type="dxa"/>
            <w:shd w:val="clear" w:color="auto" w:fill="auto"/>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8,75%</w:t>
            </w:r>
          </w:p>
        </w:tc>
        <w:tc>
          <w:tcPr>
            <w:tcW w:w="1353" w:type="dxa"/>
            <w:shd w:val="clear" w:color="auto" w:fill="auto"/>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14,63%</w:t>
            </w:r>
          </w:p>
        </w:tc>
      </w:tr>
      <w:tr w:rsidR="0043270F" w:rsidRPr="00610F0B" w:rsidTr="00BB6037">
        <w:trPr>
          <w:trHeight w:val="315"/>
        </w:trPr>
        <w:tc>
          <w:tcPr>
            <w:tcW w:w="724" w:type="dxa"/>
            <w:shd w:val="clear" w:color="auto" w:fill="auto"/>
            <w:noWrap/>
            <w:vAlign w:val="center"/>
            <w:hideMark/>
          </w:tcPr>
          <w:p w:rsidR="0043270F" w:rsidRPr="00610F0B" w:rsidRDefault="0043270F" w:rsidP="00BB6037">
            <w:pPr>
              <w:contextualSpacing/>
              <w:jc w:val="center"/>
              <w:rPr>
                <w:color w:val="000000"/>
                <w:sz w:val="16"/>
                <w:szCs w:val="16"/>
                <w:lang w:val="uk-UA"/>
              </w:rPr>
            </w:pPr>
            <w:r w:rsidRPr="00610F0B">
              <w:rPr>
                <w:color w:val="000000"/>
                <w:sz w:val="16"/>
                <w:szCs w:val="16"/>
                <w:lang w:val="uk-UA" w:eastAsia="uk-UA"/>
              </w:rPr>
              <w:t xml:space="preserve">І </w:t>
            </w:r>
            <w:proofErr w:type="spellStart"/>
            <w:r w:rsidRPr="00610F0B">
              <w:rPr>
                <w:color w:val="000000"/>
                <w:sz w:val="16"/>
                <w:szCs w:val="16"/>
                <w:lang w:val="uk-UA" w:eastAsia="uk-UA"/>
              </w:rPr>
              <w:t>півр</w:t>
            </w:r>
            <w:proofErr w:type="spellEnd"/>
            <w:r w:rsidRPr="00610F0B">
              <w:rPr>
                <w:color w:val="000000"/>
                <w:sz w:val="16"/>
                <w:szCs w:val="16"/>
                <w:lang w:val="uk-UA" w:eastAsia="uk-UA"/>
              </w:rPr>
              <w:t>. 2020</w:t>
            </w:r>
          </w:p>
        </w:tc>
        <w:tc>
          <w:tcPr>
            <w:tcW w:w="1134" w:type="dxa"/>
            <w:shd w:val="clear" w:color="auto" w:fill="auto"/>
            <w:noWrap/>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428 395</w:t>
            </w:r>
          </w:p>
        </w:tc>
        <w:tc>
          <w:tcPr>
            <w:tcW w:w="1134" w:type="dxa"/>
            <w:shd w:val="clear" w:color="auto" w:fill="auto"/>
            <w:vAlign w:val="center"/>
            <w:hideMark/>
          </w:tcPr>
          <w:p w:rsidR="0043270F" w:rsidRPr="00610F0B" w:rsidRDefault="0043270F" w:rsidP="00BB6037">
            <w:pPr>
              <w:contextualSpacing/>
              <w:jc w:val="center"/>
              <w:rPr>
                <w:color w:val="000000"/>
                <w:sz w:val="16"/>
                <w:szCs w:val="16"/>
                <w:lang w:val="uk-UA"/>
              </w:rPr>
            </w:pPr>
            <w:r w:rsidRPr="00610F0B">
              <w:rPr>
                <w:color w:val="000000"/>
                <w:sz w:val="16"/>
                <w:szCs w:val="16"/>
                <w:lang w:val="uk-UA" w:eastAsia="uk-UA"/>
              </w:rPr>
              <w:t>563 000</w:t>
            </w:r>
          </w:p>
        </w:tc>
        <w:tc>
          <w:tcPr>
            <w:tcW w:w="1418" w:type="dxa"/>
            <w:shd w:val="clear" w:color="auto" w:fill="auto"/>
            <w:noWrap/>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56,79%</w:t>
            </w:r>
          </w:p>
        </w:tc>
        <w:tc>
          <w:tcPr>
            <w:tcW w:w="1417" w:type="dxa"/>
            <w:shd w:val="clear" w:color="auto" w:fill="auto"/>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2 689 569</w:t>
            </w:r>
          </w:p>
        </w:tc>
        <w:tc>
          <w:tcPr>
            <w:tcW w:w="1276" w:type="dxa"/>
            <w:shd w:val="clear" w:color="auto" w:fill="auto"/>
            <w:vAlign w:val="center"/>
            <w:hideMark/>
          </w:tcPr>
          <w:p w:rsidR="0043270F" w:rsidRPr="00610F0B" w:rsidRDefault="0043270F" w:rsidP="00BB6037">
            <w:pPr>
              <w:contextualSpacing/>
              <w:jc w:val="right"/>
              <w:rPr>
                <w:color w:val="000000"/>
                <w:sz w:val="16"/>
                <w:szCs w:val="16"/>
                <w:lang w:val="uk-UA"/>
              </w:rPr>
            </w:pPr>
            <w:r w:rsidRPr="00610F0B">
              <w:rPr>
                <w:color w:val="000000"/>
                <w:sz w:val="16"/>
                <w:szCs w:val="16"/>
                <w:lang w:val="uk-UA" w:eastAsia="uk-UA"/>
              </w:rPr>
              <w:t>430 331</w:t>
            </w:r>
          </w:p>
        </w:tc>
        <w:tc>
          <w:tcPr>
            <w:tcW w:w="1276" w:type="dxa"/>
            <w:shd w:val="clear" w:color="auto" w:fill="auto"/>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13,79%</w:t>
            </w:r>
          </w:p>
        </w:tc>
        <w:tc>
          <w:tcPr>
            <w:tcW w:w="1353" w:type="dxa"/>
            <w:shd w:val="clear" w:color="auto" w:fill="auto"/>
            <w:vAlign w:val="center"/>
            <w:hideMark/>
          </w:tcPr>
          <w:p w:rsidR="0043270F" w:rsidRPr="00610F0B" w:rsidRDefault="0043270F" w:rsidP="00BB6037">
            <w:pPr>
              <w:contextualSpacing/>
              <w:jc w:val="right"/>
              <w:rPr>
                <w:b/>
                <w:bCs/>
                <w:color w:val="000000"/>
                <w:sz w:val="16"/>
                <w:szCs w:val="16"/>
                <w:lang w:val="uk-UA"/>
              </w:rPr>
            </w:pPr>
            <w:r w:rsidRPr="00610F0B">
              <w:rPr>
                <w:b/>
                <w:bCs/>
                <w:color w:val="000000"/>
                <w:sz w:val="16"/>
                <w:szCs w:val="16"/>
                <w:lang w:val="uk-UA"/>
              </w:rPr>
              <w:t>24,16%</w:t>
            </w:r>
          </w:p>
        </w:tc>
      </w:tr>
    </w:tbl>
    <w:p w:rsidR="00A3102E" w:rsidRPr="002950FF" w:rsidRDefault="00A3102E" w:rsidP="00A3102E">
      <w:pPr>
        <w:ind w:left="360"/>
        <w:contextualSpacing/>
        <w:rPr>
          <w:b/>
          <w:sz w:val="16"/>
          <w:szCs w:val="16"/>
          <w:lang w:val="uk-UA"/>
        </w:rPr>
      </w:pPr>
    </w:p>
    <w:p w:rsidR="00A3102E" w:rsidRPr="00610F0B" w:rsidRDefault="00A3102E" w:rsidP="00A3102E">
      <w:pPr>
        <w:numPr>
          <w:ilvl w:val="0"/>
          <w:numId w:val="7"/>
        </w:numPr>
        <w:ind w:left="709" w:hanging="709"/>
        <w:contextualSpacing/>
        <w:jc w:val="both"/>
        <w:rPr>
          <w:lang w:val="uk-UA"/>
        </w:rPr>
      </w:pPr>
      <w:r w:rsidRPr="00610F0B">
        <w:rPr>
          <w:lang w:val="uk-UA"/>
        </w:rPr>
        <w:t xml:space="preserve">Враховуючи зазначене, збільшення групою НАК </w:t>
      </w:r>
      <w:r w:rsidR="003E22CB">
        <w:rPr>
          <w:lang w:val="uk-UA"/>
        </w:rPr>
        <w:t>«Нафтогаз України»</w:t>
      </w:r>
      <w:r w:rsidRPr="00610F0B">
        <w:rPr>
          <w:lang w:val="uk-UA"/>
        </w:rPr>
        <w:t xml:space="preserve"> обсягів видобутку нафти на ділянці Юзівська матиме в Україні незначний вплив на внутрішній ринок нафти та суміжні нижнього рівня ринки нафтопродуктів</w:t>
      </w:r>
      <w:r w:rsidR="00381823" w:rsidRPr="00610F0B">
        <w:rPr>
          <w:lang w:val="uk-UA"/>
        </w:rPr>
        <w:t>, а також</w:t>
      </w:r>
      <w:r w:rsidRPr="00610F0B">
        <w:rPr>
          <w:lang w:val="uk-UA"/>
        </w:rPr>
        <w:t xml:space="preserve"> з огляду на:</w:t>
      </w:r>
    </w:p>
    <w:p w:rsidR="00A3102E" w:rsidRPr="00610F0B" w:rsidRDefault="003E25C7" w:rsidP="00A3102E">
      <w:pPr>
        <w:ind w:left="709" w:firstLine="284"/>
        <w:contextualSpacing/>
        <w:jc w:val="both"/>
        <w:rPr>
          <w:lang w:val="uk-UA"/>
        </w:rPr>
      </w:pPr>
      <w:r>
        <w:rPr>
          <w:lang w:val="uk-UA"/>
        </w:rPr>
        <w:t>в</w:t>
      </w:r>
      <w:r w:rsidR="00A3102E" w:rsidRPr="00610F0B">
        <w:rPr>
          <w:lang w:val="uk-UA"/>
        </w:rPr>
        <w:t>регулювання</w:t>
      </w:r>
      <w:r>
        <w:rPr>
          <w:lang w:val="uk-UA"/>
        </w:rPr>
        <w:t>,</w:t>
      </w:r>
      <w:r w:rsidR="00A3102E" w:rsidRPr="00610F0B">
        <w:rPr>
          <w:lang w:val="uk-UA"/>
        </w:rPr>
        <w:t xml:space="preserve"> відповідно</w:t>
      </w:r>
      <w:r>
        <w:rPr>
          <w:lang w:val="uk-UA"/>
        </w:rPr>
        <w:t>,</w:t>
      </w:r>
      <w:r w:rsidR="00A3102E" w:rsidRPr="00610F0B">
        <w:rPr>
          <w:lang w:val="uk-UA"/>
        </w:rPr>
        <w:t xml:space="preserve"> Закон</w:t>
      </w:r>
      <w:r w:rsidR="00381823" w:rsidRPr="00610F0B">
        <w:rPr>
          <w:lang w:val="uk-UA"/>
        </w:rPr>
        <w:t>ом</w:t>
      </w:r>
      <w:r w:rsidR="00A3102E" w:rsidRPr="00610F0B">
        <w:rPr>
          <w:lang w:val="uk-UA"/>
        </w:rPr>
        <w:t xml:space="preserve"> України «Про нафту і газ» питання реалізації  АТ «Укрнафт</w:t>
      </w:r>
      <w:r>
        <w:rPr>
          <w:lang w:val="uk-UA"/>
        </w:rPr>
        <w:t>а</w:t>
      </w:r>
      <w:r w:rsidR="00A3102E" w:rsidRPr="00610F0B">
        <w:rPr>
          <w:lang w:val="uk-UA"/>
        </w:rPr>
        <w:t xml:space="preserve">» нафти </w:t>
      </w:r>
      <w:r>
        <w:rPr>
          <w:lang w:val="uk-UA"/>
        </w:rPr>
        <w:t>й</w:t>
      </w:r>
      <w:r w:rsidR="00A3102E" w:rsidRPr="00610F0B">
        <w:rPr>
          <w:lang w:val="uk-UA"/>
        </w:rPr>
        <w:t xml:space="preserve"> газового конденсату власного </w:t>
      </w:r>
      <w:r w:rsidR="00381823" w:rsidRPr="00610F0B">
        <w:rPr>
          <w:lang w:val="uk-UA"/>
        </w:rPr>
        <w:t>видобутку на біржових аукціонах;</w:t>
      </w:r>
    </w:p>
    <w:p w:rsidR="00A3102E" w:rsidRPr="00610F0B" w:rsidRDefault="00A3102E" w:rsidP="00A3102E">
      <w:pPr>
        <w:ind w:left="709" w:firstLine="284"/>
        <w:contextualSpacing/>
        <w:jc w:val="both"/>
        <w:rPr>
          <w:lang w:val="uk-UA"/>
        </w:rPr>
      </w:pPr>
      <w:r w:rsidRPr="00610F0B">
        <w:rPr>
          <w:lang w:val="uk-UA"/>
        </w:rPr>
        <w:t>значний рівень імпорту нафтопродуктів у балансі нафтопродуктів та великий обсяг не</w:t>
      </w:r>
      <w:r w:rsidR="003E25C7">
        <w:rPr>
          <w:lang w:val="uk-UA"/>
        </w:rPr>
        <w:t xml:space="preserve"> </w:t>
      </w:r>
      <w:r w:rsidRPr="00610F0B">
        <w:rPr>
          <w:lang w:val="uk-UA"/>
        </w:rPr>
        <w:t>задіяних в Україні нафтопереробних потужностей.</w:t>
      </w:r>
    </w:p>
    <w:p w:rsidR="00A3102E" w:rsidRPr="002950FF" w:rsidRDefault="00A3102E" w:rsidP="00A3102E">
      <w:pPr>
        <w:ind w:left="709" w:firstLine="284"/>
        <w:contextualSpacing/>
        <w:jc w:val="both"/>
        <w:rPr>
          <w:sz w:val="16"/>
          <w:szCs w:val="16"/>
          <w:lang w:val="uk-UA"/>
        </w:rPr>
      </w:pPr>
    </w:p>
    <w:p w:rsidR="00A3102E" w:rsidRPr="00610F0B" w:rsidRDefault="00A3102E" w:rsidP="00381823">
      <w:pPr>
        <w:numPr>
          <w:ilvl w:val="1"/>
          <w:numId w:val="22"/>
        </w:numPr>
        <w:contextualSpacing/>
        <w:rPr>
          <w:b/>
          <w:lang w:val="uk-UA"/>
        </w:rPr>
      </w:pPr>
      <w:r w:rsidRPr="00610F0B">
        <w:rPr>
          <w:b/>
          <w:lang w:val="uk-UA"/>
        </w:rPr>
        <w:t>ОЦІНКА ВПЛИВУ НА РИНОК ПРИРОДНОГО ГАЗУ.</w:t>
      </w:r>
    </w:p>
    <w:p w:rsidR="00A3102E" w:rsidRPr="00610F0B" w:rsidRDefault="00A3102E" w:rsidP="00A3102E">
      <w:pPr>
        <w:numPr>
          <w:ilvl w:val="0"/>
          <w:numId w:val="7"/>
        </w:numPr>
        <w:ind w:left="709" w:hanging="709"/>
        <w:contextualSpacing/>
        <w:jc w:val="both"/>
        <w:rPr>
          <w:rFonts w:eastAsia="Calibri"/>
          <w:lang w:val="uk-UA"/>
        </w:rPr>
      </w:pPr>
      <w:r w:rsidRPr="00610F0B">
        <w:rPr>
          <w:rFonts w:eastAsia="Calibri"/>
          <w:lang w:val="uk-UA"/>
        </w:rPr>
        <w:t>Відповідно до статті 3 Закону України «Про ринок природного газу» ринок природного газу функціонує на засадах вільної добросовісної конкуренції, крім діяльності суб’єктів природних монополій, та за принципами, зокрема:</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1" w:name="n77"/>
      <w:bookmarkEnd w:id="1"/>
      <w:r w:rsidRPr="00610F0B">
        <w:rPr>
          <w:lang w:val="uk-UA"/>
        </w:rPr>
        <w:t>забезпечення високого рівня захисту прав та інтересів споживачів природного газу;</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2" w:name="n78"/>
      <w:bookmarkEnd w:id="2"/>
      <w:r w:rsidRPr="00610F0B">
        <w:rPr>
          <w:lang w:val="uk-UA"/>
        </w:rPr>
        <w:t>вільної торгівлі природним газом та рівності суб’єктів ринку природного газу;</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3" w:name="n79"/>
      <w:bookmarkEnd w:id="3"/>
      <w:r w:rsidRPr="00610F0B">
        <w:rPr>
          <w:lang w:val="uk-UA"/>
        </w:rPr>
        <w:t>вільного вибору постачальника природного газу;</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4" w:name="n80"/>
      <w:bookmarkStart w:id="5" w:name="n82"/>
      <w:bookmarkEnd w:id="4"/>
      <w:bookmarkEnd w:id="5"/>
      <w:r w:rsidRPr="00610F0B">
        <w:rPr>
          <w:lang w:val="uk-UA"/>
        </w:rPr>
        <w:t>забезпечення рівних прав на доступ до газотранспортних та газорозподільних систем</w:t>
      </w:r>
      <w:bookmarkStart w:id="6" w:name="n83"/>
      <w:bookmarkEnd w:id="6"/>
      <w:r w:rsidRPr="00610F0B">
        <w:rPr>
          <w:lang w:val="uk-UA"/>
        </w:rPr>
        <w:t>;</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недопущення та усунення обмежень конкуренції, спричинених діями суб’єктів ринку природного газу, у тому числі суб’єктів природних монополій та суб’єктів господарювання державної форми власності;</w:t>
      </w:r>
    </w:p>
    <w:p w:rsidR="00A3102E"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7" w:name="n84"/>
      <w:bookmarkStart w:id="8" w:name="n86"/>
      <w:bookmarkEnd w:id="7"/>
      <w:bookmarkEnd w:id="8"/>
      <w:r w:rsidRPr="00610F0B">
        <w:rPr>
          <w:lang w:val="uk-UA"/>
        </w:rPr>
        <w:t>відповідальності суб’єктів ринку природного газу за порушення правил діяльності на ринку природного газу та умов договорів.</w:t>
      </w:r>
    </w:p>
    <w:p w:rsidR="00A3102E" w:rsidRDefault="00A3102E" w:rsidP="00A3102E">
      <w:pPr>
        <w:numPr>
          <w:ilvl w:val="0"/>
          <w:numId w:val="7"/>
        </w:numPr>
        <w:ind w:left="709" w:hanging="709"/>
        <w:contextualSpacing/>
        <w:jc w:val="both"/>
        <w:rPr>
          <w:rFonts w:eastAsia="Calibri"/>
          <w:lang w:val="uk-UA"/>
        </w:rPr>
      </w:pPr>
      <w:bookmarkStart w:id="9" w:name="n87"/>
      <w:bookmarkEnd w:id="9"/>
      <w:r w:rsidRPr="00610F0B">
        <w:rPr>
          <w:rFonts w:eastAsia="Calibri"/>
          <w:lang w:val="uk-UA"/>
        </w:rPr>
        <w:t xml:space="preserve">Державне регулювання ринку природного газу здійснює </w:t>
      </w:r>
      <w:r w:rsidR="00381823" w:rsidRPr="00610F0B">
        <w:rPr>
          <w:rFonts w:eastAsia="Calibri"/>
          <w:lang w:val="uk-UA"/>
        </w:rPr>
        <w:t xml:space="preserve">Національна комісія, що здійснює державне регулювання у сферах енергетики та комунальних послуг (далі – </w:t>
      </w:r>
      <w:r w:rsidRPr="00610F0B">
        <w:rPr>
          <w:rFonts w:eastAsia="Calibri"/>
          <w:lang w:val="uk-UA"/>
        </w:rPr>
        <w:t>НКРЕКП</w:t>
      </w:r>
      <w:r w:rsidR="00381823" w:rsidRPr="00610F0B">
        <w:rPr>
          <w:rFonts w:eastAsia="Calibri"/>
          <w:lang w:val="uk-UA"/>
        </w:rPr>
        <w:t>)</w:t>
      </w:r>
      <w:r w:rsidR="003E25C7">
        <w:rPr>
          <w:rFonts w:eastAsia="Calibri"/>
          <w:lang w:val="uk-UA"/>
        </w:rPr>
        <w:t>,</w:t>
      </w:r>
      <w:r w:rsidRPr="00610F0B">
        <w:rPr>
          <w:rFonts w:eastAsia="Calibri"/>
          <w:lang w:val="uk-UA"/>
        </w:rPr>
        <w:t xml:space="preserve"> у</w:t>
      </w:r>
      <w:r w:rsidR="00381823" w:rsidRPr="00610F0B">
        <w:rPr>
          <w:rFonts w:eastAsia="Calibri"/>
          <w:lang w:val="uk-UA"/>
        </w:rPr>
        <w:t xml:space="preserve"> межах повноважень, визначених </w:t>
      </w:r>
      <w:r w:rsidRPr="00610F0B">
        <w:rPr>
          <w:rFonts w:eastAsia="Calibri"/>
          <w:lang w:val="uk-UA"/>
        </w:rPr>
        <w:t>Законом</w:t>
      </w:r>
      <w:r w:rsidR="00381823" w:rsidRPr="00610F0B">
        <w:rPr>
          <w:rFonts w:eastAsia="Calibri"/>
          <w:lang w:val="uk-UA"/>
        </w:rPr>
        <w:t xml:space="preserve"> України «Про ринок природного газу»</w:t>
      </w:r>
      <w:r w:rsidRPr="00610F0B">
        <w:rPr>
          <w:rFonts w:eastAsia="Calibri"/>
          <w:lang w:val="uk-UA"/>
        </w:rPr>
        <w:t xml:space="preserve"> та іншими актами законодавства.</w:t>
      </w:r>
    </w:p>
    <w:p w:rsidR="00A3102E" w:rsidRPr="00610F0B" w:rsidRDefault="00A3102E" w:rsidP="00A3102E">
      <w:pPr>
        <w:numPr>
          <w:ilvl w:val="0"/>
          <w:numId w:val="7"/>
        </w:numPr>
        <w:ind w:left="709" w:hanging="709"/>
        <w:contextualSpacing/>
        <w:jc w:val="both"/>
        <w:rPr>
          <w:rFonts w:eastAsia="Calibri"/>
          <w:lang w:val="uk-UA"/>
        </w:rPr>
      </w:pPr>
      <w:bookmarkStart w:id="10" w:name="n89"/>
      <w:bookmarkStart w:id="11" w:name="n98"/>
      <w:bookmarkEnd w:id="10"/>
      <w:bookmarkEnd w:id="11"/>
      <w:r w:rsidRPr="00610F0B">
        <w:rPr>
          <w:rFonts w:eastAsia="Calibri"/>
          <w:lang w:val="uk-UA"/>
        </w:rPr>
        <w:t>До компетенції Регулятора на ринку природного газу належать, зокрема:</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12" w:name="n99"/>
      <w:bookmarkEnd w:id="12"/>
      <w:r w:rsidRPr="00610F0B">
        <w:rPr>
          <w:lang w:val="uk-UA"/>
        </w:rPr>
        <w:t>видача ліцензій на право провадження видів діяльності на ринку природного газу та нагляд за дотриманням ліцензійних умов ліцензіатами;</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13" w:name="n100"/>
      <w:bookmarkEnd w:id="13"/>
      <w:r w:rsidRPr="00610F0B">
        <w:rPr>
          <w:lang w:val="uk-UA"/>
        </w:rPr>
        <w:lastRenderedPageBreak/>
        <w:t xml:space="preserve">затвердження та оприлюднення у встановленому порядку методології визначення тарифів; </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моніторинг застосування та визначення тарифів, інших платежів, пов’язаних із діяльністю на ринках природного газу;</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14" w:name="n102"/>
      <w:bookmarkStart w:id="15" w:name="n103"/>
      <w:bookmarkStart w:id="16" w:name="n104"/>
      <w:bookmarkEnd w:id="14"/>
      <w:bookmarkEnd w:id="15"/>
      <w:bookmarkEnd w:id="16"/>
      <w:r w:rsidRPr="00610F0B">
        <w:rPr>
          <w:lang w:val="uk-UA"/>
        </w:rPr>
        <w:t>затвердження кодексів газотранспортних систем, кодексу газорозподільних систем, відповідних методологій, які забезпечують передбачене законодавством функціонування ринку природного газу;</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17" w:name="n105"/>
      <w:bookmarkStart w:id="18" w:name="n109"/>
      <w:bookmarkEnd w:id="17"/>
      <w:bookmarkEnd w:id="18"/>
      <w:r w:rsidRPr="00610F0B">
        <w:rPr>
          <w:lang w:val="uk-UA"/>
        </w:rPr>
        <w:t>моніторинг виконання спеціальних обов’язків для забезпечення загальносуспільних інтересів у процесі функціонування ринку природного газу на відповідність вимогам, передбаченим цим Законом та іншими актами законодавства;</w:t>
      </w:r>
    </w:p>
    <w:p w:rsidR="00A3102E" w:rsidRPr="00610F0B" w:rsidRDefault="00A3102E" w:rsidP="003E25C7">
      <w:pPr>
        <w:pStyle w:val="aff8"/>
        <w:numPr>
          <w:ilvl w:val="0"/>
          <w:numId w:val="12"/>
        </w:numPr>
        <w:tabs>
          <w:tab w:val="left" w:pos="709"/>
          <w:tab w:val="left" w:pos="851"/>
        </w:tabs>
        <w:autoSpaceDE w:val="0"/>
        <w:autoSpaceDN w:val="0"/>
        <w:adjustRightInd w:val="0"/>
        <w:contextualSpacing/>
        <w:jc w:val="both"/>
        <w:rPr>
          <w:lang w:val="uk-UA"/>
        </w:rPr>
      </w:pPr>
      <w:bookmarkStart w:id="19" w:name="n113"/>
      <w:bookmarkEnd w:id="19"/>
      <w:r w:rsidRPr="00610F0B">
        <w:rPr>
          <w:lang w:val="uk-UA"/>
        </w:rPr>
        <w:t>спільно з іншими суб’єктами владних повноважень забезпечення ефективного застосування заходів захисту прав споживачів, у тому числі передбачених цим Законом;</w:t>
      </w:r>
    </w:p>
    <w:p w:rsidR="00A3102E" w:rsidRPr="00FE266D" w:rsidRDefault="00A3102E" w:rsidP="003E25C7">
      <w:pPr>
        <w:pStyle w:val="aff8"/>
        <w:numPr>
          <w:ilvl w:val="0"/>
          <w:numId w:val="12"/>
        </w:numPr>
        <w:tabs>
          <w:tab w:val="left" w:pos="709"/>
          <w:tab w:val="left" w:pos="851"/>
        </w:tabs>
        <w:autoSpaceDE w:val="0"/>
        <w:autoSpaceDN w:val="0"/>
        <w:adjustRightInd w:val="0"/>
        <w:contextualSpacing/>
        <w:jc w:val="both"/>
        <w:rPr>
          <w:lang w:val="uk-UA"/>
        </w:rPr>
      </w:pPr>
      <w:r w:rsidRPr="003E25C7">
        <w:rPr>
          <w:lang w:val="uk-UA"/>
        </w:rPr>
        <w:t>забезпечення споживачам (оптовим покупцям) можливості вільно обирати та змінювати постачальника (оптового продавця) на умовах, передбачених цим Законом та іншими актами законодавства.</w:t>
      </w:r>
    </w:p>
    <w:p w:rsidR="00A3102E" w:rsidRDefault="00A3102E" w:rsidP="00A3102E">
      <w:pPr>
        <w:numPr>
          <w:ilvl w:val="0"/>
          <w:numId w:val="7"/>
        </w:numPr>
        <w:ind w:left="709" w:hanging="709"/>
        <w:contextualSpacing/>
        <w:jc w:val="both"/>
        <w:rPr>
          <w:rFonts w:eastAsia="Calibri"/>
          <w:lang w:val="uk-UA"/>
        </w:rPr>
      </w:pPr>
      <w:bookmarkStart w:id="20" w:name="n114"/>
      <w:bookmarkStart w:id="21" w:name="n115"/>
      <w:bookmarkStart w:id="22" w:name="n116"/>
      <w:bookmarkStart w:id="23" w:name="n267"/>
      <w:bookmarkStart w:id="24" w:name="n271"/>
      <w:bookmarkStart w:id="25" w:name="n306"/>
      <w:bookmarkEnd w:id="20"/>
      <w:bookmarkEnd w:id="21"/>
      <w:bookmarkEnd w:id="22"/>
      <w:bookmarkEnd w:id="23"/>
      <w:bookmarkEnd w:id="24"/>
      <w:bookmarkEnd w:id="25"/>
      <w:r w:rsidRPr="00610F0B">
        <w:rPr>
          <w:rFonts w:eastAsia="Calibri"/>
          <w:lang w:val="uk-UA"/>
        </w:rPr>
        <w:t xml:space="preserve">Постачання природного газу здійснюється відповідно до договору, </w:t>
      </w:r>
      <w:r w:rsidR="00381823" w:rsidRPr="00610F0B">
        <w:rPr>
          <w:rFonts w:eastAsia="Calibri"/>
          <w:lang w:val="uk-UA"/>
        </w:rPr>
        <w:t xml:space="preserve">на підставі якого </w:t>
      </w:r>
      <w:r w:rsidRPr="00610F0B">
        <w:rPr>
          <w:rFonts w:eastAsia="Calibri"/>
          <w:lang w:val="uk-UA"/>
        </w:rPr>
        <w:t xml:space="preserve">постачальник зобов’язується поставити споживачеві природний газ належної якості та кількості </w:t>
      </w:r>
      <w:r w:rsidR="003E25C7">
        <w:rPr>
          <w:rFonts w:eastAsia="Calibri"/>
          <w:lang w:val="uk-UA"/>
        </w:rPr>
        <w:t>в</w:t>
      </w:r>
      <w:r w:rsidRPr="00610F0B">
        <w:rPr>
          <w:rFonts w:eastAsia="Calibri"/>
          <w:lang w:val="uk-UA"/>
        </w:rPr>
        <w:t xml:space="preserve"> порядку, передбаченому договором, а споживач зобов’язується оплатити вартість прийнятого природного газу в розмірі, строки та порядку, передбачених договором.</w:t>
      </w:r>
    </w:p>
    <w:p w:rsidR="00A3102E" w:rsidRDefault="00A3102E" w:rsidP="00A3102E">
      <w:pPr>
        <w:numPr>
          <w:ilvl w:val="0"/>
          <w:numId w:val="7"/>
        </w:numPr>
        <w:ind w:left="709" w:hanging="709"/>
        <w:contextualSpacing/>
        <w:jc w:val="both"/>
        <w:rPr>
          <w:rFonts w:eastAsia="Calibri"/>
          <w:lang w:val="uk-UA"/>
        </w:rPr>
      </w:pPr>
      <w:bookmarkStart w:id="26" w:name="n309"/>
      <w:bookmarkEnd w:id="26"/>
      <w:r w:rsidRPr="00610F0B">
        <w:rPr>
          <w:rFonts w:eastAsia="Calibri"/>
          <w:lang w:val="uk-UA"/>
        </w:rPr>
        <w:t>Постачання природного газу побутовим споживачам здійснюється на підставі </w:t>
      </w:r>
      <w:hyperlink r:id="rId10" w:anchor="n13" w:tgtFrame="_blank" w:history="1">
        <w:r w:rsidRPr="00610F0B">
          <w:rPr>
            <w:rFonts w:eastAsia="Calibri"/>
            <w:lang w:val="uk-UA"/>
          </w:rPr>
          <w:t>типового договору</w:t>
        </w:r>
      </w:hyperlink>
      <w:r w:rsidRPr="00610F0B">
        <w:rPr>
          <w:rFonts w:eastAsia="Calibri"/>
          <w:lang w:val="uk-UA"/>
        </w:rPr>
        <w:t>, що затверджується Регулятором та оприлюднюється в установленому порядку.</w:t>
      </w:r>
    </w:p>
    <w:p w:rsidR="00A3102E" w:rsidRDefault="00A3102E" w:rsidP="00A3102E">
      <w:pPr>
        <w:numPr>
          <w:ilvl w:val="0"/>
          <w:numId w:val="7"/>
        </w:numPr>
        <w:ind w:left="709" w:hanging="709"/>
        <w:contextualSpacing/>
        <w:jc w:val="both"/>
        <w:rPr>
          <w:rFonts w:eastAsia="Calibri"/>
          <w:lang w:val="uk-UA"/>
        </w:rPr>
      </w:pPr>
      <w:bookmarkStart w:id="27" w:name="n310"/>
      <w:bookmarkStart w:id="28" w:name="n311"/>
      <w:bookmarkEnd w:id="27"/>
      <w:bookmarkEnd w:id="28"/>
      <w:r w:rsidRPr="00610F0B">
        <w:rPr>
          <w:rFonts w:eastAsia="Calibri"/>
          <w:lang w:val="uk-UA"/>
        </w:rPr>
        <w:t>Постачання природного газу здійснюється за цінами, що вільно встановлюються між постачальником та споживачем, крім випадків, передбачених цим Законом.</w:t>
      </w:r>
    </w:p>
    <w:p w:rsidR="00A3102E" w:rsidRPr="00610F0B" w:rsidRDefault="00A3102E" w:rsidP="00A3102E">
      <w:pPr>
        <w:numPr>
          <w:ilvl w:val="0"/>
          <w:numId w:val="7"/>
        </w:numPr>
        <w:ind w:left="709" w:hanging="709"/>
        <w:contextualSpacing/>
        <w:jc w:val="both"/>
        <w:rPr>
          <w:rFonts w:eastAsia="Calibri"/>
          <w:lang w:val="uk-UA"/>
        </w:rPr>
      </w:pPr>
      <w:bookmarkStart w:id="29" w:name="n312"/>
      <w:bookmarkEnd w:id="29"/>
      <w:r w:rsidRPr="00610F0B">
        <w:rPr>
          <w:rFonts w:eastAsia="Calibri"/>
          <w:lang w:val="uk-UA"/>
        </w:rPr>
        <w:t>Права та обов’язки постачальників і споживачів визначаються цим Законом, </w:t>
      </w:r>
      <w:hyperlink r:id="rId11" w:tgtFrame="_blank" w:history="1">
        <w:r w:rsidRPr="00610F0B">
          <w:rPr>
            <w:rFonts w:eastAsia="Calibri"/>
            <w:lang w:val="uk-UA"/>
          </w:rPr>
          <w:t>Цивільним</w:t>
        </w:r>
      </w:hyperlink>
      <w:r w:rsidRPr="00610F0B">
        <w:rPr>
          <w:rFonts w:eastAsia="Calibri"/>
          <w:lang w:val="uk-UA"/>
        </w:rPr>
        <w:t> і </w:t>
      </w:r>
      <w:hyperlink r:id="rId12" w:tgtFrame="_blank" w:history="1">
        <w:r w:rsidRPr="00610F0B">
          <w:rPr>
            <w:rFonts w:eastAsia="Calibri"/>
            <w:lang w:val="uk-UA"/>
          </w:rPr>
          <w:t>Господарським</w:t>
        </w:r>
      </w:hyperlink>
      <w:r w:rsidRPr="00610F0B">
        <w:rPr>
          <w:rFonts w:eastAsia="Calibri"/>
          <w:lang w:val="uk-UA"/>
        </w:rPr>
        <w:t> кодексами України, правилами постачання природного газу, іншими нормативно-правовими актами, а також договором постачання природного газу.</w:t>
      </w:r>
    </w:p>
    <w:p w:rsidR="00A3102E" w:rsidRPr="00610F0B" w:rsidRDefault="00A3102E" w:rsidP="00A3102E">
      <w:pPr>
        <w:numPr>
          <w:ilvl w:val="0"/>
          <w:numId w:val="7"/>
        </w:numPr>
        <w:ind w:left="709" w:hanging="709"/>
        <w:contextualSpacing/>
        <w:jc w:val="both"/>
        <w:rPr>
          <w:rFonts w:eastAsia="Calibri"/>
          <w:lang w:val="uk-UA"/>
        </w:rPr>
      </w:pPr>
      <w:bookmarkStart w:id="30" w:name="n313"/>
      <w:bookmarkStart w:id="31" w:name="n323"/>
      <w:bookmarkEnd w:id="30"/>
      <w:bookmarkEnd w:id="31"/>
      <w:r w:rsidRPr="00610F0B">
        <w:rPr>
          <w:rFonts w:eastAsia="Calibri"/>
          <w:lang w:val="uk-UA"/>
        </w:rPr>
        <w:t xml:space="preserve">Споживач має право, зокрема, на </w:t>
      </w:r>
      <w:bookmarkStart w:id="32" w:name="n324"/>
      <w:bookmarkEnd w:id="32"/>
      <w:r w:rsidRPr="00610F0B">
        <w:rPr>
          <w:rFonts w:eastAsia="Calibri"/>
          <w:lang w:val="uk-UA"/>
        </w:rPr>
        <w:t>вільний вибір постачальника.</w:t>
      </w:r>
    </w:p>
    <w:p w:rsidR="00A3102E" w:rsidRPr="00610F0B" w:rsidRDefault="00A3102E" w:rsidP="00A3102E">
      <w:pPr>
        <w:numPr>
          <w:ilvl w:val="0"/>
          <w:numId w:val="7"/>
        </w:numPr>
        <w:ind w:left="709" w:hanging="709"/>
        <w:contextualSpacing/>
        <w:jc w:val="both"/>
        <w:rPr>
          <w:rFonts w:eastAsia="Calibri"/>
          <w:lang w:val="uk-UA"/>
        </w:rPr>
      </w:pPr>
      <w:bookmarkStart w:id="33" w:name="n325"/>
      <w:bookmarkStart w:id="34" w:name="n380"/>
      <w:bookmarkEnd w:id="33"/>
      <w:bookmarkEnd w:id="34"/>
      <w:r w:rsidRPr="00610F0B">
        <w:rPr>
          <w:rFonts w:eastAsia="Calibri"/>
          <w:lang w:val="uk-UA"/>
        </w:rPr>
        <w:t>Суб’єкти ринку природного газу є рівними у праві на отримання доступу до газотранспортних та газорозподільних систем, приєднання до газотранспортних і газорозподільних систем.</w:t>
      </w:r>
    </w:p>
    <w:p w:rsidR="00A3102E" w:rsidRPr="00610F0B" w:rsidRDefault="00A3102E" w:rsidP="00A3102E">
      <w:pPr>
        <w:numPr>
          <w:ilvl w:val="0"/>
          <w:numId w:val="7"/>
        </w:numPr>
        <w:ind w:left="709" w:hanging="709"/>
        <w:contextualSpacing/>
        <w:jc w:val="both"/>
        <w:rPr>
          <w:rFonts w:eastAsia="Calibri"/>
          <w:lang w:val="uk-UA"/>
        </w:rPr>
      </w:pPr>
      <w:r w:rsidRPr="00610F0B">
        <w:rPr>
          <w:rFonts w:eastAsia="Calibri"/>
          <w:lang w:val="uk-UA"/>
        </w:rPr>
        <w:t>Відповідно до статті 11 Закону</w:t>
      </w:r>
      <w:r w:rsidR="00381823" w:rsidRPr="00610F0B">
        <w:rPr>
          <w:rFonts w:eastAsia="Calibri"/>
          <w:lang w:val="uk-UA"/>
        </w:rPr>
        <w:t xml:space="preserve"> України «Про ринок природного газу»</w:t>
      </w:r>
      <w:r w:rsidRPr="00610F0B">
        <w:rPr>
          <w:rFonts w:eastAsia="Calibri"/>
          <w:lang w:val="uk-UA"/>
        </w:rPr>
        <w:t>, з метою забезпечення загальносуспільних інтересів у процесі функціонування ринку природного газу</w:t>
      </w:r>
      <w:r w:rsidR="003E25C7">
        <w:rPr>
          <w:rFonts w:eastAsia="Calibri"/>
          <w:lang w:val="uk-UA"/>
        </w:rPr>
        <w:t>,</w:t>
      </w:r>
      <w:r w:rsidRPr="00610F0B">
        <w:rPr>
          <w:rFonts w:eastAsia="Calibri"/>
          <w:lang w:val="uk-UA"/>
        </w:rPr>
        <w:t xml:space="preserve"> на суб’єктів ринку у виключних випадках та на визначений строк можуть покладатися спеціальні обов’язки в обсязі та на умовах, визначених Кабінетом Міністрів України після консультацій із Секретаріатом Енергетичного Співтовариства.</w:t>
      </w:r>
    </w:p>
    <w:p w:rsidR="00A3102E" w:rsidRPr="00610F0B" w:rsidRDefault="00A3102E" w:rsidP="00A3102E">
      <w:pPr>
        <w:numPr>
          <w:ilvl w:val="0"/>
          <w:numId w:val="7"/>
        </w:numPr>
        <w:ind w:left="709" w:hanging="709"/>
        <w:contextualSpacing/>
        <w:jc w:val="both"/>
        <w:rPr>
          <w:rFonts w:eastAsia="Calibri"/>
          <w:lang w:val="uk-UA"/>
        </w:rPr>
      </w:pPr>
      <w:r w:rsidRPr="00610F0B">
        <w:rPr>
          <w:rFonts w:eastAsia="Calibri"/>
          <w:lang w:val="uk-UA"/>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381823" w:rsidRPr="00610F0B">
        <w:rPr>
          <w:rFonts w:eastAsia="Calibri"/>
          <w:lang w:val="uk-UA"/>
        </w:rPr>
        <w:t>,</w:t>
      </w:r>
      <w:r w:rsidRPr="00610F0B">
        <w:rPr>
          <w:rFonts w:eastAsia="Calibri"/>
          <w:lang w:val="uk-UA"/>
        </w:rPr>
        <w:t xml:space="preserve"> затвердженого постановою Кабінету Міністрів України від 19.10.2018 № 867 (далі – Положення</w:t>
      </w:r>
      <w:r w:rsidR="00381823" w:rsidRPr="00610F0B">
        <w:rPr>
          <w:rFonts w:eastAsia="Calibri"/>
          <w:lang w:val="uk-UA"/>
        </w:rPr>
        <w:t xml:space="preserve"> або ПСО</w:t>
      </w:r>
      <w:r w:rsidRPr="00610F0B">
        <w:rPr>
          <w:rFonts w:eastAsia="Calibri"/>
          <w:lang w:val="uk-UA"/>
        </w:rPr>
        <w:t>)</w:t>
      </w:r>
      <w:r w:rsidR="00FC7F77">
        <w:rPr>
          <w:rFonts w:eastAsia="Calibri"/>
          <w:lang w:val="uk-UA"/>
        </w:rPr>
        <w:t>,</w:t>
      </w:r>
      <w:r w:rsidRPr="00610F0B">
        <w:rPr>
          <w:rFonts w:eastAsia="Calibri"/>
          <w:lang w:val="uk-UA"/>
        </w:rPr>
        <w:t xml:space="preserve"> на </w:t>
      </w:r>
      <w:r w:rsidR="00381823" w:rsidRPr="00610F0B">
        <w:rPr>
          <w:rFonts w:eastAsia="Calibri"/>
          <w:lang w:val="uk-UA"/>
        </w:rPr>
        <w:br/>
      </w:r>
      <w:r w:rsidRPr="00610F0B">
        <w:rPr>
          <w:rFonts w:eastAsia="Calibri"/>
          <w:lang w:val="uk-UA"/>
        </w:rPr>
        <w:t xml:space="preserve">НАК </w:t>
      </w:r>
      <w:r w:rsidR="003E22CB">
        <w:rPr>
          <w:rFonts w:eastAsia="Calibri"/>
          <w:lang w:val="uk-UA"/>
        </w:rPr>
        <w:t>«Нафтогаз України»</w:t>
      </w:r>
      <w:r w:rsidRPr="00610F0B">
        <w:rPr>
          <w:rFonts w:eastAsia="Calibri"/>
          <w:lang w:val="uk-UA"/>
        </w:rPr>
        <w:t xml:space="preserve"> покладені такі спеціальні обов’язки, зокрема:</w:t>
      </w:r>
    </w:p>
    <w:p w:rsidR="00A3102E" w:rsidRPr="003E25C7" w:rsidRDefault="00A3102E" w:rsidP="003E25C7">
      <w:pPr>
        <w:pStyle w:val="aff8"/>
        <w:numPr>
          <w:ilvl w:val="0"/>
          <w:numId w:val="12"/>
        </w:numPr>
        <w:tabs>
          <w:tab w:val="left" w:pos="709"/>
          <w:tab w:val="left" w:pos="851"/>
        </w:tabs>
        <w:autoSpaceDE w:val="0"/>
        <w:autoSpaceDN w:val="0"/>
        <w:adjustRightInd w:val="0"/>
        <w:ind w:left="709" w:firstLine="425"/>
        <w:contextualSpacing/>
        <w:jc w:val="both"/>
        <w:rPr>
          <w:lang w:val="uk-UA"/>
        </w:rPr>
      </w:pPr>
      <w:r w:rsidRPr="003E25C7">
        <w:rPr>
          <w:lang w:val="uk-UA"/>
        </w:rPr>
        <w:t>до 1 травня 2021 р. постачати природний газ на умовах та у порядку, що визначені цим Положенням, виробникам теплової енергії, а саме:</w:t>
      </w:r>
    </w:p>
    <w:p w:rsidR="00A3102E" w:rsidRPr="00610F0B" w:rsidRDefault="00A3102E" w:rsidP="00FC7F77">
      <w:pPr>
        <w:tabs>
          <w:tab w:val="left" w:pos="567"/>
          <w:tab w:val="left" w:pos="1418"/>
        </w:tabs>
        <w:ind w:left="709" w:firstLine="709"/>
        <w:contextualSpacing/>
        <w:jc w:val="both"/>
        <w:rPr>
          <w:rFonts w:eastAsia="Calibri"/>
          <w:lang w:val="uk-UA"/>
        </w:rPr>
      </w:pPr>
      <w:r w:rsidRPr="00610F0B">
        <w:rPr>
          <w:rFonts w:eastAsia="Calibri"/>
          <w:lang w:val="uk-UA"/>
        </w:rPr>
        <w:t>виробникам теплової енергії, які здійснюють виробництво теплової енергії для всіх категорій споживачів (фізичні або юридичні особи, які використовують теплову енергію на підставі договору);</w:t>
      </w:r>
    </w:p>
    <w:p w:rsidR="00A3102E" w:rsidRPr="00610F0B" w:rsidRDefault="00A3102E" w:rsidP="00FC7F77">
      <w:pPr>
        <w:tabs>
          <w:tab w:val="left" w:pos="567"/>
          <w:tab w:val="left" w:pos="1418"/>
        </w:tabs>
        <w:ind w:left="709" w:firstLine="709"/>
        <w:contextualSpacing/>
        <w:jc w:val="both"/>
        <w:rPr>
          <w:rFonts w:eastAsia="Calibri"/>
          <w:lang w:val="uk-UA"/>
        </w:rPr>
      </w:pPr>
      <w:r w:rsidRPr="00610F0B">
        <w:rPr>
          <w:rFonts w:eastAsia="Calibri"/>
          <w:lang w:val="uk-UA"/>
        </w:rPr>
        <w:lastRenderedPageBreak/>
        <w:t>виробникам теплової енергії, які фінансуються за рахунок державного чи місцевого бюджету, що використовують природний газ з метою гарячого водопостачання і опалення приміщень житлового фонду та гуртожитків, які належать їм на праві власності або іншому речовому праві;</w:t>
      </w:r>
    </w:p>
    <w:p w:rsidR="00A3102E" w:rsidRPr="00610F0B" w:rsidRDefault="00A3102E" w:rsidP="00FC7F77">
      <w:pPr>
        <w:tabs>
          <w:tab w:val="left" w:pos="567"/>
          <w:tab w:val="left" w:pos="1418"/>
        </w:tabs>
        <w:ind w:left="709" w:firstLine="709"/>
        <w:contextualSpacing/>
        <w:jc w:val="both"/>
        <w:rPr>
          <w:rFonts w:eastAsia="Calibri"/>
          <w:lang w:val="uk-UA"/>
        </w:rPr>
      </w:pPr>
      <w:r w:rsidRPr="00610F0B">
        <w:rPr>
          <w:rFonts w:eastAsia="Calibri"/>
          <w:lang w:val="uk-UA"/>
        </w:rPr>
        <w:t>виробникам теплової енергії, які фінансуються за рахунок державного чи місцевого бюджету, що використовують природний газ з метою опалення службових та виробничих приміщень, які належать їм на праві власності або іншому речовому праві;</w:t>
      </w:r>
    </w:p>
    <w:p w:rsidR="00A3102E" w:rsidRPr="00610F0B" w:rsidRDefault="00A3102E" w:rsidP="00FC7F77">
      <w:pPr>
        <w:tabs>
          <w:tab w:val="left" w:pos="567"/>
          <w:tab w:val="left" w:pos="1418"/>
        </w:tabs>
        <w:ind w:left="709" w:firstLine="709"/>
        <w:contextualSpacing/>
        <w:jc w:val="both"/>
        <w:rPr>
          <w:rFonts w:eastAsia="Calibri"/>
          <w:lang w:val="uk-UA"/>
        </w:rPr>
      </w:pPr>
      <w:r w:rsidRPr="00610F0B">
        <w:rPr>
          <w:rFonts w:eastAsia="Calibri"/>
          <w:lang w:val="uk-UA"/>
        </w:rPr>
        <w:t>виробникам теплової енергії - об’єднанням співвласників багатоквартирного будинку, житлово-будівельним кооперативам та суб’єктам господарювання, що використовують природний газ з метою гарячого водопостачання і опалення приміщень, які належать їм на праві власності або іншому речовому праві;</w:t>
      </w:r>
    </w:p>
    <w:p w:rsidR="00A3102E" w:rsidRPr="00610F0B" w:rsidRDefault="00A3102E" w:rsidP="00FC7F77">
      <w:pPr>
        <w:tabs>
          <w:tab w:val="left" w:pos="567"/>
          <w:tab w:val="left" w:pos="1418"/>
        </w:tabs>
        <w:ind w:left="709" w:firstLine="709"/>
        <w:contextualSpacing/>
        <w:jc w:val="both"/>
        <w:rPr>
          <w:rFonts w:eastAsia="Calibri"/>
          <w:lang w:val="uk-UA"/>
        </w:rPr>
      </w:pPr>
      <w:r w:rsidRPr="00610F0B">
        <w:rPr>
          <w:rFonts w:eastAsia="Calibri"/>
          <w:lang w:val="uk-UA"/>
        </w:rPr>
        <w:t>виробникам теплової енергії, що використовують природний газ для виробництва електричної енергії;</w:t>
      </w:r>
    </w:p>
    <w:p w:rsidR="00A3102E" w:rsidRPr="00610F0B" w:rsidRDefault="00A3102E" w:rsidP="00FC7F77">
      <w:pPr>
        <w:tabs>
          <w:tab w:val="left" w:pos="567"/>
          <w:tab w:val="left" w:pos="1418"/>
        </w:tabs>
        <w:ind w:left="709" w:firstLine="709"/>
        <w:contextualSpacing/>
        <w:jc w:val="both"/>
        <w:rPr>
          <w:rFonts w:eastAsia="Calibri"/>
          <w:lang w:val="uk-UA"/>
        </w:rPr>
      </w:pPr>
      <w:r w:rsidRPr="00610F0B">
        <w:rPr>
          <w:rFonts w:eastAsia="Calibri"/>
          <w:lang w:val="uk-UA"/>
        </w:rPr>
        <w:t>виробникам теплової енергії, управління майном яких здійснюється суб’єктами господарювання, які залучені Національним агентством з питань виявлення, розшуку та управління активами, одержаними від корупційних та інших злочинів, відповідно до статті 21 Закону України «Про Національне агентство України з питань виявлення, розшуку та управління активами, одержаними від корупційних та інших злочинів», для всіх категорій використання природного газу;</w:t>
      </w:r>
    </w:p>
    <w:p w:rsidR="00A3102E" w:rsidRPr="00FC7F77" w:rsidRDefault="00A3102E" w:rsidP="00FC7F77">
      <w:pPr>
        <w:pStyle w:val="aff8"/>
        <w:numPr>
          <w:ilvl w:val="0"/>
          <w:numId w:val="12"/>
        </w:numPr>
        <w:tabs>
          <w:tab w:val="left" w:pos="709"/>
          <w:tab w:val="left" w:pos="851"/>
        </w:tabs>
        <w:autoSpaceDE w:val="0"/>
        <w:autoSpaceDN w:val="0"/>
        <w:adjustRightInd w:val="0"/>
        <w:ind w:left="709" w:firstLine="425"/>
        <w:contextualSpacing/>
        <w:jc w:val="both"/>
        <w:rPr>
          <w:lang w:val="uk-UA"/>
        </w:rPr>
      </w:pPr>
      <w:r w:rsidRPr="00FC7F77">
        <w:rPr>
          <w:lang w:val="uk-UA"/>
        </w:rPr>
        <w:t>до 1 травня 2021 р. придбавати природний газ у господарських товариств, 100 відсотків акцій (паїв, часток) яких належать державі або іншому господарському товариству, єдиним акціонером якого є держава (ПАТ «Укргазвидобування», акціонерне товариство «Державне акціонерне товариство «</w:t>
      </w:r>
      <w:proofErr w:type="spellStart"/>
      <w:r w:rsidRPr="00FC7F77">
        <w:rPr>
          <w:lang w:val="uk-UA"/>
        </w:rPr>
        <w:t>Чорноморнафтогаз</w:t>
      </w:r>
      <w:proofErr w:type="spellEnd"/>
      <w:r w:rsidRPr="00FC7F77">
        <w:rPr>
          <w:lang w:val="uk-UA"/>
        </w:rPr>
        <w:t>»</w:t>
      </w:r>
      <w:r w:rsidR="00381823" w:rsidRPr="00FC7F77">
        <w:rPr>
          <w:lang w:val="uk-UA"/>
        </w:rPr>
        <w:t>)</w:t>
      </w:r>
      <w:r w:rsidRPr="00FC7F77">
        <w:rPr>
          <w:lang w:val="uk-UA"/>
        </w:rPr>
        <w:t>, зокрема, для формування ресурсу природного газу для виробників теплової енергії для всіх категорій використання природного газу на умовах та у порядку, що визначені цим Положенням.</w:t>
      </w:r>
    </w:p>
    <w:p w:rsidR="00A3102E" w:rsidRPr="00610F0B" w:rsidRDefault="00A3102E" w:rsidP="00A3102E">
      <w:pPr>
        <w:numPr>
          <w:ilvl w:val="0"/>
          <w:numId w:val="7"/>
        </w:numPr>
        <w:ind w:left="709" w:hanging="709"/>
        <w:contextualSpacing/>
        <w:jc w:val="both"/>
        <w:rPr>
          <w:rFonts w:eastAsia="Calibri"/>
          <w:lang w:val="uk-UA"/>
        </w:rPr>
      </w:pPr>
      <w:r w:rsidRPr="00610F0B">
        <w:rPr>
          <w:rFonts w:eastAsia="Calibri"/>
          <w:lang w:val="uk-UA"/>
        </w:rPr>
        <w:t xml:space="preserve">Разом </w:t>
      </w:r>
      <w:r w:rsidR="00FC7F77">
        <w:rPr>
          <w:rFonts w:eastAsia="Calibri"/>
          <w:lang w:val="uk-UA"/>
        </w:rPr>
        <w:t>і</w:t>
      </w:r>
      <w:r w:rsidRPr="00610F0B">
        <w:rPr>
          <w:rFonts w:eastAsia="Calibri"/>
          <w:lang w:val="uk-UA"/>
        </w:rPr>
        <w:t xml:space="preserve">з тим до 1 серпня 2020 р. на НАК </w:t>
      </w:r>
      <w:r w:rsidR="003E22CB">
        <w:rPr>
          <w:rFonts w:eastAsia="Calibri"/>
          <w:lang w:val="uk-UA"/>
        </w:rPr>
        <w:t>«Нафтогаз України»</w:t>
      </w:r>
      <w:r w:rsidRPr="00610F0B">
        <w:rPr>
          <w:rFonts w:eastAsia="Calibri"/>
          <w:lang w:val="uk-UA"/>
        </w:rPr>
        <w:t xml:space="preserve"> були покладені спеціальні обов’язки:</w:t>
      </w:r>
    </w:p>
    <w:p w:rsidR="00A3102E" w:rsidRPr="00610F0B" w:rsidRDefault="00A3102E" w:rsidP="00A3102E">
      <w:pPr>
        <w:tabs>
          <w:tab w:val="left" w:pos="709"/>
          <w:tab w:val="left" w:pos="1418"/>
        </w:tabs>
        <w:ind w:left="786" w:firstLine="708"/>
        <w:contextualSpacing/>
        <w:jc w:val="both"/>
        <w:rPr>
          <w:rFonts w:eastAsia="Calibri"/>
          <w:lang w:val="uk-UA"/>
        </w:rPr>
      </w:pPr>
      <w:r w:rsidRPr="00610F0B">
        <w:rPr>
          <w:rFonts w:eastAsia="Calibri"/>
          <w:lang w:val="uk-UA"/>
        </w:rPr>
        <w:t xml:space="preserve">продавати природний газ постачальникам природного газу для потреб побутових споживачів, релігійних організацій (крім обсягів, що використовуються для провадження їх виробничо-комерційної діяльності) та державного підприємства України </w:t>
      </w:r>
      <w:r w:rsidR="00FC7F77">
        <w:rPr>
          <w:rFonts w:eastAsia="Calibri"/>
          <w:lang w:val="uk-UA"/>
        </w:rPr>
        <w:t>«Міжнародний дитячий центр «</w:t>
      </w:r>
      <w:r w:rsidRPr="00610F0B">
        <w:rPr>
          <w:rFonts w:eastAsia="Calibri"/>
          <w:lang w:val="uk-UA"/>
        </w:rPr>
        <w:t>Артек</w:t>
      </w:r>
      <w:r w:rsidR="00FC7F77">
        <w:rPr>
          <w:rFonts w:eastAsia="Calibri"/>
          <w:lang w:val="uk-UA"/>
        </w:rPr>
        <w:t>»</w:t>
      </w:r>
      <w:r w:rsidRPr="00610F0B">
        <w:rPr>
          <w:rFonts w:eastAsia="Calibri"/>
          <w:lang w:val="uk-UA"/>
        </w:rPr>
        <w:t xml:space="preserve"> на умовах та у порядку, що визначені цим Положенням;</w:t>
      </w:r>
    </w:p>
    <w:p w:rsidR="00A3102E" w:rsidRPr="00610F0B" w:rsidRDefault="00A3102E" w:rsidP="00A3102E">
      <w:pPr>
        <w:tabs>
          <w:tab w:val="left" w:pos="709"/>
          <w:tab w:val="left" w:pos="1418"/>
        </w:tabs>
        <w:ind w:left="786" w:firstLine="708"/>
        <w:contextualSpacing/>
        <w:jc w:val="both"/>
        <w:rPr>
          <w:rFonts w:eastAsia="Calibri"/>
          <w:lang w:val="uk-UA"/>
        </w:rPr>
      </w:pPr>
      <w:r w:rsidRPr="00610F0B">
        <w:rPr>
          <w:rFonts w:eastAsia="Calibri"/>
          <w:lang w:val="uk-UA"/>
        </w:rPr>
        <w:t xml:space="preserve">постачати природний газ побутовим споживачам, релігійним організаціям (крім обсягів, що використовуються для провадження їх виробничо-комерційної діяльності) та державному підприємству України </w:t>
      </w:r>
      <w:r w:rsidR="00FC7F77">
        <w:rPr>
          <w:rFonts w:eastAsia="Calibri"/>
          <w:lang w:val="uk-UA"/>
        </w:rPr>
        <w:t>«</w:t>
      </w:r>
      <w:r w:rsidRPr="00610F0B">
        <w:rPr>
          <w:rFonts w:eastAsia="Calibri"/>
          <w:lang w:val="uk-UA"/>
        </w:rPr>
        <w:t xml:space="preserve">Міжнародний дитячий центр </w:t>
      </w:r>
      <w:r w:rsidR="00FC7F77">
        <w:rPr>
          <w:rFonts w:eastAsia="Calibri"/>
          <w:lang w:val="uk-UA"/>
        </w:rPr>
        <w:t>«</w:t>
      </w:r>
      <w:r w:rsidRPr="00610F0B">
        <w:rPr>
          <w:rFonts w:eastAsia="Calibri"/>
          <w:lang w:val="uk-UA"/>
        </w:rPr>
        <w:t>Артек</w:t>
      </w:r>
      <w:r w:rsidR="00FC7F77">
        <w:rPr>
          <w:rFonts w:eastAsia="Calibri"/>
          <w:lang w:val="uk-UA"/>
        </w:rPr>
        <w:t>»</w:t>
      </w:r>
      <w:r w:rsidRPr="00610F0B">
        <w:rPr>
          <w:rFonts w:eastAsia="Calibri"/>
          <w:lang w:val="uk-UA"/>
        </w:rPr>
        <w:t xml:space="preserve">, постачання яким у відповідному періоді (місяці постачання) не здійснює інший постачальник (у тому числі інший постачальник </w:t>
      </w:r>
      <w:r w:rsidR="00FC7F77">
        <w:rPr>
          <w:rFonts w:eastAsia="Calibri"/>
          <w:lang w:val="uk-UA"/>
        </w:rPr>
        <w:t>зі</w:t>
      </w:r>
      <w:r w:rsidRPr="00610F0B">
        <w:rPr>
          <w:rFonts w:eastAsia="Calibri"/>
          <w:lang w:val="uk-UA"/>
        </w:rPr>
        <w:t xml:space="preserve"> спеціальними обов’язками відповідно до цього Положення), на умовах та </w:t>
      </w:r>
      <w:r w:rsidR="00FC7F77">
        <w:rPr>
          <w:rFonts w:eastAsia="Calibri"/>
          <w:lang w:val="uk-UA"/>
        </w:rPr>
        <w:t>в</w:t>
      </w:r>
      <w:r w:rsidRPr="00610F0B">
        <w:rPr>
          <w:rFonts w:eastAsia="Calibri"/>
          <w:lang w:val="uk-UA"/>
        </w:rPr>
        <w:t xml:space="preserve"> поряд</w:t>
      </w:r>
      <w:r w:rsidR="00381823" w:rsidRPr="00610F0B">
        <w:rPr>
          <w:rFonts w:eastAsia="Calibri"/>
          <w:lang w:val="uk-UA"/>
        </w:rPr>
        <w:t>ку, що визначені цим Положенням.</w:t>
      </w:r>
    </w:p>
    <w:p w:rsidR="00A3102E" w:rsidRPr="002950FF" w:rsidRDefault="00A3102E" w:rsidP="00A3102E">
      <w:pPr>
        <w:tabs>
          <w:tab w:val="left" w:pos="709"/>
          <w:tab w:val="left" w:pos="1418"/>
        </w:tabs>
        <w:ind w:left="786" w:firstLine="708"/>
        <w:contextualSpacing/>
        <w:jc w:val="both"/>
        <w:rPr>
          <w:rFonts w:eastAsia="Calibri"/>
          <w:sz w:val="16"/>
          <w:szCs w:val="16"/>
          <w:lang w:val="uk-UA"/>
        </w:rPr>
      </w:pPr>
    </w:p>
    <w:p w:rsidR="00A3102E" w:rsidRPr="00610F0B" w:rsidRDefault="00A3102E" w:rsidP="00A3102E">
      <w:pPr>
        <w:numPr>
          <w:ilvl w:val="0"/>
          <w:numId w:val="7"/>
        </w:numPr>
        <w:ind w:left="709" w:hanging="709"/>
        <w:contextualSpacing/>
        <w:jc w:val="both"/>
        <w:rPr>
          <w:rFonts w:eastAsia="Calibri"/>
          <w:lang w:val="uk-UA"/>
        </w:rPr>
      </w:pPr>
      <w:r w:rsidRPr="00610F0B">
        <w:rPr>
          <w:rFonts w:eastAsia="Calibri"/>
          <w:lang w:val="uk-UA"/>
        </w:rPr>
        <w:t xml:space="preserve">Частка групи НАК </w:t>
      </w:r>
      <w:r w:rsidR="003E22CB">
        <w:rPr>
          <w:rFonts w:eastAsia="Calibri"/>
          <w:lang w:val="uk-UA"/>
        </w:rPr>
        <w:t>«Нафтогаз України»</w:t>
      </w:r>
      <w:r w:rsidRPr="00610F0B">
        <w:rPr>
          <w:rFonts w:eastAsia="Calibri"/>
          <w:lang w:val="uk-UA"/>
        </w:rPr>
        <w:t xml:space="preserve"> з видобутку природного газу в Україні </w:t>
      </w:r>
      <w:r w:rsidR="00FC7F77">
        <w:rPr>
          <w:rFonts w:eastAsia="Calibri"/>
          <w:lang w:val="uk-UA"/>
        </w:rPr>
        <w:t>становить</w:t>
      </w:r>
      <w:r w:rsidRPr="00610F0B">
        <w:rPr>
          <w:rFonts w:eastAsia="Calibri"/>
          <w:lang w:val="uk-UA"/>
        </w:rPr>
        <w:t xml:space="preserve"> близько 70 </w:t>
      </w:r>
      <w:r w:rsidR="00FC7F77">
        <w:rPr>
          <w:rFonts w:eastAsia="Calibri"/>
          <w:lang w:val="uk-UA"/>
        </w:rPr>
        <w:t>%</w:t>
      </w:r>
      <w:r w:rsidRPr="00610F0B">
        <w:rPr>
          <w:rFonts w:eastAsia="Calibri"/>
          <w:lang w:val="uk-UA"/>
        </w:rPr>
        <w:t xml:space="preserve"> загального обсягу видобутку природного газу в Україні, при цьому, обсяг видобутого газу групою НАК </w:t>
      </w:r>
      <w:r w:rsidR="003E22CB">
        <w:rPr>
          <w:rFonts w:eastAsia="Calibri"/>
          <w:lang w:val="uk-UA"/>
        </w:rPr>
        <w:t>«Нафтогаз України»</w:t>
      </w:r>
      <w:r w:rsidRPr="00610F0B">
        <w:rPr>
          <w:rFonts w:eastAsia="Calibri"/>
          <w:lang w:val="uk-UA"/>
        </w:rPr>
        <w:t xml:space="preserve"> </w:t>
      </w:r>
      <w:r w:rsidR="00FC7F77">
        <w:rPr>
          <w:rFonts w:eastAsia="Calibri"/>
          <w:lang w:val="uk-UA"/>
        </w:rPr>
        <w:t>становить</w:t>
      </w:r>
      <w:r w:rsidRPr="00610F0B">
        <w:rPr>
          <w:rFonts w:eastAsia="Calibri"/>
          <w:lang w:val="uk-UA"/>
        </w:rPr>
        <w:t xml:space="preserve"> </w:t>
      </w:r>
      <w:r w:rsidR="00FC7F77">
        <w:rPr>
          <w:rFonts w:eastAsia="Calibri"/>
          <w:lang w:val="uk-UA"/>
        </w:rPr>
        <w:br/>
      </w:r>
      <w:r w:rsidRPr="00610F0B">
        <w:rPr>
          <w:rFonts w:eastAsia="Calibri"/>
          <w:lang w:val="uk-UA"/>
        </w:rPr>
        <w:t xml:space="preserve">більше 50 </w:t>
      </w:r>
      <w:r w:rsidR="00FC7F77">
        <w:rPr>
          <w:rFonts w:eastAsia="Calibri"/>
          <w:lang w:val="uk-UA"/>
        </w:rPr>
        <w:t>%</w:t>
      </w:r>
      <w:r w:rsidRPr="00610F0B">
        <w:rPr>
          <w:rFonts w:eastAsia="Calibri"/>
          <w:lang w:val="uk-UA"/>
        </w:rPr>
        <w:t xml:space="preserve"> природного газу</w:t>
      </w:r>
      <w:r w:rsidR="00A83F83">
        <w:rPr>
          <w:rFonts w:eastAsia="Calibri"/>
          <w:lang w:val="uk-UA"/>
        </w:rPr>
        <w:t>,</w:t>
      </w:r>
      <w:r w:rsidRPr="00610F0B">
        <w:rPr>
          <w:rFonts w:eastAsia="Calibri"/>
          <w:lang w:val="uk-UA"/>
        </w:rPr>
        <w:t xml:space="preserve"> спожитого в Україні.</w:t>
      </w:r>
    </w:p>
    <w:p w:rsidR="00A3102E" w:rsidRPr="00610F0B" w:rsidRDefault="00A3102E" w:rsidP="00A3102E">
      <w:pPr>
        <w:numPr>
          <w:ilvl w:val="0"/>
          <w:numId w:val="7"/>
        </w:numPr>
        <w:ind w:left="709" w:hanging="709"/>
        <w:contextualSpacing/>
        <w:jc w:val="both"/>
        <w:rPr>
          <w:rFonts w:eastAsia="Calibri"/>
          <w:lang w:val="uk-UA"/>
        </w:rPr>
      </w:pPr>
      <w:r w:rsidRPr="00610F0B">
        <w:rPr>
          <w:rFonts w:eastAsia="Calibri"/>
          <w:lang w:val="uk-UA"/>
        </w:rPr>
        <w:t xml:space="preserve">Частка обсягів реалізації групи НАК </w:t>
      </w:r>
      <w:r w:rsidR="003E22CB">
        <w:rPr>
          <w:rFonts w:eastAsia="Calibri"/>
          <w:lang w:val="uk-UA"/>
        </w:rPr>
        <w:t>«Нафтогаз України»</w:t>
      </w:r>
      <w:r w:rsidRPr="00610F0B">
        <w:rPr>
          <w:rFonts w:eastAsia="Calibri"/>
          <w:lang w:val="uk-UA"/>
        </w:rPr>
        <w:t xml:space="preserve"> природного газу від загального обсягу споживання природного газу в Україні, з урахуванням видобутку та імпорту природного газу, </w:t>
      </w:r>
      <w:r w:rsidR="00A83F83">
        <w:rPr>
          <w:rFonts w:eastAsia="Calibri"/>
          <w:lang w:val="uk-UA"/>
        </w:rPr>
        <w:t>становила</w:t>
      </w:r>
      <w:r w:rsidRPr="00610F0B">
        <w:rPr>
          <w:rFonts w:eastAsia="Calibri"/>
          <w:lang w:val="uk-UA"/>
        </w:rPr>
        <w:t xml:space="preserve"> понад 70 </w:t>
      </w:r>
      <w:r w:rsidR="00A83F83">
        <w:rPr>
          <w:rFonts w:eastAsia="Calibri"/>
          <w:lang w:val="uk-UA"/>
        </w:rPr>
        <w:t>%</w:t>
      </w:r>
      <w:r w:rsidRPr="00610F0B">
        <w:rPr>
          <w:rFonts w:eastAsia="Calibri"/>
          <w:lang w:val="uk-UA"/>
        </w:rPr>
        <w:t xml:space="preserve">. При цьому частка обсягів реалізації </w:t>
      </w:r>
      <w:r w:rsidR="00A83F83">
        <w:rPr>
          <w:rFonts w:eastAsia="Calibri"/>
          <w:lang w:val="uk-UA"/>
        </w:rPr>
        <w:t xml:space="preserve">групи </w:t>
      </w:r>
      <w:r w:rsidRPr="00610F0B">
        <w:rPr>
          <w:rFonts w:eastAsia="Calibri"/>
          <w:lang w:val="uk-UA"/>
        </w:rPr>
        <w:t xml:space="preserve">НАК </w:t>
      </w:r>
      <w:r w:rsidR="003E22CB">
        <w:rPr>
          <w:rFonts w:eastAsia="Calibri"/>
          <w:lang w:val="uk-UA"/>
        </w:rPr>
        <w:t>«Нафтогаз України»</w:t>
      </w:r>
      <w:r w:rsidRPr="00610F0B">
        <w:rPr>
          <w:rFonts w:eastAsia="Calibri"/>
          <w:lang w:val="uk-UA"/>
        </w:rPr>
        <w:t xml:space="preserve"> природного газу для підприємств </w:t>
      </w:r>
      <w:proofErr w:type="spellStart"/>
      <w:r w:rsidRPr="00610F0B">
        <w:rPr>
          <w:rFonts w:eastAsia="Calibri"/>
          <w:lang w:val="uk-UA"/>
        </w:rPr>
        <w:t>теплокомуненерго</w:t>
      </w:r>
      <w:proofErr w:type="spellEnd"/>
      <w:r w:rsidRPr="00610F0B">
        <w:rPr>
          <w:rFonts w:eastAsia="Calibri"/>
          <w:lang w:val="uk-UA"/>
        </w:rPr>
        <w:t xml:space="preserve"> та населення до 1 серпня 2020 року</w:t>
      </w:r>
      <w:r w:rsidR="00A83F83">
        <w:rPr>
          <w:rFonts w:eastAsia="Calibri"/>
          <w:lang w:val="uk-UA"/>
        </w:rPr>
        <w:t>,</w:t>
      </w:r>
      <w:r w:rsidRPr="00610F0B">
        <w:rPr>
          <w:rFonts w:eastAsia="Calibri"/>
          <w:lang w:val="uk-UA"/>
        </w:rPr>
        <w:t xml:space="preserve"> відповідно до покладених спеціальних обов’язків </w:t>
      </w:r>
      <w:r w:rsidR="00A83F83">
        <w:rPr>
          <w:rFonts w:eastAsia="Calibri"/>
          <w:lang w:val="uk-UA"/>
        </w:rPr>
        <w:t>у</w:t>
      </w:r>
      <w:r w:rsidRPr="00610F0B">
        <w:rPr>
          <w:rFonts w:eastAsia="Calibri"/>
          <w:lang w:val="uk-UA"/>
        </w:rPr>
        <w:t xml:space="preserve"> рамках ПСО</w:t>
      </w:r>
      <w:r w:rsidR="00A83F83">
        <w:rPr>
          <w:rFonts w:eastAsia="Calibri"/>
          <w:lang w:val="uk-UA"/>
        </w:rPr>
        <w:t>,</w:t>
      </w:r>
      <w:r w:rsidRPr="00610F0B">
        <w:rPr>
          <w:rFonts w:eastAsia="Calibri"/>
          <w:lang w:val="uk-UA"/>
        </w:rPr>
        <w:t xml:space="preserve"> </w:t>
      </w:r>
      <w:r w:rsidR="00A83F83">
        <w:rPr>
          <w:rFonts w:eastAsia="Calibri"/>
          <w:lang w:val="uk-UA"/>
        </w:rPr>
        <w:t>становила</w:t>
      </w:r>
      <w:r w:rsidRPr="00610F0B">
        <w:rPr>
          <w:rFonts w:eastAsia="Calibri"/>
          <w:lang w:val="uk-UA"/>
        </w:rPr>
        <w:t xml:space="preserve"> 100 </w:t>
      </w:r>
      <w:r w:rsidR="00A83F83">
        <w:rPr>
          <w:rFonts w:eastAsia="Calibri"/>
          <w:lang w:val="uk-UA"/>
        </w:rPr>
        <w:t>%</w:t>
      </w:r>
      <w:r w:rsidRPr="00610F0B">
        <w:rPr>
          <w:rFonts w:eastAsia="Calibri"/>
          <w:lang w:val="uk-UA"/>
        </w:rPr>
        <w:t>.</w:t>
      </w:r>
    </w:p>
    <w:p w:rsidR="00A3102E" w:rsidRDefault="00A3102E" w:rsidP="00A3102E">
      <w:pPr>
        <w:numPr>
          <w:ilvl w:val="0"/>
          <w:numId w:val="7"/>
        </w:numPr>
        <w:ind w:left="709" w:hanging="709"/>
        <w:contextualSpacing/>
        <w:jc w:val="both"/>
        <w:rPr>
          <w:rFonts w:eastAsia="Calibri"/>
          <w:lang w:val="uk-UA"/>
        </w:rPr>
      </w:pPr>
      <w:r w:rsidRPr="00610F0B">
        <w:rPr>
          <w:rFonts w:eastAsia="Calibri"/>
          <w:lang w:val="uk-UA"/>
        </w:rPr>
        <w:lastRenderedPageBreak/>
        <w:t xml:space="preserve">Відповідно до пункту 3 Положення з 1 серпня 2020 року дія </w:t>
      </w:r>
      <w:r w:rsidR="00381823" w:rsidRPr="00610F0B">
        <w:rPr>
          <w:rFonts w:eastAsia="Calibri"/>
          <w:lang w:val="uk-UA"/>
        </w:rPr>
        <w:t>П</w:t>
      </w:r>
      <w:r w:rsidRPr="00610F0B">
        <w:rPr>
          <w:rFonts w:eastAsia="Calibri"/>
          <w:lang w:val="uk-UA"/>
        </w:rPr>
        <w:t xml:space="preserve">оложення не поширюється на задоволення потреб населення, тобто весь обсяг потреб ТКЕ в природному газі буде задовольнятися природним газом, що видобуває </w:t>
      </w:r>
      <w:r w:rsidRPr="00610F0B">
        <w:rPr>
          <w:rFonts w:eastAsia="Calibri"/>
          <w:lang w:val="uk-UA"/>
        </w:rPr>
        <w:br/>
        <w:t>ПАТ «Укргазвидобування».</w:t>
      </w:r>
    </w:p>
    <w:p w:rsidR="00FE266D" w:rsidRPr="00114FCA" w:rsidRDefault="00FE266D" w:rsidP="00FE266D">
      <w:pPr>
        <w:contextualSpacing/>
        <w:jc w:val="both"/>
        <w:rPr>
          <w:rFonts w:eastAsia="Calibri"/>
          <w:sz w:val="16"/>
          <w:szCs w:val="16"/>
          <w:lang w:val="uk-UA"/>
        </w:rPr>
      </w:pPr>
    </w:p>
    <w:p w:rsidR="00A3102E" w:rsidRDefault="00A3102E" w:rsidP="00A3102E">
      <w:pPr>
        <w:numPr>
          <w:ilvl w:val="0"/>
          <w:numId w:val="7"/>
        </w:numPr>
        <w:ind w:left="709" w:hanging="709"/>
        <w:contextualSpacing/>
        <w:jc w:val="both"/>
        <w:rPr>
          <w:rFonts w:eastAsia="Calibri"/>
          <w:lang w:val="uk-UA"/>
        </w:rPr>
      </w:pPr>
      <w:r w:rsidRPr="00610F0B">
        <w:rPr>
          <w:rFonts w:eastAsia="Calibri"/>
          <w:lang w:val="uk-UA"/>
        </w:rPr>
        <w:t xml:space="preserve">Отже, зважаючи на норми Положення, </w:t>
      </w:r>
      <w:r w:rsidR="00A83F83">
        <w:rPr>
          <w:rFonts w:eastAsia="Calibri"/>
          <w:lang w:val="uk-UA"/>
        </w:rPr>
        <w:t>у</w:t>
      </w:r>
      <w:r w:rsidRPr="00610F0B">
        <w:rPr>
          <w:rFonts w:eastAsia="Calibri"/>
          <w:lang w:val="uk-UA"/>
        </w:rPr>
        <w:t xml:space="preserve"> тому числі з урахуванням змін, </w:t>
      </w:r>
      <w:r w:rsidRPr="00610F0B">
        <w:rPr>
          <w:rFonts w:eastAsia="Calibri"/>
          <w:lang w:val="uk-UA"/>
        </w:rPr>
        <w:br/>
        <w:t xml:space="preserve">НАК </w:t>
      </w:r>
      <w:r w:rsidR="003E22CB">
        <w:rPr>
          <w:rFonts w:eastAsia="Calibri"/>
          <w:lang w:val="uk-UA"/>
        </w:rPr>
        <w:t>«Нафтогаз України»</w:t>
      </w:r>
      <w:r w:rsidRPr="00610F0B">
        <w:rPr>
          <w:rFonts w:eastAsia="Calibri"/>
          <w:lang w:val="uk-UA"/>
        </w:rPr>
        <w:t xml:space="preserve"> фактично є власником ресурсу природного газу, який реалізується для забезпечення загальносуспільних інтересів </w:t>
      </w:r>
      <w:r w:rsidR="00A83F83">
        <w:rPr>
          <w:rFonts w:eastAsia="Calibri"/>
          <w:lang w:val="uk-UA"/>
        </w:rPr>
        <w:t>у</w:t>
      </w:r>
      <w:r w:rsidRPr="00610F0B">
        <w:rPr>
          <w:rFonts w:eastAsia="Calibri"/>
          <w:lang w:val="uk-UA"/>
        </w:rPr>
        <w:t xml:space="preserve"> рамках ПСО. </w:t>
      </w:r>
    </w:p>
    <w:p w:rsidR="00A3102E" w:rsidRDefault="00A3102E" w:rsidP="00A3102E">
      <w:pPr>
        <w:numPr>
          <w:ilvl w:val="0"/>
          <w:numId w:val="7"/>
        </w:numPr>
        <w:ind w:left="709" w:hanging="709"/>
        <w:contextualSpacing/>
        <w:jc w:val="both"/>
        <w:rPr>
          <w:rFonts w:eastAsia="Calibri"/>
          <w:lang w:val="uk-UA"/>
        </w:rPr>
      </w:pPr>
      <w:r w:rsidRPr="00610F0B">
        <w:rPr>
          <w:rFonts w:eastAsia="Calibri"/>
          <w:lang w:val="uk-UA"/>
        </w:rPr>
        <w:t xml:space="preserve">Відповідно до пункту 6 Положення ПАТ «Укргазвидобування» (яке є пов’язаним відносинами контролю з НАК </w:t>
      </w:r>
      <w:r w:rsidR="003E22CB">
        <w:rPr>
          <w:rFonts w:eastAsia="Calibri"/>
          <w:lang w:val="uk-UA"/>
        </w:rPr>
        <w:t>«Нафтогаз України»</w:t>
      </w:r>
      <w:r w:rsidRPr="00610F0B">
        <w:rPr>
          <w:rFonts w:eastAsia="Calibri"/>
          <w:lang w:val="uk-UA"/>
        </w:rPr>
        <w:t>) та ДАТ «</w:t>
      </w:r>
      <w:proofErr w:type="spellStart"/>
      <w:r w:rsidRPr="00610F0B">
        <w:rPr>
          <w:rFonts w:eastAsia="Calibri"/>
          <w:lang w:val="uk-UA"/>
        </w:rPr>
        <w:t>Чорноморнафтогаз</w:t>
      </w:r>
      <w:proofErr w:type="spellEnd"/>
      <w:r w:rsidRPr="00610F0B">
        <w:rPr>
          <w:rFonts w:eastAsia="Calibri"/>
          <w:lang w:val="uk-UA"/>
        </w:rPr>
        <w:t>» зобов’язані щомісяця здійснювати продаж природного газу власного видобутку (крім обсягів виробничо-технологічних витрат, обсягів, які використовуються для власних потреб ПАТ «Укргазвидобування» та ДАТ «</w:t>
      </w:r>
      <w:proofErr w:type="spellStart"/>
      <w:r w:rsidRPr="00610F0B">
        <w:rPr>
          <w:rFonts w:eastAsia="Calibri"/>
          <w:lang w:val="uk-UA"/>
        </w:rPr>
        <w:t>Чорноморнафтогаз</w:t>
      </w:r>
      <w:proofErr w:type="spellEnd"/>
      <w:r w:rsidRPr="00610F0B">
        <w:rPr>
          <w:rFonts w:eastAsia="Calibri"/>
          <w:lang w:val="uk-UA"/>
        </w:rPr>
        <w:t xml:space="preserve">», пов’язаних із видобутком, підготовкою до транспортування і транспортуванням природного газу, а також для виробництва скрапленого природного газу та стабільного бензину), а </w:t>
      </w:r>
      <w:r w:rsidRPr="00610F0B">
        <w:rPr>
          <w:rFonts w:eastAsia="Calibri"/>
          <w:lang w:val="uk-UA"/>
        </w:rPr>
        <w:br/>
        <w:t xml:space="preserve">НАК </w:t>
      </w:r>
      <w:r w:rsidR="003E22CB">
        <w:rPr>
          <w:rFonts w:eastAsia="Calibri"/>
          <w:lang w:val="uk-UA"/>
        </w:rPr>
        <w:t>«Нафтогаз України»</w:t>
      </w:r>
      <w:r w:rsidRPr="00610F0B">
        <w:rPr>
          <w:rFonts w:eastAsia="Calibri"/>
          <w:lang w:val="uk-UA"/>
        </w:rPr>
        <w:t xml:space="preserve"> - придбавати такий природний газ для забезпечення виконання покладених на </w:t>
      </w:r>
      <w:r w:rsidR="00A83F83">
        <w:rPr>
          <w:rFonts w:eastAsia="Calibri"/>
          <w:lang w:val="uk-UA"/>
        </w:rPr>
        <w:t>к</w:t>
      </w:r>
      <w:r w:rsidRPr="00610F0B">
        <w:rPr>
          <w:rFonts w:eastAsia="Calibri"/>
          <w:lang w:val="uk-UA"/>
        </w:rPr>
        <w:t>омпанію цим Положенням спеціальних обов’язків.</w:t>
      </w:r>
    </w:p>
    <w:p w:rsidR="00A3102E" w:rsidRDefault="00A3102E" w:rsidP="00A3102E">
      <w:pPr>
        <w:numPr>
          <w:ilvl w:val="0"/>
          <w:numId w:val="7"/>
        </w:numPr>
        <w:ind w:left="709" w:hanging="709"/>
        <w:contextualSpacing/>
        <w:jc w:val="both"/>
        <w:rPr>
          <w:rFonts w:eastAsia="Calibri"/>
          <w:lang w:val="uk-UA"/>
        </w:rPr>
      </w:pPr>
      <w:r w:rsidRPr="00610F0B">
        <w:rPr>
          <w:rFonts w:eastAsia="Calibri"/>
          <w:lang w:val="uk-UA"/>
        </w:rPr>
        <w:t xml:space="preserve">Відповідно до Положення про покладання спеціальних обов’язків НАК </w:t>
      </w:r>
      <w:r w:rsidR="003E22CB">
        <w:rPr>
          <w:rFonts w:eastAsia="Calibri"/>
          <w:lang w:val="uk-UA"/>
        </w:rPr>
        <w:t>«Нафтогаз України»</w:t>
      </w:r>
      <w:r w:rsidRPr="00610F0B">
        <w:rPr>
          <w:rFonts w:eastAsia="Calibri"/>
          <w:lang w:val="uk-UA"/>
        </w:rPr>
        <w:t xml:space="preserve"> виконуватиме покладені </w:t>
      </w:r>
      <w:r w:rsidR="00A83F83">
        <w:rPr>
          <w:rFonts w:eastAsia="Calibri"/>
          <w:lang w:val="uk-UA"/>
        </w:rPr>
        <w:t>на неї</w:t>
      </w:r>
      <w:r w:rsidRPr="00610F0B">
        <w:rPr>
          <w:rFonts w:eastAsia="Calibri"/>
          <w:lang w:val="uk-UA"/>
        </w:rPr>
        <w:t xml:space="preserve"> спеціальні обов’язки до 1 травня 2021 року.</w:t>
      </w:r>
    </w:p>
    <w:p w:rsidR="00A3102E" w:rsidRPr="00610F0B" w:rsidRDefault="00A3102E" w:rsidP="00A3102E">
      <w:pPr>
        <w:numPr>
          <w:ilvl w:val="0"/>
          <w:numId w:val="7"/>
        </w:numPr>
        <w:shd w:val="clear" w:color="auto" w:fill="FFFFFF"/>
        <w:ind w:left="709" w:hanging="709"/>
        <w:contextualSpacing/>
        <w:jc w:val="both"/>
        <w:rPr>
          <w:rFonts w:eastAsia="Calibri"/>
          <w:lang w:val="uk-UA"/>
        </w:rPr>
      </w:pPr>
      <w:bookmarkStart w:id="35" w:name="n170"/>
      <w:bookmarkStart w:id="36" w:name="n44"/>
      <w:bookmarkStart w:id="37" w:name="n45"/>
      <w:bookmarkStart w:id="38" w:name="n47"/>
      <w:bookmarkEnd w:id="35"/>
      <w:bookmarkEnd w:id="36"/>
      <w:bookmarkEnd w:id="37"/>
      <w:bookmarkEnd w:id="38"/>
      <w:r w:rsidRPr="00610F0B">
        <w:rPr>
          <w:rFonts w:eastAsia="Calibri"/>
          <w:lang w:val="uk-UA"/>
        </w:rPr>
        <w:t xml:space="preserve">Отже, НАК </w:t>
      </w:r>
      <w:r w:rsidR="003E22CB">
        <w:rPr>
          <w:rFonts w:eastAsia="Calibri"/>
          <w:lang w:val="uk-UA"/>
        </w:rPr>
        <w:t>«Нафтогаз України»</w:t>
      </w:r>
      <w:r w:rsidR="00A83F83">
        <w:rPr>
          <w:rFonts w:eastAsia="Calibri"/>
          <w:lang w:val="uk-UA"/>
        </w:rPr>
        <w:t>,</w:t>
      </w:r>
      <w:r w:rsidRPr="00610F0B">
        <w:rPr>
          <w:rFonts w:eastAsia="Calibri"/>
          <w:lang w:val="uk-UA"/>
        </w:rPr>
        <w:t xml:space="preserve"> з урахуванням відносин контролю</w:t>
      </w:r>
      <w:r w:rsidR="00A83F83">
        <w:rPr>
          <w:rFonts w:eastAsia="Calibri"/>
          <w:lang w:val="uk-UA"/>
        </w:rPr>
        <w:t>,</w:t>
      </w:r>
      <w:r w:rsidRPr="00610F0B">
        <w:rPr>
          <w:rFonts w:eastAsia="Calibri"/>
          <w:lang w:val="uk-UA"/>
        </w:rPr>
        <w:t xml:space="preserve"> має ознаки монопольного (домінуючого) становища на ринках природного газу.</w:t>
      </w:r>
    </w:p>
    <w:p w:rsidR="00A3102E" w:rsidRPr="00610F0B" w:rsidRDefault="00A3102E" w:rsidP="00A3102E">
      <w:pPr>
        <w:numPr>
          <w:ilvl w:val="0"/>
          <w:numId w:val="7"/>
        </w:numPr>
        <w:shd w:val="clear" w:color="auto" w:fill="FFFFFF"/>
        <w:ind w:left="709" w:hanging="709"/>
        <w:contextualSpacing/>
        <w:jc w:val="both"/>
        <w:rPr>
          <w:rFonts w:eastAsia="Calibri"/>
          <w:lang w:val="uk-UA"/>
        </w:rPr>
      </w:pPr>
      <w:r w:rsidRPr="00610F0B">
        <w:rPr>
          <w:rFonts w:eastAsia="Calibri"/>
          <w:lang w:val="uk-UA"/>
        </w:rPr>
        <w:t>За повідомленням ТОВ «Надра Юзівська», як учасника концентрації, щодо ділянки Юзівська:</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видобуток вуглеводнів на ділянці Юзівська не ведеться;</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загальна площа ділянки Юзівська становить 7</w:t>
      </w:r>
      <w:r w:rsidR="00A83F83">
        <w:rPr>
          <w:lang w:val="uk-UA"/>
        </w:rPr>
        <w:t> </w:t>
      </w:r>
      <w:r w:rsidRPr="00610F0B">
        <w:rPr>
          <w:lang w:val="uk-UA"/>
        </w:rPr>
        <w:t>886</w:t>
      </w:r>
      <w:r w:rsidR="00A83F83">
        <w:rPr>
          <w:lang w:val="uk-UA"/>
        </w:rPr>
        <w:t xml:space="preserve"> </w:t>
      </w:r>
      <w:r w:rsidRPr="00610F0B">
        <w:rPr>
          <w:lang w:val="uk-UA"/>
        </w:rPr>
        <w:t>кв. кілометрів;</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 xml:space="preserve">ділянка Юзівська включає всі осадові поклади, що залягають </w:t>
      </w:r>
      <w:r w:rsidR="00A83F83">
        <w:rPr>
          <w:lang w:val="uk-UA"/>
        </w:rPr>
        <w:t>у</w:t>
      </w:r>
      <w:r w:rsidRPr="00610F0B">
        <w:rPr>
          <w:lang w:val="uk-UA"/>
        </w:rPr>
        <w:t xml:space="preserve"> межах її периметр</w:t>
      </w:r>
      <w:r w:rsidR="00A83F83">
        <w:rPr>
          <w:lang w:val="uk-UA"/>
        </w:rPr>
        <w:t>а</w:t>
      </w:r>
      <w:r w:rsidRPr="00610F0B">
        <w:rPr>
          <w:lang w:val="uk-UA"/>
        </w:rPr>
        <w:t xml:space="preserve"> та обмежені за глибиною користування надрами відміткою 10 тис. метрів від поверхні або геологічним фундаментом (залежно від того, що буде досягнуто раніше);</w:t>
      </w:r>
    </w:p>
    <w:p w:rsidR="00A3102E" w:rsidRPr="00610F0B" w:rsidRDefault="00A3102E" w:rsidP="00A3102E">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прогноз видобутку природного газу для про</w:t>
      </w:r>
      <w:r w:rsidR="00A83F83">
        <w:rPr>
          <w:lang w:val="uk-UA"/>
        </w:rPr>
        <w:t>є</w:t>
      </w:r>
      <w:r w:rsidRPr="00610F0B">
        <w:rPr>
          <w:lang w:val="uk-UA"/>
        </w:rPr>
        <w:t>кту «Газ Центрального Басейного Типу» протягом 2011-2051 років</w:t>
      </w:r>
      <w:r w:rsidR="00A83F83">
        <w:rPr>
          <w:lang w:val="uk-UA"/>
        </w:rPr>
        <w:t>,</w:t>
      </w:r>
      <w:r w:rsidRPr="00610F0B">
        <w:rPr>
          <w:lang w:val="uk-UA"/>
        </w:rPr>
        <w:t xml:space="preserve"> розроблений компанією </w:t>
      </w:r>
      <w:proofErr w:type="spellStart"/>
      <w:r w:rsidRPr="00610F0B">
        <w:rPr>
          <w:lang w:val="uk-UA"/>
        </w:rPr>
        <w:t>Шелл</w:t>
      </w:r>
      <w:proofErr w:type="spellEnd"/>
      <w:r w:rsidRPr="00610F0B">
        <w:rPr>
          <w:lang w:val="uk-UA"/>
        </w:rPr>
        <w:t xml:space="preserve"> (на момент участі компанії </w:t>
      </w:r>
      <w:proofErr w:type="spellStart"/>
      <w:r w:rsidRPr="00610F0B">
        <w:rPr>
          <w:lang w:val="uk-UA"/>
        </w:rPr>
        <w:t>Шелл</w:t>
      </w:r>
      <w:proofErr w:type="spellEnd"/>
      <w:r w:rsidRPr="00610F0B">
        <w:rPr>
          <w:lang w:val="uk-UA"/>
        </w:rPr>
        <w:t xml:space="preserve"> в Угоді)</w:t>
      </w:r>
      <w:r w:rsidR="00A83F83">
        <w:rPr>
          <w:lang w:val="uk-UA"/>
        </w:rPr>
        <w:t>,</w:t>
      </w:r>
      <w:r w:rsidRPr="00610F0B">
        <w:rPr>
          <w:lang w:val="uk-UA"/>
        </w:rPr>
        <w:t xml:space="preserve"> </w:t>
      </w:r>
      <w:r w:rsidR="00A83F83">
        <w:rPr>
          <w:lang w:val="uk-UA"/>
        </w:rPr>
        <w:t>становив до 38 млрд</w:t>
      </w:r>
      <w:r w:rsidRPr="00610F0B">
        <w:rPr>
          <w:lang w:val="uk-UA"/>
        </w:rPr>
        <w:t xml:space="preserve"> м</w:t>
      </w:r>
      <w:r w:rsidRPr="00A83F83">
        <w:rPr>
          <w:vertAlign w:val="superscript"/>
          <w:lang w:val="uk-UA"/>
        </w:rPr>
        <w:t>3</w:t>
      </w:r>
      <w:r w:rsidRPr="00610F0B">
        <w:rPr>
          <w:lang w:val="uk-UA"/>
        </w:rPr>
        <w:t xml:space="preserve"> на рік,</w:t>
      </w:r>
      <w:r w:rsidR="00A83F83">
        <w:rPr>
          <w:lang w:val="uk-UA"/>
        </w:rPr>
        <w:t xml:space="preserve"> з урахуванням шансу успіху 10 %</w:t>
      </w:r>
      <w:r w:rsidRPr="00610F0B">
        <w:rPr>
          <w:lang w:val="uk-UA"/>
        </w:rPr>
        <w:t>, тобто 3,8 млрд м</w:t>
      </w:r>
      <w:r w:rsidRPr="00A83F83">
        <w:rPr>
          <w:vertAlign w:val="superscript"/>
          <w:lang w:val="uk-UA"/>
        </w:rPr>
        <w:t>3</w:t>
      </w:r>
      <w:r w:rsidRPr="00610F0B">
        <w:rPr>
          <w:lang w:val="uk-UA"/>
        </w:rPr>
        <w:t xml:space="preserve">  природного газу на рік.</w:t>
      </w:r>
    </w:p>
    <w:p w:rsidR="00A3102E" w:rsidRPr="0038230E" w:rsidRDefault="00A3102E" w:rsidP="00A3102E">
      <w:pPr>
        <w:tabs>
          <w:tab w:val="left" w:pos="567"/>
        </w:tabs>
        <w:ind w:left="502"/>
        <w:contextualSpacing/>
        <w:jc w:val="both"/>
        <w:rPr>
          <w:sz w:val="12"/>
          <w:szCs w:val="12"/>
          <w:lang w:val="uk-UA"/>
        </w:rPr>
      </w:pPr>
    </w:p>
    <w:p w:rsidR="00A3102E" w:rsidRPr="00610F0B" w:rsidRDefault="00A3102E" w:rsidP="00A3102E">
      <w:pPr>
        <w:numPr>
          <w:ilvl w:val="0"/>
          <w:numId w:val="7"/>
        </w:numPr>
        <w:shd w:val="clear" w:color="auto" w:fill="FFFFFF"/>
        <w:ind w:left="709" w:hanging="709"/>
        <w:contextualSpacing/>
        <w:jc w:val="both"/>
        <w:rPr>
          <w:rFonts w:eastAsia="Calibri"/>
          <w:lang w:val="uk-UA"/>
        </w:rPr>
      </w:pPr>
      <w:r w:rsidRPr="00610F0B">
        <w:rPr>
          <w:rFonts w:eastAsia="Calibri"/>
          <w:lang w:val="uk-UA"/>
        </w:rPr>
        <w:t xml:space="preserve">Враховуючи викладене у пунктах </w:t>
      </w:r>
      <w:r w:rsidR="002950FF">
        <w:rPr>
          <w:rFonts w:eastAsia="Calibri"/>
          <w:lang w:val="uk-UA"/>
        </w:rPr>
        <w:t>38</w:t>
      </w:r>
      <w:r w:rsidRPr="00610F0B">
        <w:rPr>
          <w:rFonts w:eastAsia="Calibri"/>
          <w:lang w:val="uk-UA"/>
        </w:rPr>
        <w:t xml:space="preserve"> і 4</w:t>
      </w:r>
      <w:r w:rsidR="002950FF">
        <w:rPr>
          <w:rFonts w:eastAsia="Calibri"/>
          <w:lang w:val="uk-UA"/>
        </w:rPr>
        <w:t>5</w:t>
      </w:r>
      <w:r w:rsidRPr="00610F0B">
        <w:rPr>
          <w:rFonts w:eastAsia="Calibri"/>
          <w:lang w:val="uk-UA"/>
        </w:rPr>
        <w:t xml:space="preserve"> цього рішення, придбання групою </w:t>
      </w:r>
      <w:r w:rsidRPr="00610F0B">
        <w:rPr>
          <w:rFonts w:eastAsia="Calibri"/>
          <w:lang w:val="uk-UA"/>
        </w:rPr>
        <w:br/>
        <w:t xml:space="preserve">НАК </w:t>
      </w:r>
      <w:r w:rsidR="003E22CB">
        <w:rPr>
          <w:rFonts w:eastAsia="Calibri"/>
          <w:lang w:val="uk-UA"/>
        </w:rPr>
        <w:t>«Нафтогаз України»</w:t>
      </w:r>
      <w:r w:rsidRPr="00610F0B">
        <w:rPr>
          <w:rFonts w:eastAsia="Calibri"/>
          <w:lang w:val="uk-UA"/>
        </w:rPr>
        <w:t xml:space="preserve"> частки у статутному </w:t>
      </w:r>
      <w:r w:rsidR="00A83F83">
        <w:rPr>
          <w:rFonts w:eastAsia="Calibri"/>
          <w:lang w:val="uk-UA"/>
        </w:rPr>
        <w:t xml:space="preserve">капіталі </w:t>
      </w:r>
      <w:r w:rsidRPr="00610F0B">
        <w:rPr>
          <w:rFonts w:eastAsia="Calibri"/>
          <w:lang w:val="uk-UA"/>
        </w:rPr>
        <w:t xml:space="preserve">ТОВ «Надра Юзівська» за певних умов може забезпечити групі НАК </w:t>
      </w:r>
      <w:r w:rsidR="003E22CB">
        <w:rPr>
          <w:rFonts w:eastAsia="Calibri"/>
          <w:lang w:val="uk-UA"/>
        </w:rPr>
        <w:t>«Нафтогаз України»</w:t>
      </w:r>
      <w:r w:rsidRPr="00610F0B">
        <w:rPr>
          <w:rFonts w:eastAsia="Calibri"/>
          <w:lang w:val="uk-UA"/>
        </w:rPr>
        <w:t xml:space="preserve"> видобуток природного газу </w:t>
      </w:r>
      <w:r w:rsidR="00A83F83">
        <w:rPr>
          <w:rFonts w:eastAsia="Calibri"/>
          <w:lang w:val="uk-UA"/>
        </w:rPr>
        <w:t>в</w:t>
      </w:r>
      <w:r w:rsidRPr="00610F0B">
        <w:rPr>
          <w:rFonts w:eastAsia="Calibri"/>
          <w:lang w:val="uk-UA"/>
        </w:rPr>
        <w:t xml:space="preserve"> обсягах, які пер</w:t>
      </w:r>
      <w:r w:rsidR="00F95657" w:rsidRPr="00610F0B">
        <w:rPr>
          <w:rFonts w:eastAsia="Calibri"/>
          <w:lang w:val="uk-UA"/>
        </w:rPr>
        <w:t xml:space="preserve">евищуватимуть </w:t>
      </w:r>
      <w:r w:rsidRPr="00610F0B">
        <w:rPr>
          <w:rFonts w:eastAsia="Calibri"/>
          <w:lang w:val="uk-UA"/>
        </w:rPr>
        <w:t xml:space="preserve">60 </w:t>
      </w:r>
      <w:r w:rsidR="00A83F83">
        <w:rPr>
          <w:rFonts w:eastAsia="Calibri"/>
          <w:lang w:val="uk-UA"/>
        </w:rPr>
        <w:t>%</w:t>
      </w:r>
      <w:r w:rsidRPr="00610F0B">
        <w:rPr>
          <w:rFonts w:eastAsia="Calibri"/>
          <w:lang w:val="uk-UA"/>
        </w:rPr>
        <w:t xml:space="preserve"> обсягу природного газу</w:t>
      </w:r>
      <w:r w:rsidR="00A83F83">
        <w:rPr>
          <w:rFonts w:eastAsia="Calibri"/>
          <w:lang w:val="uk-UA"/>
        </w:rPr>
        <w:t>,</w:t>
      </w:r>
      <w:r w:rsidRPr="00610F0B">
        <w:rPr>
          <w:rFonts w:eastAsia="Calibri"/>
          <w:lang w:val="uk-UA"/>
        </w:rPr>
        <w:t xml:space="preserve"> спожитого в Україні.</w:t>
      </w:r>
    </w:p>
    <w:p w:rsidR="00A3102E" w:rsidRPr="00114FCA" w:rsidRDefault="00A3102E" w:rsidP="00A3102E">
      <w:pPr>
        <w:pStyle w:val="aff8"/>
        <w:tabs>
          <w:tab w:val="left" w:pos="0"/>
          <w:tab w:val="left" w:pos="993"/>
        </w:tabs>
        <w:ind w:left="502"/>
        <w:contextualSpacing/>
        <w:jc w:val="both"/>
        <w:rPr>
          <w:sz w:val="16"/>
          <w:szCs w:val="16"/>
          <w:lang w:val="uk-UA"/>
        </w:rPr>
      </w:pPr>
    </w:p>
    <w:p w:rsidR="00A3102E" w:rsidRPr="00610F0B" w:rsidRDefault="00A3102E" w:rsidP="00A3102E">
      <w:pPr>
        <w:numPr>
          <w:ilvl w:val="0"/>
          <w:numId w:val="7"/>
        </w:numPr>
        <w:shd w:val="clear" w:color="auto" w:fill="FFFFFF"/>
        <w:ind w:left="709" w:hanging="709"/>
        <w:contextualSpacing/>
        <w:jc w:val="both"/>
        <w:rPr>
          <w:rFonts w:eastAsia="Calibri"/>
          <w:lang w:val="uk-UA"/>
        </w:rPr>
      </w:pPr>
      <w:r w:rsidRPr="00610F0B">
        <w:rPr>
          <w:rFonts w:eastAsia="Calibri"/>
          <w:lang w:val="uk-UA"/>
        </w:rPr>
        <w:t xml:space="preserve">Отже, наявна в матеріалах справи інформація дає підстави вважати, що за певних умов, за результатом концентрації, у НАК </w:t>
      </w:r>
      <w:r w:rsidR="003E22CB">
        <w:rPr>
          <w:rFonts w:eastAsia="Calibri"/>
          <w:lang w:val="uk-UA"/>
        </w:rPr>
        <w:t>«Нафтогаз України»</w:t>
      </w:r>
      <w:r w:rsidRPr="00610F0B">
        <w:rPr>
          <w:rFonts w:eastAsia="Calibri"/>
          <w:lang w:val="uk-UA"/>
        </w:rPr>
        <w:t xml:space="preserve"> існує можливість, за рахунок збільшення обсягів власного видобутку природного газу та нафти, суттєво обмежувати конкуренцію на ринках газу.</w:t>
      </w:r>
    </w:p>
    <w:p w:rsidR="00A3102E" w:rsidRPr="00610F0B" w:rsidRDefault="00A3102E" w:rsidP="00A3102E">
      <w:pPr>
        <w:numPr>
          <w:ilvl w:val="0"/>
          <w:numId w:val="7"/>
        </w:numPr>
        <w:shd w:val="clear" w:color="auto" w:fill="FFFFFF"/>
        <w:ind w:left="709" w:hanging="709"/>
        <w:contextualSpacing/>
        <w:jc w:val="both"/>
        <w:rPr>
          <w:rFonts w:eastAsia="Calibri"/>
          <w:lang w:val="uk-UA"/>
        </w:rPr>
      </w:pPr>
      <w:r w:rsidRPr="00610F0B">
        <w:rPr>
          <w:rFonts w:eastAsia="Calibri"/>
          <w:lang w:val="uk-UA"/>
        </w:rPr>
        <w:t xml:space="preserve">Враховуючи зазначене, з метою </w:t>
      </w:r>
      <w:r w:rsidR="00381823" w:rsidRPr="00610F0B">
        <w:rPr>
          <w:rFonts w:eastAsia="Calibri"/>
          <w:lang w:val="uk-UA"/>
        </w:rPr>
        <w:t xml:space="preserve">недопущення </w:t>
      </w:r>
      <w:r w:rsidRPr="00610F0B">
        <w:rPr>
          <w:rFonts w:eastAsia="Calibri"/>
          <w:lang w:val="uk-UA"/>
        </w:rPr>
        <w:t>можлив</w:t>
      </w:r>
      <w:r w:rsidR="00381823" w:rsidRPr="00610F0B">
        <w:rPr>
          <w:rFonts w:eastAsia="Calibri"/>
          <w:lang w:val="uk-UA"/>
        </w:rPr>
        <w:t>ого</w:t>
      </w:r>
      <w:r w:rsidRPr="00610F0B">
        <w:rPr>
          <w:rFonts w:eastAsia="Calibri"/>
          <w:lang w:val="uk-UA"/>
        </w:rPr>
        <w:t xml:space="preserve"> суттєвого обмеження конкуренції на ринку природного газу, дозвіл на концентрацію доцільно обумовити наданням учасникам концентрації зобов’язань.</w:t>
      </w:r>
    </w:p>
    <w:p w:rsidR="00A3102E" w:rsidRPr="00610F0B" w:rsidRDefault="00A3102E" w:rsidP="00A3102E">
      <w:pPr>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Відповідно до частини другої статті 31 Закону України «Про захист економічної конкуренції» у разі встановлення підстав для заборони концентрації, органи Антимонопольного комітету України, зокрема:</w:t>
      </w:r>
    </w:p>
    <w:p w:rsidR="00A3102E" w:rsidRPr="00610F0B" w:rsidRDefault="00A3102E" w:rsidP="00A83F83">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повідомляють їх учасників про зміст таких підстав;</w:t>
      </w:r>
    </w:p>
    <w:p w:rsidR="00A3102E" w:rsidRPr="00610F0B" w:rsidRDefault="00A3102E" w:rsidP="00A83F83">
      <w:pPr>
        <w:pStyle w:val="aff8"/>
        <w:numPr>
          <w:ilvl w:val="0"/>
          <w:numId w:val="12"/>
        </w:numPr>
        <w:tabs>
          <w:tab w:val="left" w:pos="709"/>
          <w:tab w:val="left" w:pos="851"/>
        </w:tabs>
        <w:autoSpaceDE w:val="0"/>
        <w:autoSpaceDN w:val="0"/>
        <w:adjustRightInd w:val="0"/>
        <w:contextualSpacing/>
        <w:jc w:val="both"/>
        <w:rPr>
          <w:lang w:val="uk-UA"/>
        </w:rPr>
      </w:pPr>
      <w:r w:rsidRPr="00610F0B">
        <w:rPr>
          <w:lang w:val="uk-UA"/>
        </w:rPr>
        <w:t>надають можливість учасника</w:t>
      </w:r>
      <w:r w:rsidR="00381823" w:rsidRPr="00610F0B">
        <w:rPr>
          <w:lang w:val="uk-UA"/>
        </w:rPr>
        <w:t>м концентрації надати пропозиції</w:t>
      </w:r>
      <w:r w:rsidRPr="00610F0B">
        <w:rPr>
          <w:lang w:val="uk-UA"/>
        </w:rPr>
        <w:t xml:space="preserve"> щодо зобов’язань, які готові взяти на себе учасники такої концентрації, що усувають відповідний негативний вплив концентрації на конкуренцію та дозволяють </w:t>
      </w:r>
      <w:r w:rsidRPr="00610F0B">
        <w:rPr>
          <w:lang w:val="uk-UA"/>
        </w:rPr>
        <w:lastRenderedPageBreak/>
        <w:t xml:space="preserve">органу Антимонопольного комітету України прийняти рішення про надання дозволу на концентрацію. </w:t>
      </w:r>
    </w:p>
    <w:p w:rsidR="00A3102E" w:rsidRPr="00610F0B" w:rsidRDefault="00A3102E" w:rsidP="00A3102E">
      <w:pPr>
        <w:tabs>
          <w:tab w:val="left" w:pos="709"/>
          <w:tab w:val="left" w:pos="851"/>
        </w:tabs>
        <w:autoSpaceDE w:val="0"/>
        <w:autoSpaceDN w:val="0"/>
        <w:adjustRightInd w:val="0"/>
        <w:ind w:left="709"/>
        <w:contextualSpacing/>
        <w:jc w:val="both"/>
        <w:rPr>
          <w:color w:val="333333"/>
          <w:lang w:val="uk-UA"/>
        </w:rPr>
      </w:pPr>
      <w:r w:rsidRPr="00610F0B">
        <w:rPr>
          <w:lang w:val="uk-UA"/>
        </w:rPr>
        <w:t xml:space="preserve">Разом </w:t>
      </w:r>
      <w:r w:rsidR="00A83F83">
        <w:rPr>
          <w:lang w:val="uk-UA"/>
        </w:rPr>
        <w:t>із цим</w:t>
      </w:r>
      <w:r w:rsidRPr="00610F0B">
        <w:rPr>
          <w:lang w:val="uk-UA"/>
        </w:rPr>
        <w:t xml:space="preserve"> </w:t>
      </w:r>
      <w:bookmarkStart w:id="39" w:name="n286"/>
      <w:bookmarkStart w:id="40" w:name="n287"/>
      <w:bookmarkEnd w:id="39"/>
      <w:bookmarkEnd w:id="40"/>
      <w:r w:rsidRPr="00610F0B">
        <w:rPr>
          <w:lang w:val="uk-UA"/>
        </w:rPr>
        <w:t>з</w:t>
      </w:r>
      <w:r w:rsidRPr="00610F0B">
        <w:rPr>
          <w:color w:val="333333"/>
          <w:lang w:val="uk-UA"/>
        </w:rPr>
        <w:t>обов’язання, взяті на себе учасниками концентрації, мають бути пропорційними обґрунтованим загрозам негативного впливу на конкуренцію заявленої концентрації, а вимоги щодо забезпечення контролю за виконанням учасниками концентрації взятих на себе зобов’язань не повинні бути надмірними.</w:t>
      </w:r>
    </w:p>
    <w:p w:rsidR="00A3102E" w:rsidRPr="00114FCA" w:rsidRDefault="00A3102E" w:rsidP="00A3102E">
      <w:pPr>
        <w:tabs>
          <w:tab w:val="left" w:pos="709"/>
          <w:tab w:val="left" w:pos="851"/>
        </w:tabs>
        <w:autoSpaceDE w:val="0"/>
        <w:autoSpaceDN w:val="0"/>
        <w:adjustRightInd w:val="0"/>
        <w:ind w:left="709"/>
        <w:contextualSpacing/>
        <w:jc w:val="both"/>
        <w:rPr>
          <w:color w:val="333333"/>
          <w:sz w:val="16"/>
          <w:szCs w:val="16"/>
          <w:lang w:val="uk-UA"/>
        </w:rPr>
      </w:pPr>
    </w:p>
    <w:p w:rsidR="00A3102E" w:rsidRPr="00610F0B" w:rsidRDefault="00A3102E" w:rsidP="00A3102E">
      <w:pPr>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Листом від 18 грудня 2020 року № 10/4-386-20 (зареєстрованим </w:t>
      </w:r>
      <w:r w:rsidR="00A45E50">
        <w:rPr>
          <w:lang w:val="uk-UA"/>
        </w:rPr>
        <w:t>у</w:t>
      </w:r>
      <w:r w:rsidRPr="00610F0B">
        <w:rPr>
          <w:lang w:val="uk-UA"/>
        </w:rPr>
        <w:t xml:space="preserve"> Комітеті 18.12.2020 за № 8-01/16909) НАК </w:t>
      </w:r>
      <w:r w:rsidR="003E22CB">
        <w:rPr>
          <w:lang w:val="uk-UA"/>
        </w:rPr>
        <w:t>«Нафтогаз України»</w:t>
      </w:r>
      <w:r w:rsidRPr="00610F0B">
        <w:rPr>
          <w:lang w:val="uk-UA"/>
        </w:rPr>
        <w:t xml:space="preserve"> повідоми</w:t>
      </w:r>
      <w:r w:rsidR="00146A88">
        <w:rPr>
          <w:lang w:val="uk-UA"/>
        </w:rPr>
        <w:t>ла</w:t>
      </w:r>
      <w:r w:rsidRPr="00610F0B">
        <w:rPr>
          <w:lang w:val="uk-UA"/>
        </w:rPr>
        <w:t xml:space="preserve"> про готовність, </w:t>
      </w:r>
      <w:r w:rsidR="00A45E50">
        <w:rPr>
          <w:lang w:val="uk-UA"/>
        </w:rPr>
        <w:t>і</w:t>
      </w:r>
      <w:r w:rsidRPr="00610F0B">
        <w:rPr>
          <w:lang w:val="uk-UA"/>
        </w:rPr>
        <w:t xml:space="preserve">з метою нівелювання </w:t>
      </w:r>
      <w:r w:rsidR="00A45E50">
        <w:rPr>
          <w:lang w:val="uk-UA"/>
        </w:rPr>
        <w:t>й</w:t>
      </w:r>
      <w:r w:rsidRPr="00610F0B">
        <w:rPr>
          <w:lang w:val="uk-UA"/>
        </w:rPr>
        <w:t>мовірних негативних наслідків від здійснення концентрації на ринку природного газу, взяти на себе зобов’язання:</w:t>
      </w:r>
    </w:p>
    <w:p w:rsidR="00A3102E" w:rsidRDefault="00A3102E" w:rsidP="00A3102E">
      <w:pPr>
        <w:tabs>
          <w:tab w:val="left" w:pos="709"/>
          <w:tab w:val="left" w:pos="851"/>
        </w:tabs>
        <w:autoSpaceDE w:val="0"/>
        <w:autoSpaceDN w:val="0"/>
        <w:adjustRightInd w:val="0"/>
        <w:ind w:left="709"/>
        <w:contextualSpacing/>
        <w:jc w:val="both"/>
        <w:rPr>
          <w:lang w:val="uk-UA"/>
        </w:rPr>
      </w:pPr>
      <w:r w:rsidRPr="00610F0B">
        <w:rPr>
          <w:lang w:val="uk-UA"/>
        </w:rPr>
        <w:t xml:space="preserve">після здійснення концентрації забезпечити пропозицію щодо продажу на конкурентних засадах, а саме на товарних біржах, природного газу </w:t>
      </w:r>
      <w:r w:rsidR="00A45E50" w:rsidRPr="00610F0B">
        <w:rPr>
          <w:lang w:val="uk-UA"/>
        </w:rPr>
        <w:t>обсяг</w:t>
      </w:r>
      <w:r w:rsidR="00A45E50">
        <w:rPr>
          <w:lang w:val="uk-UA"/>
        </w:rPr>
        <w:t>ом</w:t>
      </w:r>
      <w:r w:rsidRPr="00610F0B">
        <w:rPr>
          <w:lang w:val="uk-UA"/>
        </w:rPr>
        <w:t xml:space="preserve"> </w:t>
      </w:r>
      <w:r w:rsidRPr="00610F0B">
        <w:rPr>
          <w:lang w:val="uk-UA"/>
        </w:rPr>
        <w:br/>
        <w:t xml:space="preserve">не менше 15 </w:t>
      </w:r>
      <w:r w:rsidR="00A45E50">
        <w:rPr>
          <w:lang w:val="uk-UA"/>
        </w:rPr>
        <w:t>%</w:t>
      </w:r>
      <w:r w:rsidRPr="00610F0B">
        <w:rPr>
          <w:lang w:val="uk-UA"/>
        </w:rPr>
        <w:t xml:space="preserve"> загального обсягу товарного газу, видобутого протягом року суб’єктами господарювання, що </w:t>
      </w:r>
      <w:r w:rsidR="00A45E50">
        <w:rPr>
          <w:lang w:val="uk-UA"/>
        </w:rPr>
        <w:t xml:space="preserve">пов’язані відносинами контролю </w:t>
      </w:r>
      <w:r w:rsidRPr="00610F0B">
        <w:rPr>
          <w:lang w:val="uk-UA"/>
        </w:rPr>
        <w:t xml:space="preserve">з акціонерним товариством «Національна акціонерна компанія </w:t>
      </w:r>
      <w:r w:rsidR="003E22CB">
        <w:rPr>
          <w:lang w:val="uk-UA"/>
        </w:rPr>
        <w:t>«Нафтогаз України»</w:t>
      </w:r>
      <w:r w:rsidRPr="00610F0B">
        <w:rPr>
          <w:lang w:val="uk-UA"/>
        </w:rPr>
        <w:t xml:space="preserve"> </w:t>
      </w:r>
      <w:r w:rsidRPr="00610F0B">
        <w:rPr>
          <w:lang w:val="uk-UA"/>
        </w:rPr>
        <w:br/>
        <w:t xml:space="preserve">(крім ПАТ «Укрнафта») та здійснюють видобування природного газу на території України, враховуючи обсяги природного газу, видобуті </w:t>
      </w:r>
      <w:r w:rsidR="00A45E50">
        <w:rPr>
          <w:lang w:val="uk-UA"/>
        </w:rPr>
        <w:t>в</w:t>
      </w:r>
      <w:r w:rsidRPr="00610F0B">
        <w:rPr>
          <w:lang w:val="uk-UA"/>
        </w:rPr>
        <w:t xml:space="preserve"> межах ділянки Юзівська та набуті у власність за Угодою від 24.01.2013 про розподіл вуглеводнів, які видобуватимуться в межах ділянки Юзівська, зменшеного на обсяги газу, реалізовані на виконання статті 11 Закону України «Про ринок природного газу». </w:t>
      </w:r>
    </w:p>
    <w:p w:rsidR="002B2C15" w:rsidRPr="00610F0B" w:rsidRDefault="002B2C15" w:rsidP="002B2C15">
      <w:pPr>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Разом </w:t>
      </w:r>
      <w:r w:rsidR="00A45E50">
        <w:rPr>
          <w:lang w:val="uk-UA"/>
        </w:rPr>
        <w:t>і</w:t>
      </w:r>
      <w:r w:rsidRPr="00610F0B">
        <w:rPr>
          <w:lang w:val="uk-UA"/>
        </w:rPr>
        <w:t xml:space="preserve">з тим НАК </w:t>
      </w:r>
      <w:r w:rsidR="003E22CB">
        <w:rPr>
          <w:lang w:val="uk-UA"/>
        </w:rPr>
        <w:t>«Нафтогаз України»</w:t>
      </w:r>
      <w:r w:rsidRPr="00610F0B">
        <w:rPr>
          <w:lang w:val="uk-UA"/>
        </w:rPr>
        <w:t xml:space="preserve"> </w:t>
      </w:r>
      <w:r w:rsidR="00A45E50" w:rsidRPr="00610F0B">
        <w:rPr>
          <w:lang w:val="uk-UA"/>
        </w:rPr>
        <w:t>повідом</w:t>
      </w:r>
      <w:r w:rsidR="00A45E50">
        <w:rPr>
          <w:lang w:val="uk-UA"/>
        </w:rPr>
        <w:t>ила</w:t>
      </w:r>
      <w:r w:rsidRPr="00610F0B">
        <w:rPr>
          <w:lang w:val="uk-UA"/>
        </w:rPr>
        <w:t xml:space="preserve"> про те</w:t>
      </w:r>
      <w:r w:rsidR="00A45E50">
        <w:rPr>
          <w:lang w:val="uk-UA"/>
        </w:rPr>
        <w:t>,</w:t>
      </w:r>
      <w:r w:rsidRPr="00610F0B">
        <w:rPr>
          <w:lang w:val="uk-UA"/>
        </w:rPr>
        <w:t xml:space="preserve"> що під визначенням «товарний газ» розуміється природний газ власного видобутку, крім обсягів виробничо-технологічних витрат, обсягів, які використовуються для власних потреб видобувних підприємств, пов’язаних із видобутком, підготовкою до транспортування і транспортуванням природного газу, а також для виробництва скрапленого природного газу та стабільного бензину.</w:t>
      </w:r>
    </w:p>
    <w:p w:rsidR="002B2C15" w:rsidRDefault="002B2C15" w:rsidP="002B2C15">
      <w:pPr>
        <w:numPr>
          <w:ilvl w:val="0"/>
          <w:numId w:val="7"/>
        </w:numPr>
        <w:tabs>
          <w:tab w:val="left" w:pos="709"/>
          <w:tab w:val="left" w:pos="851"/>
        </w:tabs>
        <w:autoSpaceDE w:val="0"/>
        <w:autoSpaceDN w:val="0"/>
        <w:adjustRightInd w:val="0"/>
        <w:ind w:left="709" w:hanging="709"/>
        <w:contextualSpacing/>
        <w:jc w:val="both"/>
        <w:rPr>
          <w:lang w:val="uk-UA"/>
        </w:rPr>
      </w:pPr>
      <w:r>
        <w:rPr>
          <w:lang w:val="uk-UA"/>
        </w:rPr>
        <w:t>Також у</w:t>
      </w:r>
      <w:r w:rsidRPr="00610F0B">
        <w:rPr>
          <w:lang w:val="uk-UA"/>
        </w:rPr>
        <w:t xml:space="preserve"> листі</w:t>
      </w:r>
      <w:r>
        <w:rPr>
          <w:lang w:val="uk-UA"/>
        </w:rPr>
        <w:t xml:space="preserve"> </w:t>
      </w:r>
      <w:r w:rsidRPr="00610F0B">
        <w:rPr>
          <w:lang w:val="uk-UA"/>
        </w:rPr>
        <w:t xml:space="preserve">від 18 грудня 2020 року № 10/4-386-20 НАК </w:t>
      </w:r>
      <w:r w:rsidR="003E22CB">
        <w:rPr>
          <w:lang w:val="uk-UA"/>
        </w:rPr>
        <w:t>«Нафтогаз України»</w:t>
      </w:r>
      <w:r w:rsidRPr="00610F0B">
        <w:rPr>
          <w:lang w:val="uk-UA"/>
        </w:rPr>
        <w:t xml:space="preserve"> запропонува</w:t>
      </w:r>
      <w:r w:rsidR="00A45E50">
        <w:rPr>
          <w:lang w:val="uk-UA"/>
        </w:rPr>
        <w:t>ла</w:t>
      </w:r>
      <w:r w:rsidRPr="00610F0B">
        <w:rPr>
          <w:lang w:val="uk-UA"/>
        </w:rPr>
        <w:t>, з метою забезпечення Комітет</w:t>
      </w:r>
      <w:r w:rsidR="00A45E50">
        <w:rPr>
          <w:lang w:val="uk-UA"/>
        </w:rPr>
        <w:t>ом</w:t>
      </w:r>
      <w:r w:rsidRPr="00610F0B">
        <w:rPr>
          <w:lang w:val="uk-UA"/>
        </w:rPr>
        <w:t xml:space="preserve"> моніторингу виконання </w:t>
      </w:r>
      <w:r w:rsidRPr="00610F0B">
        <w:rPr>
          <w:lang w:val="uk-UA"/>
        </w:rPr>
        <w:br/>
        <w:t xml:space="preserve">НАК </w:t>
      </w:r>
      <w:r w:rsidR="003E22CB">
        <w:rPr>
          <w:lang w:val="uk-UA"/>
        </w:rPr>
        <w:t>«Нафтогаз України»</w:t>
      </w:r>
      <w:r w:rsidRPr="00610F0B">
        <w:rPr>
          <w:lang w:val="uk-UA"/>
        </w:rPr>
        <w:t xml:space="preserve"> накладених на </w:t>
      </w:r>
      <w:r w:rsidR="003E22CB">
        <w:rPr>
          <w:lang w:val="uk-UA"/>
        </w:rPr>
        <w:t>її</w:t>
      </w:r>
      <w:r w:rsidRPr="00610F0B">
        <w:rPr>
          <w:lang w:val="uk-UA"/>
        </w:rPr>
        <w:t xml:space="preserve"> зобов’язань</w:t>
      </w:r>
      <w:r w:rsidR="00A45E50">
        <w:rPr>
          <w:lang w:val="uk-UA"/>
        </w:rPr>
        <w:t>,</w:t>
      </w:r>
      <w:r w:rsidRPr="00610F0B">
        <w:rPr>
          <w:lang w:val="uk-UA"/>
        </w:rPr>
        <w:t xml:space="preserve"> щорічно, до 01 березня кожного року, починаючи з 01 березня 2022 року</w:t>
      </w:r>
      <w:r w:rsidR="00A45E50">
        <w:rPr>
          <w:lang w:val="uk-UA"/>
        </w:rPr>
        <w:t>,</w:t>
      </w:r>
      <w:r w:rsidRPr="00610F0B">
        <w:rPr>
          <w:lang w:val="uk-UA"/>
        </w:rPr>
        <w:t xml:space="preserve"> та не менше ніж 3 роки з моменту початку видобутку природного газу на ділянці Юзівська, надавати Антимонопольному комітету України звіт про виконання взятих на себе зобов’язань, за рік, що передує року надання звіту.</w:t>
      </w:r>
    </w:p>
    <w:p w:rsidR="00114FCA" w:rsidRPr="00610F0B" w:rsidRDefault="00114FCA" w:rsidP="00114FCA">
      <w:pPr>
        <w:tabs>
          <w:tab w:val="left" w:pos="709"/>
          <w:tab w:val="left" w:pos="851"/>
        </w:tabs>
        <w:autoSpaceDE w:val="0"/>
        <w:autoSpaceDN w:val="0"/>
        <w:adjustRightInd w:val="0"/>
        <w:ind w:left="709"/>
        <w:contextualSpacing/>
        <w:jc w:val="both"/>
        <w:rPr>
          <w:lang w:val="uk-UA"/>
        </w:rPr>
      </w:pPr>
    </w:p>
    <w:p w:rsidR="00146A88" w:rsidRPr="002B2C15" w:rsidRDefault="00146A88" w:rsidP="002B2C15">
      <w:pPr>
        <w:numPr>
          <w:ilvl w:val="0"/>
          <w:numId w:val="7"/>
        </w:numPr>
        <w:tabs>
          <w:tab w:val="left" w:pos="709"/>
          <w:tab w:val="left" w:pos="851"/>
        </w:tabs>
        <w:autoSpaceDE w:val="0"/>
        <w:autoSpaceDN w:val="0"/>
        <w:adjustRightInd w:val="0"/>
        <w:ind w:left="709" w:hanging="709"/>
        <w:contextualSpacing/>
        <w:jc w:val="both"/>
        <w:rPr>
          <w:lang w:val="uk-UA"/>
        </w:rPr>
      </w:pPr>
      <w:r w:rsidRPr="002B2C15">
        <w:rPr>
          <w:lang w:val="uk-UA"/>
        </w:rPr>
        <w:t xml:space="preserve">Одночасно </w:t>
      </w:r>
      <w:r w:rsidR="00BA5F78" w:rsidRPr="002B2C15">
        <w:rPr>
          <w:lang w:val="uk-UA"/>
        </w:rPr>
        <w:t xml:space="preserve">листом від 24.12.2020 № 10/4-402-20 </w:t>
      </w:r>
      <w:r w:rsidRPr="002B2C15">
        <w:rPr>
          <w:lang w:val="uk-UA"/>
        </w:rPr>
        <w:t xml:space="preserve">НАК </w:t>
      </w:r>
      <w:r w:rsidR="003E22CB">
        <w:rPr>
          <w:lang w:val="uk-UA"/>
        </w:rPr>
        <w:t>«Нафтогаз України»</w:t>
      </w:r>
      <w:r w:rsidR="002B2C15" w:rsidRPr="002B2C15">
        <w:rPr>
          <w:lang w:val="uk-UA"/>
        </w:rPr>
        <w:t xml:space="preserve"> підтвердило готовність взяти на себе зобов’язання</w:t>
      </w:r>
      <w:r w:rsidR="00A45E50">
        <w:rPr>
          <w:lang w:val="uk-UA"/>
        </w:rPr>
        <w:t>,</w:t>
      </w:r>
      <w:r w:rsidR="002B2C15" w:rsidRPr="002B2C15">
        <w:rPr>
          <w:lang w:val="uk-UA"/>
        </w:rPr>
        <w:t xml:space="preserve"> зазначені</w:t>
      </w:r>
      <w:r w:rsidR="00A45E50">
        <w:rPr>
          <w:lang w:val="uk-UA"/>
        </w:rPr>
        <w:t xml:space="preserve"> в</w:t>
      </w:r>
      <w:r w:rsidR="002B2C15" w:rsidRPr="002B2C15">
        <w:rPr>
          <w:lang w:val="uk-UA"/>
        </w:rPr>
        <w:t xml:space="preserve"> пункт</w:t>
      </w:r>
      <w:r w:rsidR="00A45E50">
        <w:rPr>
          <w:lang w:val="uk-UA"/>
        </w:rPr>
        <w:t>ах</w:t>
      </w:r>
      <w:r w:rsidR="002B2C15" w:rsidRPr="002B2C15">
        <w:rPr>
          <w:lang w:val="uk-UA"/>
        </w:rPr>
        <w:t xml:space="preserve"> 50 та 52 цього рішення, та надало обґрунтовані пояснення щодо </w:t>
      </w:r>
      <w:r w:rsidRPr="002B2C15">
        <w:rPr>
          <w:lang w:val="uk-UA"/>
        </w:rPr>
        <w:t xml:space="preserve">виключення показників </w:t>
      </w:r>
      <w:r w:rsidR="002B2C15">
        <w:rPr>
          <w:lang w:val="uk-UA"/>
        </w:rPr>
        <w:br/>
      </w:r>
      <w:r w:rsidRPr="002B2C15">
        <w:rPr>
          <w:lang w:val="uk-UA"/>
        </w:rPr>
        <w:t xml:space="preserve">ПАТ «Укрнафта» під час підрахунку загального обсягу товарного газу, видобутого протягом року суб’єктами господарювання, що пов’язані відносинами контролю з акціонерним товариством «Національна акціонерна компанія </w:t>
      </w:r>
      <w:r w:rsidR="003E22CB">
        <w:rPr>
          <w:lang w:val="uk-UA"/>
        </w:rPr>
        <w:t>«Нафтогаз України»</w:t>
      </w:r>
      <w:r w:rsidRPr="002B2C15">
        <w:rPr>
          <w:lang w:val="uk-UA"/>
        </w:rPr>
        <w:t>.</w:t>
      </w:r>
    </w:p>
    <w:p w:rsidR="00146A88" w:rsidRPr="00146A88" w:rsidRDefault="00A45E50" w:rsidP="00146A88">
      <w:pPr>
        <w:tabs>
          <w:tab w:val="left" w:pos="709"/>
          <w:tab w:val="left" w:pos="851"/>
        </w:tabs>
        <w:autoSpaceDE w:val="0"/>
        <w:autoSpaceDN w:val="0"/>
        <w:adjustRightInd w:val="0"/>
        <w:ind w:left="709"/>
        <w:contextualSpacing/>
        <w:jc w:val="both"/>
        <w:rPr>
          <w:lang w:val="uk-UA"/>
        </w:rPr>
      </w:pPr>
      <w:r>
        <w:rPr>
          <w:lang w:val="uk-UA"/>
        </w:rPr>
        <w:t>Акціонерне товариство «</w:t>
      </w:r>
      <w:r w:rsidR="00146A88" w:rsidRPr="00146A88">
        <w:rPr>
          <w:lang w:val="uk-UA"/>
        </w:rPr>
        <w:t xml:space="preserve">Національна акціонерна компанія </w:t>
      </w:r>
      <w:r w:rsidR="003E22CB">
        <w:rPr>
          <w:lang w:val="uk-UA"/>
        </w:rPr>
        <w:t>«Нафтогаз України»</w:t>
      </w:r>
      <w:r w:rsidR="00146A88" w:rsidRPr="00146A88">
        <w:rPr>
          <w:lang w:val="uk-UA"/>
        </w:rPr>
        <w:t xml:space="preserve"> є акціонером і володіє простими іменними акціями Публічного акціонерного товариства </w:t>
      </w:r>
      <w:r>
        <w:rPr>
          <w:lang w:val="uk-UA"/>
        </w:rPr>
        <w:t>«</w:t>
      </w:r>
      <w:r w:rsidR="00146A88" w:rsidRPr="00146A88">
        <w:rPr>
          <w:lang w:val="uk-UA"/>
        </w:rPr>
        <w:t>Укрнафта</w:t>
      </w:r>
      <w:r>
        <w:rPr>
          <w:lang w:val="uk-UA"/>
        </w:rPr>
        <w:t>» у кількості 27 </w:t>
      </w:r>
      <w:r w:rsidR="00146A88" w:rsidRPr="00146A88">
        <w:rPr>
          <w:lang w:val="uk-UA"/>
        </w:rPr>
        <w:t>114</w:t>
      </w:r>
      <w:r>
        <w:rPr>
          <w:lang w:val="uk-UA"/>
        </w:rPr>
        <w:t> </w:t>
      </w:r>
      <w:r w:rsidR="00146A88" w:rsidRPr="00146A88">
        <w:rPr>
          <w:lang w:val="uk-UA"/>
        </w:rPr>
        <w:t>256</w:t>
      </w:r>
      <w:r>
        <w:rPr>
          <w:lang w:val="uk-UA"/>
        </w:rPr>
        <w:t xml:space="preserve"> </w:t>
      </w:r>
      <w:r w:rsidR="00146A88" w:rsidRPr="00146A88">
        <w:rPr>
          <w:lang w:val="uk-UA"/>
        </w:rPr>
        <w:t>(двадцять сім мільйонів сто чотирнадцять тисяч двісті п’ятдесят шість) штук, що становить 50</w:t>
      </w:r>
      <w:r>
        <w:rPr>
          <w:lang w:val="uk-UA"/>
        </w:rPr>
        <w:t xml:space="preserve"> </w:t>
      </w:r>
      <w:r w:rsidR="00146A88" w:rsidRPr="00146A88">
        <w:rPr>
          <w:lang w:val="uk-UA"/>
        </w:rPr>
        <w:t xml:space="preserve">%+1 акція статутного капіталу ПАТ </w:t>
      </w:r>
      <w:r>
        <w:rPr>
          <w:lang w:val="uk-UA"/>
        </w:rPr>
        <w:t>«</w:t>
      </w:r>
      <w:r w:rsidR="00146A88" w:rsidRPr="00146A88">
        <w:rPr>
          <w:lang w:val="uk-UA"/>
        </w:rPr>
        <w:t>Укрнафта</w:t>
      </w:r>
      <w:r>
        <w:rPr>
          <w:lang w:val="uk-UA"/>
        </w:rPr>
        <w:t>»</w:t>
      </w:r>
      <w:r w:rsidR="00146A88" w:rsidRPr="00146A88">
        <w:rPr>
          <w:lang w:val="uk-UA"/>
        </w:rPr>
        <w:t xml:space="preserve">. Всього </w:t>
      </w:r>
      <w:r>
        <w:rPr>
          <w:lang w:val="uk-UA"/>
        </w:rPr>
        <w:t>в</w:t>
      </w:r>
      <w:r w:rsidR="00146A88" w:rsidRPr="00146A88">
        <w:rPr>
          <w:lang w:val="uk-UA"/>
        </w:rPr>
        <w:t xml:space="preserve"> ПАТ «Укрнафта» близько </w:t>
      </w:r>
      <w:r>
        <w:rPr>
          <w:lang w:val="uk-UA"/>
        </w:rPr>
        <w:br/>
      </w:r>
      <w:r w:rsidR="00146A88" w:rsidRPr="00146A88">
        <w:rPr>
          <w:lang w:val="uk-UA"/>
        </w:rPr>
        <w:t>2</w:t>
      </w:r>
      <w:r>
        <w:rPr>
          <w:lang w:val="uk-UA"/>
        </w:rPr>
        <w:t> </w:t>
      </w:r>
      <w:r w:rsidR="00146A88" w:rsidRPr="00146A88">
        <w:rPr>
          <w:lang w:val="uk-UA"/>
        </w:rPr>
        <w:t>000</w:t>
      </w:r>
      <w:r>
        <w:rPr>
          <w:lang w:val="uk-UA"/>
        </w:rPr>
        <w:t xml:space="preserve"> </w:t>
      </w:r>
      <w:r w:rsidR="00146A88" w:rsidRPr="00146A88">
        <w:rPr>
          <w:lang w:val="uk-UA"/>
        </w:rPr>
        <w:t xml:space="preserve">акціонерів. </w:t>
      </w:r>
    </w:p>
    <w:p w:rsidR="00146A88" w:rsidRPr="00146A88" w:rsidRDefault="00146A88" w:rsidP="00146A88">
      <w:pPr>
        <w:tabs>
          <w:tab w:val="left" w:pos="709"/>
          <w:tab w:val="left" w:pos="851"/>
        </w:tabs>
        <w:autoSpaceDE w:val="0"/>
        <w:autoSpaceDN w:val="0"/>
        <w:adjustRightInd w:val="0"/>
        <w:ind w:left="709"/>
        <w:contextualSpacing/>
        <w:jc w:val="both"/>
        <w:rPr>
          <w:lang w:val="uk-UA"/>
        </w:rPr>
      </w:pPr>
      <w:r w:rsidRPr="00146A88">
        <w:rPr>
          <w:lang w:val="uk-UA"/>
        </w:rPr>
        <w:t>Прийняття рішення про продаж на конкурентних засадах, а саме на то</w:t>
      </w:r>
      <w:r w:rsidR="00A45E50">
        <w:rPr>
          <w:lang w:val="uk-UA"/>
        </w:rPr>
        <w:t>варних біржах, природного газу</w:t>
      </w:r>
      <w:r w:rsidRPr="00146A88">
        <w:rPr>
          <w:lang w:val="uk-UA"/>
        </w:rPr>
        <w:t xml:space="preserve"> </w:t>
      </w:r>
      <w:proofErr w:type="spellStart"/>
      <w:r w:rsidRPr="00146A88">
        <w:rPr>
          <w:lang w:val="uk-UA"/>
        </w:rPr>
        <w:t>обсяз</w:t>
      </w:r>
      <w:r w:rsidR="00A45E50">
        <w:rPr>
          <w:lang w:val="uk-UA"/>
        </w:rPr>
        <w:t>ом</w:t>
      </w:r>
      <w:proofErr w:type="spellEnd"/>
      <w:r w:rsidRPr="00146A88">
        <w:rPr>
          <w:lang w:val="uk-UA"/>
        </w:rPr>
        <w:t xml:space="preserve"> не менше 15 </w:t>
      </w:r>
      <w:r w:rsidR="00A45E50">
        <w:rPr>
          <w:lang w:val="uk-UA"/>
        </w:rPr>
        <w:t>%</w:t>
      </w:r>
      <w:r w:rsidRPr="00146A88">
        <w:rPr>
          <w:lang w:val="uk-UA"/>
        </w:rPr>
        <w:t xml:space="preserve"> загального обсягу товарного газу, видобутого ПАТ «Укрнафта» протягом року є, по</w:t>
      </w:r>
      <w:r w:rsidR="00A45E50">
        <w:rPr>
          <w:lang w:val="uk-UA"/>
        </w:rPr>
        <w:t xml:space="preserve"> </w:t>
      </w:r>
      <w:r w:rsidRPr="00146A88">
        <w:rPr>
          <w:lang w:val="uk-UA"/>
        </w:rPr>
        <w:t xml:space="preserve">суті, обмеженням способу реалізації продукції товариства, яке за певних обставин може негативно впливати на фінансовий результат </w:t>
      </w:r>
      <w:r>
        <w:rPr>
          <w:lang w:val="uk-UA"/>
        </w:rPr>
        <w:t>ПАТ «Укрнафта».</w:t>
      </w:r>
      <w:r w:rsidRPr="00146A88">
        <w:rPr>
          <w:lang w:val="uk-UA"/>
        </w:rPr>
        <w:t xml:space="preserve"> </w:t>
      </w:r>
    </w:p>
    <w:p w:rsidR="00146A88" w:rsidRPr="00146A88" w:rsidRDefault="00146A88" w:rsidP="00146A88">
      <w:pPr>
        <w:tabs>
          <w:tab w:val="left" w:pos="709"/>
          <w:tab w:val="left" w:pos="851"/>
        </w:tabs>
        <w:autoSpaceDE w:val="0"/>
        <w:autoSpaceDN w:val="0"/>
        <w:adjustRightInd w:val="0"/>
        <w:ind w:left="709"/>
        <w:contextualSpacing/>
        <w:jc w:val="both"/>
        <w:rPr>
          <w:lang w:val="uk-UA"/>
        </w:rPr>
      </w:pPr>
      <w:r w:rsidRPr="00146A88">
        <w:rPr>
          <w:lang w:val="uk-UA"/>
        </w:rPr>
        <w:lastRenderedPageBreak/>
        <w:t xml:space="preserve">Визначення способу реалізації продукції є повноваженням виконавчого органу товариства в межах його компетенції, визначеної статутом. Відповідно до вимог статті 13 Закону України «Про акціонерні товариства» компетенція органів управління товариства, зокрема виконавчого органу, має бути визначена у статуті товариства. Відповідно до частини </w:t>
      </w:r>
      <w:proofErr w:type="spellStart"/>
      <w:r w:rsidR="0038230E">
        <w:rPr>
          <w:lang w:val="uk-UA"/>
        </w:rPr>
        <w:t>пятої</w:t>
      </w:r>
      <w:proofErr w:type="spellEnd"/>
      <w:r w:rsidRPr="00146A88">
        <w:rPr>
          <w:lang w:val="uk-UA"/>
        </w:rPr>
        <w:t xml:space="preserve"> статті 42 Закону України «Про акціонерні товариства» внесення змін до статуту товариства приймається більш як трьома чвертями голосів акціонерів, які зареєструвалися для участі у загальних зборах та є власниками голосуючих з відповідного питання акцій. Оскільки Компанія не є єдиним акціонером та не володіє пакетом акцій товариства, достатнім для забезпечення прийняття рішень більш як трьома чвертями голосів, Компанія не може забезпечити внесення зазначених обмежень до статуту ПАТ «Укрнафта». </w:t>
      </w:r>
    </w:p>
    <w:p w:rsidR="00146A88" w:rsidRPr="00146A88" w:rsidRDefault="00146A88" w:rsidP="00146A88">
      <w:pPr>
        <w:tabs>
          <w:tab w:val="left" w:pos="709"/>
          <w:tab w:val="left" w:pos="851"/>
        </w:tabs>
        <w:autoSpaceDE w:val="0"/>
        <w:autoSpaceDN w:val="0"/>
        <w:adjustRightInd w:val="0"/>
        <w:ind w:left="709"/>
        <w:contextualSpacing/>
        <w:jc w:val="both"/>
        <w:rPr>
          <w:lang w:val="uk-UA"/>
        </w:rPr>
      </w:pPr>
      <w:r w:rsidRPr="00146A88">
        <w:rPr>
          <w:lang w:val="uk-UA"/>
        </w:rPr>
        <w:t>Відповідно до Угоди між ВАТ</w:t>
      </w:r>
      <w:r w:rsidRPr="00146A88">
        <w:rPr>
          <w:vertAlign w:val="superscript"/>
        </w:rPr>
        <w:footnoteReference w:id="2"/>
      </w:r>
      <w:r w:rsidRPr="00146A88">
        <w:rPr>
          <w:lang w:val="uk-UA"/>
        </w:rPr>
        <w:t xml:space="preserve"> «Укрнафта», міноритарними акціонерами та власником контрольного пакет</w:t>
      </w:r>
      <w:r w:rsidR="0038230E">
        <w:rPr>
          <w:lang w:val="uk-UA"/>
        </w:rPr>
        <w:t>а</w:t>
      </w:r>
      <w:r w:rsidRPr="00146A88">
        <w:rPr>
          <w:lang w:val="uk-UA"/>
        </w:rPr>
        <w:t xml:space="preserve"> акцій ВАТ «Укрнафта» про взаєморозуміння та співпрацю, укладеної 25 січня 2010 року (далі – Акціонерна угода), кожна сторона зобов’язується не вчиняти дій, спрямованих на забезпечення пріоритетності їх корпоративних прав перед правами інших сторін цієї угоди, так і акціонерів </w:t>
      </w:r>
      <w:r w:rsidR="0038230E">
        <w:rPr>
          <w:lang w:val="uk-UA"/>
        </w:rPr>
        <w:br/>
      </w:r>
      <w:r w:rsidRPr="00146A88">
        <w:rPr>
          <w:lang w:val="uk-UA"/>
        </w:rPr>
        <w:t>ПАТ «Укрнафта», не вчиняти дій, спрямованих на порушення прав, дискримінацію товариства, інших сторін цієї Угоди, а також акціонерів товариства.</w:t>
      </w:r>
    </w:p>
    <w:p w:rsidR="00146A88" w:rsidRDefault="00146A88" w:rsidP="00146A88">
      <w:pPr>
        <w:tabs>
          <w:tab w:val="left" w:pos="709"/>
          <w:tab w:val="left" w:pos="851"/>
        </w:tabs>
        <w:autoSpaceDE w:val="0"/>
        <w:autoSpaceDN w:val="0"/>
        <w:adjustRightInd w:val="0"/>
        <w:ind w:left="709"/>
        <w:contextualSpacing/>
        <w:jc w:val="both"/>
        <w:rPr>
          <w:lang w:val="uk-UA"/>
        </w:rPr>
      </w:pPr>
      <w:r w:rsidRPr="00146A88">
        <w:rPr>
          <w:lang w:val="uk-UA"/>
        </w:rPr>
        <w:t xml:space="preserve">Спроба прийняття рішення про зобов’язання виконавчого органу ПАТ «Укрнафта» забезпечити пропозицію щодо продажу на конкурентних засадах, а саме на товарних біржах, природного газу </w:t>
      </w:r>
      <w:r w:rsidR="0038230E">
        <w:rPr>
          <w:lang w:val="uk-UA"/>
        </w:rPr>
        <w:t>о</w:t>
      </w:r>
      <w:r w:rsidRPr="00146A88">
        <w:rPr>
          <w:lang w:val="uk-UA"/>
        </w:rPr>
        <w:t>бся</w:t>
      </w:r>
      <w:r w:rsidR="0038230E">
        <w:rPr>
          <w:lang w:val="uk-UA"/>
        </w:rPr>
        <w:t>гом</w:t>
      </w:r>
      <w:r w:rsidRPr="00146A88">
        <w:rPr>
          <w:lang w:val="uk-UA"/>
        </w:rPr>
        <w:t xml:space="preserve"> не менше 15 </w:t>
      </w:r>
      <w:r w:rsidR="0038230E">
        <w:rPr>
          <w:lang w:val="uk-UA"/>
        </w:rPr>
        <w:t>%</w:t>
      </w:r>
      <w:r w:rsidRPr="00146A88">
        <w:rPr>
          <w:lang w:val="uk-UA"/>
        </w:rPr>
        <w:t xml:space="preserve"> від загального обсягу товарного газу, видобутого ПАТ «Укрнафта» протягом року, шляхом прийняття рішення загальними зборами акціонерів ПАТ «Укрнафта» простою більшістю голосів без внесення відповідних змін до статуту товариства може бути кваліфікована як порушення законодавства та зобов’язань </w:t>
      </w:r>
      <w:r>
        <w:rPr>
          <w:lang w:val="uk-UA"/>
        </w:rPr>
        <w:t>к</w:t>
      </w:r>
      <w:r w:rsidRPr="00146A88">
        <w:rPr>
          <w:lang w:val="uk-UA"/>
        </w:rPr>
        <w:t xml:space="preserve">омпанії за Акціонерною угодою. </w:t>
      </w:r>
      <w:r w:rsidR="0038230E">
        <w:rPr>
          <w:lang w:val="uk-UA"/>
        </w:rPr>
        <w:t>У</w:t>
      </w:r>
      <w:r w:rsidRPr="00146A88">
        <w:rPr>
          <w:lang w:val="uk-UA"/>
        </w:rPr>
        <w:t xml:space="preserve"> результаті </w:t>
      </w:r>
      <w:r w:rsidR="0038230E">
        <w:rPr>
          <w:lang w:val="uk-UA"/>
        </w:rPr>
        <w:t>зазначених</w:t>
      </w:r>
      <w:r w:rsidRPr="00146A88">
        <w:rPr>
          <w:lang w:val="uk-UA"/>
        </w:rPr>
        <w:t xml:space="preserve"> дій існує значний ризик оскарження таких рішень </w:t>
      </w:r>
      <w:r w:rsidR="0038230E">
        <w:rPr>
          <w:lang w:val="uk-UA"/>
        </w:rPr>
        <w:t>у</w:t>
      </w:r>
      <w:r w:rsidRPr="00146A88">
        <w:rPr>
          <w:lang w:val="uk-UA"/>
        </w:rPr>
        <w:t xml:space="preserve"> суді та/або </w:t>
      </w:r>
      <w:r w:rsidR="0038230E">
        <w:rPr>
          <w:lang w:val="uk-UA"/>
        </w:rPr>
        <w:t>в</w:t>
      </w:r>
      <w:r w:rsidRPr="00146A88">
        <w:rPr>
          <w:lang w:val="uk-UA"/>
        </w:rPr>
        <w:t xml:space="preserve"> міжнародному арбітражі (відповідно до арбітражного застереження Акціонерної угоди).</w:t>
      </w:r>
    </w:p>
    <w:p w:rsidR="00146A88" w:rsidRPr="00146A88" w:rsidRDefault="00146A88" w:rsidP="00146A88">
      <w:pPr>
        <w:tabs>
          <w:tab w:val="left" w:pos="709"/>
          <w:tab w:val="left" w:pos="851"/>
        </w:tabs>
        <w:autoSpaceDE w:val="0"/>
        <w:autoSpaceDN w:val="0"/>
        <w:adjustRightInd w:val="0"/>
        <w:ind w:left="709"/>
        <w:contextualSpacing/>
        <w:jc w:val="both"/>
        <w:rPr>
          <w:lang w:val="uk-UA"/>
        </w:rPr>
      </w:pPr>
      <w:r w:rsidRPr="00146A88">
        <w:rPr>
          <w:lang w:val="uk-UA"/>
        </w:rPr>
        <w:t xml:space="preserve">Додатково </w:t>
      </w:r>
      <w:r w:rsidRPr="00610F0B">
        <w:rPr>
          <w:lang w:val="uk-UA"/>
        </w:rPr>
        <w:t xml:space="preserve">НАК </w:t>
      </w:r>
      <w:r w:rsidR="003E22CB">
        <w:rPr>
          <w:lang w:val="uk-UA"/>
        </w:rPr>
        <w:t>«Нафтогаз України»</w:t>
      </w:r>
      <w:r>
        <w:rPr>
          <w:lang w:val="uk-UA"/>
        </w:rPr>
        <w:t xml:space="preserve"> повідомил</w:t>
      </w:r>
      <w:r w:rsidR="0038230E">
        <w:rPr>
          <w:lang w:val="uk-UA"/>
        </w:rPr>
        <w:t>а</w:t>
      </w:r>
      <w:r w:rsidRPr="00146A88">
        <w:rPr>
          <w:lang w:val="uk-UA"/>
        </w:rPr>
        <w:t xml:space="preserve">, що обсяг товарного газу </w:t>
      </w:r>
      <w:r>
        <w:rPr>
          <w:lang w:val="uk-UA"/>
        </w:rPr>
        <w:br/>
      </w:r>
      <w:r w:rsidRPr="00146A88">
        <w:rPr>
          <w:lang w:val="uk-UA"/>
        </w:rPr>
        <w:t>ПАТ «Укрнафта»</w:t>
      </w:r>
      <w:r w:rsidR="002C4C9F">
        <w:rPr>
          <w:rStyle w:val="af3"/>
          <w:lang w:val="uk-UA"/>
        </w:rPr>
        <w:footnoteReference w:id="3"/>
      </w:r>
      <w:r w:rsidRPr="00146A88">
        <w:rPr>
          <w:lang w:val="uk-UA"/>
        </w:rPr>
        <w:t xml:space="preserve"> за 2019 рік </w:t>
      </w:r>
      <w:r w:rsidR="0038230E">
        <w:rPr>
          <w:lang w:val="uk-UA"/>
        </w:rPr>
        <w:t>знаходиться</w:t>
      </w:r>
      <w:r w:rsidRPr="00146A88">
        <w:rPr>
          <w:lang w:val="uk-UA"/>
        </w:rPr>
        <w:t xml:space="preserve"> на рівні 8</w:t>
      </w:r>
      <w:r w:rsidR="00F22C1D">
        <w:rPr>
          <w:lang w:val="uk-UA"/>
        </w:rPr>
        <w:t>4</w:t>
      </w:r>
      <w:r w:rsidRPr="00146A88">
        <w:rPr>
          <w:lang w:val="uk-UA"/>
        </w:rPr>
        <w:t>0 млн м</w:t>
      </w:r>
      <w:r w:rsidRPr="0089077F">
        <w:rPr>
          <w:vertAlign w:val="superscript"/>
          <w:lang w:val="uk-UA"/>
        </w:rPr>
        <w:t>3</w:t>
      </w:r>
      <w:r w:rsidRPr="00146A88">
        <w:rPr>
          <w:lang w:val="uk-UA"/>
        </w:rPr>
        <w:t>.</w:t>
      </w:r>
    </w:p>
    <w:p w:rsidR="00A3102E" w:rsidRPr="00114FCA" w:rsidRDefault="00A3102E" w:rsidP="00A3102E">
      <w:pPr>
        <w:tabs>
          <w:tab w:val="left" w:pos="709"/>
          <w:tab w:val="left" w:pos="851"/>
        </w:tabs>
        <w:autoSpaceDE w:val="0"/>
        <w:autoSpaceDN w:val="0"/>
        <w:adjustRightInd w:val="0"/>
        <w:ind w:left="709"/>
        <w:contextualSpacing/>
        <w:jc w:val="both"/>
        <w:rPr>
          <w:sz w:val="20"/>
          <w:szCs w:val="20"/>
          <w:lang w:val="uk-UA"/>
        </w:rPr>
      </w:pP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b/>
          <w:lang w:val="uk-UA"/>
        </w:rPr>
      </w:pPr>
      <w:r w:rsidRPr="00610F0B">
        <w:rPr>
          <w:b/>
          <w:lang w:val="uk-UA"/>
        </w:rPr>
        <w:t xml:space="preserve">Отже, після припинення дії Положення про спеціальні обов’язки (з 1 травня </w:t>
      </w:r>
      <w:r w:rsidRPr="00610F0B">
        <w:rPr>
          <w:b/>
          <w:lang w:val="uk-UA"/>
        </w:rPr>
        <w:br/>
        <w:t>2021 року), зважаючи на:</w:t>
      </w:r>
    </w:p>
    <w:p w:rsidR="00A3102E" w:rsidRPr="0038230E" w:rsidRDefault="00A3102E" w:rsidP="0038230E">
      <w:pPr>
        <w:pStyle w:val="aff8"/>
        <w:numPr>
          <w:ilvl w:val="0"/>
          <w:numId w:val="12"/>
        </w:numPr>
        <w:tabs>
          <w:tab w:val="left" w:pos="709"/>
          <w:tab w:val="left" w:pos="851"/>
        </w:tabs>
        <w:autoSpaceDE w:val="0"/>
        <w:autoSpaceDN w:val="0"/>
        <w:adjustRightInd w:val="0"/>
        <w:ind w:hanging="295"/>
        <w:contextualSpacing/>
        <w:jc w:val="both"/>
        <w:rPr>
          <w:b/>
          <w:lang w:val="uk-UA"/>
        </w:rPr>
      </w:pPr>
      <w:r w:rsidRPr="0038230E">
        <w:rPr>
          <w:b/>
          <w:lang w:val="uk-UA"/>
        </w:rPr>
        <w:t xml:space="preserve">вертикально інтегровану структуру відносин контролю НАК </w:t>
      </w:r>
      <w:r w:rsidR="003E22CB">
        <w:rPr>
          <w:b/>
          <w:lang w:val="uk-UA"/>
        </w:rPr>
        <w:t>«Нафтогаз України»</w:t>
      </w:r>
      <w:r w:rsidRPr="0038230E">
        <w:rPr>
          <w:b/>
          <w:lang w:val="uk-UA"/>
        </w:rPr>
        <w:t xml:space="preserve"> на ринках сировини (видобуток та реалізація природного газу) та кінцевої продукції (виробництво електричної та теплової енергії);</w:t>
      </w:r>
    </w:p>
    <w:p w:rsidR="00A3102E" w:rsidRPr="0038230E" w:rsidRDefault="00A3102E" w:rsidP="0038230E">
      <w:pPr>
        <w:pStyle w:val="aff8"/>
        <w:numPr>
          <w:ilvl w:val="0"/>
          <w:numId w:val="12"/>
        </w:numPr>
        <w:tabs>
          <w:tab w:val="left" w:pos="709"/>
          <w:tab w:val="left" w:pos="851"/>
        </w:tabs>
        <w:autoSpaceDE w:val="0"/>
        <w:autoSpaceDN w:val="0"/>
        <w:adjustRightInd w:val="0"/>
        <w:ind w:left="709" w:firstLine="425"/>
        <w:contextualSpacing/>
        <w:jc w:val="both"/>
        <w:rPr>
          <w:b/>
          <w:lang w:val="uk-UA"/>
        </w:rPr>
      </w:pPr>
      <w:r w:rsidRPr="0038230E">
        <w:rPr>
          <w:b/>
          <w:lang w:val="uk-UA"/>
        </w:rPr>
        <w:t xml:space="preserve">значну частку НАК </w:t>
      </w:r>
      <w:r w:rsidR="003E22CB">
        <w:rPr>
          <w:b/>
          <w:lang w:val="uk-UA"/>
        </w:rPr>
        <w:t>«Нафтогаз України»</w:t>
      </w:r>
      <w:r w:rsidRPr="0038230E">
        <w:rPr>
          <w:b/>
          <w:lang w:val="uk-UA"/>
        </w:rPr>
        <w:t xml:space="preserve"> на ринку природного газу,</w:t>
      </w:r>
      <w:r w:rsidR="0038230E" w:rsidRPr="0038230E">
        <w:rPr>
          <w:b/>
          <w:lang w:val="uk-UA"/>
        </w:rPr>
        <w:t xml:space="preserve"> </w:t>
      </w:r>
      <w:r w:rsidR="0038230E">
        <w:rPr>
          <w:b/>
          <w:lang w:val="uk-UA"/>
        </w:rPr>
        <w:br/>
      </w:r>
      <w:r w:rsidRPr="0038230E">
        <w:rPr>
          <w:b/>
          <w:lang w:val="uk-UA"/>
        </w:rPr>
        <w:t xml:space="preserve">існує ризик здійснення НАК </w:t>
      </w:r>
      <w:r w:rsidR="003E22CB">
        <w:rPr>
          <w:b/>
          <w:lang w:val="uk-UA"/>
        </w:rPr>
        <w:t>«Нафтогаз України»</w:t>
      </w:r>
      <w:r w:rsidRPr="0038230E">
        <w:rPr>
          <w:b/>
          <w:lang w:val="uk-UA"/>
        </w:rPr>
        <w:t xml:space="preserve"> дій, які матимуть негативний вплив на конкуренцію.</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b/>
          <w:lang w:val="uk-UA"/>
        </w:rPr>
      </w:pPr>
      <w:r w:rsidRPr="00610F0B">
        <w:rPr>
          <w:b/>
          <w:lang w:val="uk-UA"/>
        </w:rPr>
        <w:t>Враховуючи зазначене, дозв</w:t>
      </w:r>
      <w:r w:rsidR="00381823" w:rsidRPr="00610F0B">
        <w:rPr>
          <w:b/>
          <w:lang w:val="uk-UA"/>
        </w:rPr>
        <w:t xml:space="preserve">іл </w:t>
      </w:r>
      <w:r w:rsidRPr="00610F0B">
        <w:rPr>
          <w:b/>
          <w:lang w:val="uk-UA"/>
        </w:rPr>
        <w:t>на концентрацію, відповідно до статті 31 Закону України «Про захист економічної конкуренції» доцільно обумовити наданням учасникам концентрації зобов’язань, що усувають відповідний негативний вплив концентраці</w:t>
      </w:r>
      <w:r w:rsidR="00610F0B" w:rsidRPr="00610F0B">
        <w:rPr>
          <w:b/>
          <w:lang w:val="uk-UA"/>
        </w:rPr>
        <w:t>ї</w:t>
      </w:r>
      <w:r w:rsidRPr="00610F0B">
        <w:rPr>
          <w:b/>
          <w:lang w:val="uk-UA"/>
        </w:rPr>
        <w:t xml:space="preserve"> на конкуренцію та є пропорційними обґрунтованим загрозам негативного впливу на конкуренцію.</w:t>
      </w:r>
    </w:p>
    <w:p w:rsidR="00A3102E" w:rsidRPr="00610F0B" w:rsidRDefault="00610F0B" w:rsidP="00A3102E">
      <w:pPr>
        <w:pStyle w:val="aff8"/>
        <w:numPr>
          <w:ilvl w:val="0"/>
          <w:numId w:val="7"/>
        </w:numPr>
        <w:tabs>
          <w:tab w:val="left" w:pos="709"/>
          <w:tab w:val="left" w:pos="851"/>
        </w:tabs>
        <w:autoSpaceDE w:val="0"/>
        <w:autoSpaceDN w:val="0"/>
        <w:adjustRightInd w:val="0"/>
        <w:ind w:left="709" w:hanging="709"/>
        <w:contextualSpacing/>
        <w:jc w:val="both"/>
        <w:rPr>
          <w:b/>
          <w:lang w:val="uk-UA"/>
        </w:rPr>
      </w:pPr>
      <w:r w:rsidRPr="00610F0B">
        <w:rPr>
          <w:b/>
          <w:lang w:val="uk-UA"/>
        </w:rPr>
        <w:t>Н</w:t>
      </w:r>
      <w:r w:rsidR="00A3102E" w:rsidRPr="00610F0B">
        <w:rPr>
          <w:b/>
          <w:lang w:val="uk-UA"/>
        </w:rPr>
        <w:t xml:space="preserve">адані зобов’язання повинні </w:t>
      </w:r>
      <w:r w:rsidRPr="00610F0B">
        <w:rPr>
          <w:b/>
          <w:lang w:val="uk-UA"/>
        </w:rPr>
        <w:t>не допустити можлив</w:t>
      </w:r>
      <w:r w:rsidR="0038230E">
        <w:rPr>
          <w:b/>
          <w:lang w:val="uk-UA"/>
        </w:rPr>
        <w:t>их</w:t>
      </w:r>
      <w:r w:rsidRPr="00610F0B">
        <w:rPr>
          <w:b/>
          <w:lang w:val="uk-UA"/>
        </w:rPr>
        <w:t xml:space="preserve"> обмежен</w:t>
      </w:r>
      <w:r w:rsidR="0038230E">
        <w:rPr>
          <w:b/>
          <w:lang w:val="uk-UA"/>
        </w:rPr>
        <w:t>ь</w:t>
      </w:r>
      <w:r w:rsidRPr="00610F0B">
        <w:rPr>
          <w:b/>
          <w:lang w:val="uk-UA"/>
        </w:rPr>
        <w:t xml:space="preserve"> конкуренції на ринках природного газу, оскільки мала місце </w:t>
      </w:r>
      <w:r w:rsidR="00A3102E" w:rsidRPr="00610F0B">
        <w:rPr>
          <w:b/>
          <w:lang w:val="uk-UA"/>
        </w:rPr>
        <w:t>вертикальн</w:t>
      </w:r>
      <w:r w:rsidRPr="00610F0B">
        <w:rPr>
          <w:b/>
          <w:lang w:val="uk-UA"/>
        </w:rPr>
        <w:t>а</w:t>
      </w:r>
      <w:r w:rsidR="00A3102E" w:rsidRPr="00610F0B">
        <w:rPr>
          <w:b/>
          <w:lang w:val="uk-UA"/>
        </w:rPr>
        <w:t xml:space="preserve"> інтеграці</w:t>
      </w:r>
      <w:r w:rsidRPr="00610F0B">
        <w:rPr>
          <w:b/>
          <w:lang w:val="uk-UA"/>
        </w:rPr>
        <w:t>я</w:t>
      </w:r>
      <w:r w:rsidR="00A3102E" w:rsidRPr="00610F0B">
        <w:rPr>
          <w:b/>
          <w:lang w:val="uk-UA"/>
        </w:rPr>
        <w:t xml:space="preserve"> суб’єктів господарювання</w:t>
      </w:r>
      <w:r w:rsidR="0038230E">
        <w:rPr>
          <w:b/>
          <w:lang w:val="uk-UA"/>
        </w:rPr>
        <w:t>,</w:t>
      </w:r>
      <w:r w:rsidR="00A3102E" w:rsidRPr="00610F0B">
        <w:rPr>
          <w:b/>
          <w:lang w:val="uk-UA"/>
        </w:rPr>
        <w:t xml:space="preserve"> які здійснюють діяльність на ринку сировини та готової продукції, </w:t>
      </w:r>
      <w:r w:rsidRPr="00610F0B">
        <w:rPr>
          <w:b/>
          <w:lang w:val="uk-UA"/>
        </w:rPr>
        <w:t>що</w:t>
      </w:r>
      <w:r w:rsidR="00A3102E" w:rsidRPr="00610F0B">
        <w:rPr>
          <w:b/>
          <w:lang w:val="uk-UA"/>
        </w:rPr>
        <w:t xml:space="preserve"> мож</w:t>
      </w:r>
      <w:r w:rsidRPr="00610F0B">
        <w:rPr>
          <w:b/>
          <w:lang w:val="uk-UA"/>
        </w:rPr>
        <w:t>е</w:t>
      </w:r>
      <w:r w:rsidR="00A3102E" w:rsidRPr="00610F0B">
        <w:rPr>
          <w:b/>
          <w:lang w:val="uk-UA"/>
        </w:rPr>
        <w:t xml:space="preserve"> за певних умов призвести до суттєвого обмеження конкуренції на ринку природного газу.</w:t>
      </w:r>
    </w:p>
    <w:p w:rsidR="00A3102E" w:rsidRPr="00610F0B" w:rsidRDefault="00114FCA" w:rsidP="0038230E">
      <w:pPr>
        <w:numPr>
          <w:ilvl w:val="0"/>
          <w:numId w:val="2"/>
        </w:numPr>
        <w:tabs>
          <w:tab w:val="left" w:pos="709"/>
          <w:tab w:val="left" w:pos="1418"/>
        </w:tabs>
        <w:ind w:left="709" w:hanging="709"/>
        <w:contextualSpacing/>
        <w:jc w:val="both"/>
        <w:rPr>
          <w:b/>
          <w:lang w:val="uk-UA"/>
        </w:rPr>
      </w:pPr>
      <w:r>
        <w:rPr>
          <w:b/>
          <w:lang w:val="uk-UA"/>
        </w:rPr>
        <w:br w:type="page"/>
      </w:r>
      <w:r w:rsidR="00A3102E" w:rsidRPr="00610F0B">
        <w:rPr>
          <w:b/>
          <w:lang w:val="uk-UA"/>
        </w:rPr>
        <w:lastRenderedPageBreak/>
        <w:t xml:space="preserve">ВИСНОВКИ </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rFonts w:eastAsia="Calibri"/>
          <w:lang w:val="uk-UA"/>
        </w:rPr>
        <w:t>З урахуванням інформації</w:t>
      </w:r>
      <w:r w:rsidR="00114FCA">
        <w:rPr>
          <w:rFonts w:eastAsia="Calibri"/>
          <w:lang w:val="uk-UA"/>
        </w:rPr>
        <w:t>,</w:t>
      </w:r>
      <w:r w:rsidRPr="00610F0B">
        <w:rPr>
          <w:rFonts w:eastAsia="Calibri"/>
          <w:lang w:val="uk-UA"/>
        </w:rPr>
        <w:t xml:space="preserve"> викладеної </w:t>
      </w:r>
      <w:r w:rsidR="00114FCA">
        <w:rPr>
          <w:rFonts w:eastAsia="Calibri"/>
          <w:lang w:val="uk-UA"/>
        </w:rPr>
        <w:t>в</w:t>
      </w:r>
      <w:r w:rsidRPr="00610F0B">
        <w:rPr>
          <w:rFonts w:eastAsia="Calibri"/>
          <w:lang w:val="uk-UA"/>
        </w:rPr>
        <w:t xml:space="preserve"> цьому </w:t>
      </w:r>
      <w:r w:rsidR="00610F0B" w:rsidRPr="00610F0B">
        <w:rPr>
          <w:rFonts w:eastAsia="Calibri"/>
          <w:lang w:val="uk-UA"/>
        </w:rPr>
        <w:t>рішенні</w:t>
      </w:r>
      <w:r w:rsidRPr="00610F0B">
        <w:rPr>
          <w:lang w:val="uk-UA"/>
        </w:rPr>
        <w:t>:</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rFonts w:eastAsia="Calibri"/>
          <w:lang w:val="uk-UA"/>
        </w:rPr>
      </w:pPr>
      <w:r w:rsidRPr="00610F0B">
        <w:rPr>
          <w:rFonts w:eastAsia="Calibri"/>
          <w:lang w:val="uk-UA"/>
        </w:rPr>
        <w:t>задіяними ринками товару, у розумінні законодавства про захист економічної конкуренції, для зазначених концентрацій є ринки нафти та природного газу.</w:t>
      </w:r>
    </w:p>
    <w:p w:rsidR="00A3102E" w:rsidRPr="00114FCA" w:rsidRDefault="00A3102E" w:rsidP="00A3102E">
      <w:pPr>
        <w:pStyle w:val="aff8"/>
        <w:tabs>
          <w:tab w:val="left" w:pos="709"/>
          <w:tab w:val="left" w:pos="851"/>
        </w:tabs>
        <w:contextualSpacing/>
        <w:jc w:val="both"/>
        <w:rPr>
          <w:rFonts w:eastAsia="Calibri"/>
          <w:sz w:val="14"/>
          <w:szCs w:val="14"/>
          <w:lang w:val="uk-UA"/>
        </w:rPr>
      </w:pPr>
    </w:p>
    <w:p w:rsidR="00A3102E" w:rsidRPr="00610F0B" w:rsidRDefault="00A3102E" w:rsidP="00A3102E">
      <w:pPr>
        <w:pStyle w:val="aff8"/>
        <w:tabs>
          <w:tab w:val="left" w:pos="709"/>
          <w:tab w:val="left" w:pos="851"/>
        </w:tabs>
        <w:ind w:left="0"/>
        <w:contextualSpacing/>
        <w:jc w:val="both"/>
        <w:rPr>
          <w:i/>
          <w:lang w:val="uk-UA"/>
        </w:rPr>
      </w:pPr>
      <w:r w:rsidRPr="00610F0B">
        <w:rPr>
          <w:i/>
          <w:lang w:val="uk-UA"/>
        </w:rPr>
        <w:t>Щодо ринків нафти:</w:t>
      </w:r>
    </w:p>
    <w:p w:rsidR="00A3102E" w:rsidRPr="00114FCA" w:rsidRDefault="00A3102E" w:rsidP="00A3102E">
      <w:pPr>
        <w:pStyle w:val="aff8"/>
        <w:tabs>
          <w:tab w:val="left" w:pos="709"/>
          <w:tab w:val="left" w:pos="851"/>
        </w:tabs>
        <w:ind w:left="0"/>
        <w:contextualSpacing/>
        <w:jc w:val="both"/>
        <w:rPr>
          <w:rFonts w:eastAsia="Calibri"/>
          <w:sz w:val="14"/>
          <w:szCs w:val="14"/>
          <w:lang w:val="uk-UA"/>
        </w:rPr>
      </w:pPr>
    </w:p>
    <w:p w:rsidR="00A3102E" w:rsidRPr="00610F0B" w:rsidRDefault="00114FCA" w:rsidP="00A3102E">
      <w:pPr>
        <w:pStyle w:val="aff8"/>
        <w:numPr>
          <w:ilvl w:val="0"/>
          <w:numId w:val="7"/>
        </w:numPr>
        <w:tabs>
          <w:tab w:val="left" w:pos="709"/>
          <w:tab w:val="left" w:pos="851"/>
        </w:tabs>
        <w:autoSpaceDE w:val="0"/>
        <w:autoSpaceDN w:val="0"/>
        <w:adjustRightInd w:val="0"/>
        <w:ind w:left="709" w:hanging="709"/>
        <w:contextualSpacing/>
        <w:jc w:val="both"/>
        <w:rPr>
          <w:rFonts w:eastAsia="Calibri"/>
          <w:lang w:val="uk-UA"/>
        </w:rPr>
      </w:pPr>
      <w:r>
        <w:rPr>
          <w:rFonts w:eastAsia="Calibri"/>
          <w:lang w:val="uk-UA"/>
        </w:rPr>
        <w:t>З</w:t>
      </w:r>
      <w:r w:rsidR="00A3102E" w:rsidRPr="00610F0B">
        <w:rPr>
          <w:rFonts w:eastAsia="Calibri"/>
          <w:lang w:val="uk-UA"/>
        </w:rPr>
        <w:t xml:space="preserve">більшення групою НАК </w:t>
      </w:r>
      <w:r w:rsidR="003E22CB">
        <w:rPr>
          <w:rFonts w:eastAsia="Calibri"/>
          <w:lang w:val="uk-UA"/>
        </w:rPr>
        <w:t>«Нафтогаз України»</w:t>
      </w:r>
      <w:r w:rsidR="00A3102E" w:rsidRPr="00610F0B">
        <w:rPr>
          <w:rFonts w:eastAsia="Calibri"/>
          <w:lang w:val="uk-UA"/>
        </w:rPr>
        <w:t xml:space="preserve"> обсягів видобутку нафти на ділянці Юзівська матиме в Україні незначний вплив на внутрішній ринок нафти та суміжні </w:t>
      </w:r>
      <w:r>
        <w:rPr>
          <w:rFonts w:eastAsia="Calibri"/>
          <w:lang w:val="uk-UA"/>
        </w:rPr>
        <w:t xml:space="preserve">із </w:t>
      </w:r>
      <w:r w:rsidR="00A3102E" w:rsidRPr="00610F0B">
        <w:rPr>
          <w:rFonts w:eastAsia="Calibri"/>
          <w:lang w:val="uk-UA"/>
        </w:rPr>
        <w:t>нижн</w:t>
      </w:r>
      <w:r>
        <w:rPr>
          <w:rFonts w:eastAsia="Calibri"/>
          <w:lang w:val="uk-UA"/>
        </w:rPr>
        <w:t>ім</w:t>
      </w:r>
      <w:r w:rsidR="00A3102E" w:rsidRPr="00610F0B">
        <w:rPr>
          <w:rFonts w:eastAsia="Calibri"/>
          <w:lang w:val="uk-UA"/>
        </w:rPr>
        <w:t xml:space="preserve"> рівн</w:t>
      </w:r>
      <w:r>
        <w:rPr>
          <w:rFonts w:eastAsia="Calibri"/>
          <w:lang w:val="uk-UA"/>
        </w:rPr>
        <w:t>е</w:t>
      </w:r>
      <w:r w:rsidR="003E22CB">
        <w:rPr>
          <w:rFonts w:eastAsia="Calibri"/>
          <w:lang w:val="uk-UA"/>
        </w:rPr>
        <w:t>м</w:t>
      </w:r>
      <w:r w:rsidR="00A3102E" w:rsidRPr="00610F0B">
        <w:rPr>
          <w:rFonts w:eastAsia="Calibri"/>
          <w:lang w:val="uk-UA"/>
        </w:rPr>
        <w:t xml:space="preserve"> ринки нафтопродуктів з огляду на:</w:t>
      </w:r>
    </w:p>
    <w:p w:rsidR="00A3102E" w:rsidRPr="00114FCA" w:rsidRDefault="00A3102E" w:rsidP="00114FCA">
      <w:pPr>
        <w:pStyle w:val="aff8"/>
        <w:numPr>
          <w:ilvl w:val="0"/>
          <w:numId w:val="12"/>
        </w:numPr>
        <w:tabs>
          <w:tab w:val="left" w:pos="709"/>
          <w:tab w:val="left" w:pos="851"/>
        </w:tabs>
        <w:autoSpaceDE w:val="0"/>
        <w:autoSpaceDN w:val="0"/>
        <w:adjustRightInd w:val="0"/>
        <w:ind w:hanging="295"/>
        <w:contextualSpacing/>
        <w:jc w:val="both"/>
        <w:rPr>
          <w:lang w:val="uk-UA"/>
        </w:rPr>
      </w:pPr>
      <w:r w:rsidRPr="00114FCA">
        <w:rPr>
          <w:lang w:val="uk-UA"/>
        </w:rPr>
        <w:t>врегулювання відповідно до Закону України «Про нафту і газ» питання щодо реалізації  АТ «Укрнафт</w:t>
      </w:r>
      <w:r w:rsidR="00114FCA" w:rsidRPr="00114FCA">
        <w:rPr>
          <w:lang w:val="uk-UA"/>
        </w:rPr>
        <w:t>а</w:t>
      </w:r>
      <w:r w:rsidRPr="00114FCA">
        <w:rPr>
          <w:lang w:val="uk-UA"/>
        </w:rPr>
        <w:t xml:space="preserve">» нафти </w:t>
      </w:r>
      <w:r w:rsidR="00114FCA" w:rsidRPr="00114FCA">
        <w:rPr>
          <w:lang w:val="uk-UA"/>
        </w:rPr>
        <w:t>й</w:t>
      </w:r>
      <w:r w:rsidRPr="00114FCA">
        <w:rPr>
          <w:lang w:val="uk-UA"/>
        </w:rPr>
        <w:t xml:space="preserve"> газового конденсату власного видобутку на біржових аукціонах</w:t>
      </w:r>
      <w:r w:rsidR="00114FCA" w:rsidRPr="00114FCA">
        <w:rPr>
          <w:lang w:val="uk-UA"/>
        </w:rPr>
        <w:t>;</w:t>
      </w:r>
    </w:p>
    <w:p w:rsidR="00A3102E" w:rsidRPr="00114FCA" w:rsidRDefault="00A3102E" w:rsidP="00114FCA">
      <w:pPr>
        <w:pStyle w:val="aff8"/>
        <w:numPr>
          <w:ilvl w:val="0"/>
          <w:numId w:val="12"/>
        </w:numPr>
        <w:tabs>
          <w:tab w:val="left" w:pos="709"/>
          <w:tab w:val="left" w:pos="851"/>
        </w:tabs>
        <w:autoSpaceDE w:val="0"/>
        <w:autoSpaceDN w:val="0"/>
        <w:adjustRightInd w:val="0"/>
        <w:ind w:hanging="295"/>
        <w:contextualSpacing/>
        <w:jc w:val="both"/>
        <w:rPr>
          <w:lang w:val="uk-UA"/>
        </w:rPr>
      </w:pPr>
      <w:r w:rsidRPr="00114FCA">
        <w:rPr>
          <w:lang w:val="uk-UA"/>
        </w:rPr>
        <w:t>значний рівень імпорту нафтопродуктів у балансі нафтопродуктів та великий обсяг не</w:t>
      </w:r>
      <w:r w:rsidR="00114FCA" w:rsidRPr="00114FCA">
        <w:rPr>
          <w:lang w:val="uk-UA"/>
        </w:rPr>
        <w:t xml:space="preserve"> </w:t>
      </w:r>
      <w:r w:rsidRPr="00114FCA">
        <w:rPr>
          <w:lang w:val="uk-UA"/>
        </w:rPr>
        <w:t>задіяних в Україні нафтопереробних потужностей.</w:t>
      </w:r>
    </w:p>
    <w:p w:rsidR="00A3102E" w:rsidRPr="00114FCA" w:rsidRDefault="00A3102E" w:rsidP="00A3102E">
      <w:pPr>
        <w:pStyle w:val="aff8"/>
        <w:ind w:left="0"/>
        <w:contextualSpacing/>
        <w:rPr>
          <w:i/>
          <w:sz w:val="14"/>
          <w:szCs w:val="14"/>
          <w:lang w:val="uk-UA"/>
        </w:rPr>
      </w:pPr>
    </w:p>
    <w:p w:rsidR="00A3102E" w:rsidRPr="00610F0B" w:rsidRDefault="00A3102E" w:rsidP="00A3102E">
      <w:pPr>
        <w:pStyle w:val="aff8"/>
        <w:tabs>
          <w:tab w:val="left" w:pos="0"/>
          <w:tab w:val="left" w:pos="851"/>
        </w:tabs>
        <w:ind w:left="0"/>
        <w:contextualSpacing/>
        <w:jc w:val="both"/>
        <w:rPr>
          <w:i/>
          <w:lang w:val="uk-UA"/>
        </w:rPr>
      </w:pPr>
      <w:r w:rsidRPr="00610F0B">
        <w:rPr>
          <w:i/>
          <w:lang w:val="uk-UA"/>
        </w:rPr>
        <w:t>Щодо ринків природного газу:</w:t>
      </w:r>
    </w:p>
    <w:p w:rsidR="00A3102E" w:rsidRPr="00114FCA" w:rsidRDefault="00A3102E" w:rsidP="00A3102E">
      <w:pPr>
        <w:pStyle w:val="aff8"/>
        <w:tabs>
          <w:tab w:val="left" w:pos="0"/>
          <w:tab w:val="left" w:pos="851"/>
        </w:tabs>
        <w:ind w:left="0"/>
        <w:contextualSpacing/>
        <w:jc w:val="both"/>
        <w:rPr>
          <w:i/>
          <w:sz w:val="14"/>
          <w:szCs w:val="14"/>
          <w:lang w:val="uk-UA"/>
        </w:rPr>
      </w:pP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rFonts w:eastAsia="Calibri"/>
          <w:lang w:val="uk-UA"/>
        </w:rPr>
      </w:pPr>
      <w:r w:rsidRPr="00610F0B">
        <w:rPr>
          <w:rFonts w:eastAsia="Calibri"/>
          <w:lang w:val="uk-UA"/>
        </w:rPr>
        <w:t>Правові засади функціонування ринку природного газу України засновано на принципах: вільної добросовісної конкуренції, крім діяльності суб’єктів природних монополій; належного захисту прав споживачів та безпеки постачання природного газу, та визначаються Законом України «Про ринок природного газу».</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rFonts w:eastAsia="Calibri"/>
          <w:lang w:val="uk-UA"/>
        </w:rPr>
      </w:pPr>
      <w:r w:rsidRPr="00610F0B">
        <w:rPr>
          <w:rFonts w:eastAsia="Calibri"/>
          <w:lang w:val="uk-UA"/>
        </w:rPr>
        <w:t>Діяльність на ринку природного газу підлягає ліцензуванню.</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rFonts w:eastAsia="Calibri"/>
          <w:lang w:val="uk-UA"/>
        </w:rPr>
      </w:pPr>
      <w:r w:rsidRPr="00610F0B">
        <w:rPr>
          <w:rFonts w:eastAsia="Calibri"/>
          <w:lang w:val="uk-UA"/>
        </w:rPr>
        <w:t xml:space="preserve">Разом </w:t>
      </w:r>
      <w:r w:rsidR="00114FCA">
        <w:rPr>
          <w:rFonts w:eastAsia="Calibri"/>
          <w:lang w:val="uk-UA"/>
        </w:rPr>
        <w:t>і</w:t>
      </w:r>
      <w:r w:rsidRPr="00610F0B">
        <w:rPr>
          <w:rFonts w:eastAsia="Calibri"/>
          <w:lang w:val="uk-UA"/>
        </w:rPr>
        <w:t xml:space="preserve">з тим, враховуючи вертикально інтегровану структуру відносин контролю </w:t>
      </w:r>
      <w:r w:rsidRPr="00610F0B">
        <w:rPr>
          <w:rFonts w:eastAsia="Calibri"/>
          <w:lang w:val="uk-UA"/>
        </w:rPr>
        <w:br/>
        <w:t xml:space="preserve">НАК </w:t>
      </w:r>
      <w:r w:rsidR="003E22CB">
        <w:rPr>
          <w:rFonts w:eastAsia="Calibri"/>
          <w:lang w:val="uk-UA"/>
        </w:rPr>
        <w:t>«Нафтогаз України»</w:t>
      </w:r>
      <w:r w:rsidRPr="00610F0B">
        <w:rPr>
          <w:rFonts w:eastAsia="Calibri"/>
          <w:lang w:val="uk-UA"/>
        </w:rPr>
        <w:t xml:space="preserve"> на ринках сировини (видобуток та реалізація природного газу) та кінцевої продукції, значну частку реалізації природного газу від загального обсягу споживання на ринку, існує ризик посилення ринкової влади групи </w:t>
      </w:r>
      <w:r w:rsidRPr="00610F0B">
        <w:rPr>
          <w:rFonts w:eastAsia="Calibri"/>
          <w:lang w:val="uk-UA"/>
        </w:rPr>
        <w:br/>
        <w:t xml:space="preserve">НАК </w:t>
      </w:r>
      <w:r w:rsidR="003E22CB">
        <w:rPr>
          <w:rFonts w:eastAsia="Calibri"/>
          <w:lang w:val="uk-UA"/>
        </w:rPr>
        <w:t>«Нафтогаз України»</w:t>
      </w:r>
      <w:r w:rsidRPr="00610F0B">
        <w:rPr>
          <w:rFonts w:eastAsia="Calibri"/>
          <w:lang w:val="uk-UA"/>
        </w:rPr>
        <w:t xml:space="preserve"> на ринку природного газу.</w:t>
      </w:r>
    </w:p>
    <w:p w:rsidR="00A3102E"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Враховуючи зазначене, дозв</w:t>
      </w:r>
      <w:r w:rsidR="00610F0B" w:rsidRPr="00610F0B">
        <w:rPr>
          <w:lang w:val="uk-UA"/>
        </w:rPr>
        <w:t xml:space="preserve">іл </w:t>
      </w:r>
      <w:r w:rsidRPr="00610F0B">
        <w:rPr>
          <w:lang w:val="uk-UA"/>
        </w:rPr>
        <w:t>на концентрацію, відповідно до статті 31 Закону України «Про захист економічної конкуренції»</w:t>
      </w:r>
      <w:r w:rsidR="00114FCA">
        <w:rPr>
          <w:lang w:val="uk-UA"/>
        </w:rPr>
        <w:t>,</w:t>
      </w:r>
      <w:r w:rsidRPr="00610F0B">
        <w:rPr>
          <w:lang w:val="uk-UA"/>
        </w:rPr>
        <w:t xml:space="preserve"> доцільно обумовити наданням учасникам концентрації зобов’язань, що усувають відповідний негативний вплив концентраці</w:t>
      </w:r>
      <w:r w:rsidR="00610F0B" w:rsidRPr="00610F0B">
        <w:rPr>
          <w:lang w:val="uk-UA"/>
        </w:rPr>
        <w:t>ї</w:t>
      </w:r>
      <w:r w:rsidRPr="00610F0B">
        <w:rPr>
          <w:lang w:val="uk-UA"/>
        </w:rPr>
        <w:t xml:space="preserve"> на конкуренцію та є пропорційними обґрунтованим загрозам негативного впливу на конкуренцію.</w:t>
      </w:r>
    </w:p>
    <w:p w:rsidR="00012950" w:rsidRPr="00610F0B" w:rsidRDefault="00A3102E" w:rsidP="00A3102E">
      <w:pPr>
        <w:pStyle w:val="aff8"/>
        <w:numPr>
          <w:ilvl w:val="0"/>
          <w:numId w:val="7"/>
        </w:numPr>
        <w:tabs>
          <w:tab w:val="left" w:pos="709"/>
          <w:tab w:val="left" w:pos="851"/>
        </w:tabs>
        <w:autoSpaceDE w:val="0"/>
        <w:autoSpaceDN w:val="0"/>
        <w:adjustRightInd w:val="0"/>
        <w:ind w:left="709" w:hanging="709"/>
        <w:contextualSpacing/>
        <w:jc w:val="both"/>
        <w:rPr>
          <w:lang w:val="uk-UA"/>
        </w:rPr>
      </w:pPr>
      <w:r w:rsidRPr="00610F0B">
        <w:rPr>
          <w:lang w:val="uk-UA"/>
        </w:rPr>
        <w:t xml:space="preserve">Отже, </w:t>
      </w:r>
      <w:r w:rsidR="00114FCA">
        <w:rPr>
          <w:lang w:val="uk-UA"/>
        </w:rPr>
        <w:t>у</w:t>
      </w:r>
      <w:r w:rsidR="00610F0B" w:rsidRPr="00610F0B">
        <w:rPr>
          <w:lang w:val="uk-UA"/>
        </w:rPr>
        <w:t xml:space="preserve"> разі виконання </w:t>
      </w:r>
      <w:r w:rsidRPr="00610F0B">
        <w:rPr>
          <w:lang w:val="uk-UA"/>
        </w:rPr>
        <w:t>зобов’язан</w:t>
      </w:r>
      <w:r w:rsidR="00610F0B" w:rsidRPr="00610F0B">
        <w:rPr>
          <w:lang w:val="uk-UA"/>
        </w:rPr>
        <w:t>ь</w:t>
      </w:r>
      <w:r w:rsidRPr="00610F0B">
        <w:rPr>
          <w:lang w:val="uk-UA"/>
        </w:rPr>
        <w:t xml:space="preserve"> щодо забезпечення групою НАК </w:t>
      </w:r>
      <w:r w:rsidR="003E22CB">
        <w:rPr>
          <w:lang w:val="uk-UA"/>
        </w:rPr>
        <w:t>«Нафтогаз України»</w:t>
      </w:r>
      <w:r w:rsidRPr="00610F0B">
        <w:rPr>
          <w:lang w:val="uk-UA"/>
        </w:rPr>
        <w:t xml:space="preserve"> пропозиції з продажу на конкурентних засадах, а саме на то</w:t>
      </w:r>
      <w:r w:rsidR="00114FCA">
        <w:rPr>
          <w:lang w:val="uk-UA"/>
        </w:rPr>
        <w:t>варних біржах, природного газу</w:t>
      </w:r>
      <w:r w:rsidRPr="00610F0B">
        <w:rPr>
          <w:lang w:val="uk-UA"/>
        </w:rPr>
        <w:t xml:space="preserve"> </w:t>
      </w:r>
      <w:r w:rsidR="00114FCA" w:rsidRPr="00610F0B">
        <w:rPr>
          <w:lang w:val="uk-UA"/>
        </w:rPr>
        <w:t>обсяг</w:t>
      </w:r>
      <w:r w:rsidR="00114FCA">
        <w:rPr>
          <w:lang w:val="uk-UA"/>
        </w:rPr>
        <w:t>ом</w:t>
      </w:r>
      <w:r w:rsidRPr="00610F0B">
        <w:rPr>
          <w:lang w:val="uk-UA"/>
        </w:rPr>
        <w:t xml:space="preserve"> не менше 15 </w:t>
      </w:r>
      <w:r w:rsidR="00114FCA">
        <w:rPr>
          <w:lang w:val="uk-UA"/>
        </w:rPr>
        <w:t>%</w:t>
      </w:r>
      <w:r w:rsidRPr="00610F0B">
        <w:rPr>
          <w:lang w:val="uk-UA"/>
        </w:rPr>
        <w:t xml:space="preserve"> загального обсягу товарного газу, видобутого протягом року суб’єктами господарювання, що </w:t>
      </w:r>
      <w:r w:rsidR="00114FCA">
        <w:rPr>
          <w:lang w:val="uk-UA"/>
        </w:rPr>
        <w:t xml:space="preserve">пов’язані відносинами контролю </w:t>
      </w:r>
      <w:r w:rsidRPr="00610F0B">
        <w:rPr>
          <w:lang w:val="uk-UA"/>
        </w:rPr>
        <w:t xml:space="preserve">з акціонерним товариством «Національна акціонерна компанія </w:t>
      </w:r>
      <w:r w:rsidR="003E22CB">
        <w:rPr>
          <w:lang w:val="uk-UA"/>
        </w:rPr>
        <w:t>«Нафтогаз України»</w:t>
      </w:r>
      <w:r w:rsidRPr="00610F0B">
        <w:rPr>
          <w:lang w:val="uk-UA"/>
        </w:rPr>
        <w:t xml:space="preserve"> (крім ПАТ «Укрнафта») та здійснюють видобування природного газу на території України, враховуючи обсяги природного газу, видобуті </w:t>
      </w:r>
      <w:r w:rsidR="00114FCA">
        <w:rPr>
          <w:lang w:val="uk-UA"/>
        </w:rPr>
        <w:t>в</w:t>
      </w:r>
      <w:r w:rsidRPr="00610F0B">
        <w:rPr>
          <w:lang w:val="uk-UA"/>
        </w:rPr>
        <w:t xml:space="preserve"> межах ділянки Юзівська та набуті у власність за Угодою від 24.01.2013 про розподіл вуглеводнів, які видобуватимуться в межах ділянки Юзівська, зменшеного на обсяги газу, реалізовані на виконання статті 11 Закону України «Про ринок природного газу», </w:t>
      </w:r>
      <w:r w:rsidR="00610F0B" w:rsidRPr="00610F0B">
        <w:rPr>
          <w:lang w:val="uk-UA"/>
        </w:rPr>
        <w:t xml:space="preserve">не допускатиметься </w:t>
      </w:r>
      <w:r w:rsidRPr="00610F0B">
        <w:rPr>
          <w:lang w:val="uk-UA"/>
        </w:rPr>
        <w:t>можливі</w:t>
      </w:r>
      <w:r w:rsidR="00610F0B" w:rsidRPr="00610F0B">
        <w:rPr>
          <w:lang w:val="uk-UA"/>
        </w:rPr>
        <w:t>сть</w:t>
      </w:r>
      <w:r w:rsidRPr="00610F0B">
        <w:rPr>
          <w:lang w:val="uk-UA"/>
        </w:rPr>
        <w:t xml:space="preserve"> настання негативних наслідків, зазначених у цьому рішенні, що пов’язані з вертикальною інтеграцією суб’єктів господарювання</w:t>
      </w:r>
      <w:r w:rsidR="003E22CB">
        <w:rPr>
          <w:lang w:val="uk-UA"/>
        </w:rPr>
        <w:t>,</w:t>
      </w:r>
      <w:r w:rsidRPr="00610F0B">
        <w:rPr>
          <w:lang w:val="uk-UA"/>
        </w:rPr>
        <w:t xml:space="preserve"> які здійснюють діяльність на ринку сировини та готової продукції, та можуть</w:t>
      </w:r>
      <w:r w:rsidR="00114FCA">
        <w:rPr>
          <w:lang w:val="uk-UA"/>
        </w:rPr>
        <w:t xml:space="preserve"> за певних умов</w:t>
      </w:r>
      <w:r w:rsidRPr="00610F0B">
        <w:rPr>
          <w:lang w:val="uk-UA"/>
        </w:rPr>
        <w:t xml:space="preserve"> призвести до суттєвого обмеження конкуренції на ринку природного газу.</w:t>
      </w:r>
    </w:p>
    <w:p w:rsidR="00FE266D" w:rsidRPr="002950FF" w:rsidRDefault="00FE266D" w:rsidP="00A3102E">
      <w:pPr>
        <w:pStyle w:val="aff8"/>
        <w:tabs>
          <w:tab w:val="left" w:pos="709"/>
          <w:tab w:val="left" w:pos="851"/>
        </w:tabs>
        <w:autoSpaceDE w:val="0"/>
        <w:autoSpaceDN w:val="0"/>
        <w:adjustRightInd w:val="0"/>
        <w:ind w:left="0"/>
        <w:contextualSpacing/>
        <w:jc w:val="both"/>
        <w:rPr>
          <w:sz w:val="16"/>
          <w:szCs w:val="16"/>
          <w:lang w:val="uk-UA"/>
        </w:rPr>
      </w:pPr>
    </w:p>
    <w:p w:rsidR="00262106" w:rsidRPr="00FE266D" w:rsidRDefault="00262106" w:rsidP="00261174">
      <w:pPr>
        <w:numPr>
          <w:ilvl w:val="0"/>
          <w:numId w:val="7"/>
        </w:numPr>
        <w:tabs>
          <w:tab w:val="left" w:pos="709"/>
          <w:tab w:val="left" w:pos="851"/>
        </w:tabs>
        <w:autoSpaceDE w:val="0"/>
        <w:autoSpaceDN w:val="0"/>
        <w:adjustRightInd w:val="0"/>
        <w:ind w:left="709" w:hanging="709"/>
        <w:contextualSpacing/>
        <w:jc w:val="both"/>
        <w:rPr>
          <w:b/>
          <w:lang w:val="uk-UA"/>
        </w:rPr>
      </w:pPr>
      <w:r w:rsidRPr="00FE266D">
        <w:rPr>
          <w:b/>
          <w:lang w:val="uk-UA"/>
        </w:rPr>
        <w:t xml:space="preserve">Керуючись статтею 7 Закону України </w:t>
      </w:r>
      <w:r w:rsidR="00D155C1" w:rsidRPr="00FE266D">
        <w:rPr>
          <w:b/>
          <w:lang w:val="uk-UA"/>
        </w:rPr>
        <w:t>«</w:t>
      </w:r>
      <w:r w:rsidRPr="00FE266D">
        <w:rPr>
          <w:b/>
          <w:lang w:val="uk-UA"/>
        </w:rPr>
        <w:t>Про Антимонопольний комітет України</w:t>
      </w:r>
      <w:r w:rsidR="00D155C1" w:rsidRPr="00FE266D">
        <w:rPr>
          <w:b/>
          <w:lang w:val="uk-UA"/>
        </w:rPr>
        <w:t>»</w:t>
      </w:r>
      <w:r w:rsidRPr="00FE266D">
        <w:rPr>
          <w:b/>
          <w:lang w:val="uk-UA"/>
        </w:rPr>
        <w:t xml:space="preserve">, статтями 25 і 31 Закону України </w:t>
      </w:r>
      <w:r w:rsidR="00D155C1" w:rsidRPr="00FE266D">
        <w:rPr>
          <w:b/>
          <w:lang w:val="uk-UA"/>
        </w:rPr>
        <w:t>«</w:t>
      </w:r>
      <w:r w:rsidRPr="00FE266D">
        <w:rPr>
          <w:b/>
          <w:lang w:val="uk-UA"/>
        </w:rPr>
        <w:t>Про  захист економічної  конкуренції</w:t>
      </w:r>
      <w:r w:rsidR="00D155C1" w:rsidRPr="00FE266D">
        <w:rPr>
          <w:b/>
          <w:lang w:val="uk-UA"/>
        </w:rPr>
        <w:t>»</w:t>
      </w:r>
      <w:r w:rsidRPr="00FE266D">
        <w:rPr>
          <w:b/>
          <w:lang w:val="uk-UA"/>
        </w:rPr>
        <w:t xml:space="preserve">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w:t>
      </w:r>
      <w:r w:rsidR="00FE266D" w:rsidRPr="00FE266D">
        <w:rPr>
          <w:b/>
          <w:lang w:val="uk-UA"/>
        </w:rPr>
        <w:br w:type="page"/>
      </w:r>
      <w:r w:rsidRPr="00FE266D">
        <w:rPr>
          <w:b/>
          <w:lang w:val="uk-UA"/>
        </w:rPr>
        <w:lastRenderedPageBreak/>
        <w:t>за № 284/6572 (у редакції розпорядження Антимонопольного комітету України від 21.06.2016 № 14-рп), Антимонопольний комітет України</w:t>
      </w:r>
    </w:p>
    <w:p w:rsidR="00012950" w:rsidRPr="00610F0B" w:rsidRDefault="00012950" w:rsidP="00261174">
      <w:pPr>
        <w:tabs>
          <w:tab w:val="left" w:pos="709"/>
          <w:tab w:val="left" w:pos="851"/>
        </w:tabs>
        <w:autoSpaceDE w:val="0"/>
        <w:autoSpaceDN w:val="0"/>
        <w:adjustRightInd w:val="0"/>
        <w:ind w:left="709"/>
        <w:contextualSpacing/>
        <w:jc w:val="both"/>
        <w:rPr>
          <w:b/>
          <w:lang w:val="uk-UA"/>
        </w:rPr>
      </w:pPr>
    </w:p>
    <w:p w:rsidR="0012711C" w:rsidRPr="00610F0B" w:rsidRDefault="0012711C" w:rsidP="00261174">
      <w:pPr>
        <w:shd w:val="clear" w:color="auto" w:fill="FFFFFF"/>
        <w:tabs>
          <w:tab w:val="left" w:pos="0"/>
          <w:tab w:val="left" w:pos="720"/>
        </w:tabs>
        <w:contextualSpacing/>
        <w:jc w:val="center"/>
        <w:outlineLvl w:val="0"/>
        <w:rPr>
          <w:b/>
          <w:lang w:val="uk-UA" w:eastAsia="en-US"/>
        </w:rPr>
      </w:pPr>
      <w:r w:rsidRPr="00610F0B">
        <w:rPr>
          <w:b/>
          <w:lang w:val="uk-UA" w:eastAsia="en-US"/>
        </w:rPr>
        <w:t>ПОСТАНОВИВ:</w:t>
      </w:r>
    </w:p>
    <w:p w:rsidR="00DC6B80" w:rsidRPr="00610F0B" w:rsidRDefault="00DC6B80" w:rsidP="00261174">
      <w:pPr>
        <w:shd w:val="clear" w:color="auto" w:fill="FFFFFF"/>
        <w:tabs>
          <w:tab w:val="left" w:pos="0"/>
          <w:tab w:val="left" w:pos="720"/>
        </w:tabs>
        <w:contextualSpacing/>
        <w:jc w:val="center"/>
        <w:outlineLvl w:val="0"/>
        <w:rPr>
          <w:b/>
          <w:lang w:val="uk-UA" w:eastAsia="en-US"/>
        </w:rPr>
      </w:pPr>
    </w:p>
    <w:p w:rsidR="003850B7" w:rsidRPr="00610F0B" w:rsidRDefault="003850B7" w:rsidP="003850B7">
      <w:pPr>
        <w:numPr>
          <w:ilvl w:val="0"/>
          <w:numId w:val="21"/>
        </w:numPr>
        <w:tabs>
          <w:tab w:val="left" w:pos="709"/>
        </w:tabs>
        <w:ind w:left="709" w:hanging="709"/>
        <w:contextualSpacing/>
        <w:jc w:val="both"/>
        <w:rPr>
          <w:b/>
          <w:lang w:val="uk-UA"/>
        </w:rPr>
      </w:pPr>
      <w:r w:rsidRPr="00610F0B">
        <w:rPr>
          <w:b/>
          <w:lang w:val="uk-UA"/>
        </w:rPr>
        <w:t xml:space="preserve">Надати дозвіл акціонерному товариству «Національна акціонерна компанія </w:t>
      </w:r>
      <w:r w:rsidR="003E22CB">
        <w:rPr>
          <w:b/>
          <w:lang w:val="uk-UA"/>
        </w:rPr>
        <w:t>«Нафтогаз України»</w:t>
      </w:r>
      <w:r w:rsidRPr="00610F0B">
        <w:rPr>
          <w:b/>
          <w:lang w:val="uk-UA"/>
        </w:rPr>
        <w:t xml:space="preserve"> (м. Київ) на концентрацію у вигляді набуття </w:t>
      </w:r>
      <w:r w:rsidR="00F95657">
        <w:rPr>
          <w:b/>
          <w:lang w:val="uk-UA"/>
        </w:rPr>
        <w:br/>
      </w:r>
      <w:r w:rsidRPr="00610F0B">
        <w:rPr>
          <w:b/>
          <w:lang w:val="uk-UA"/>
        </w:rPr>
        <w:t xml:space="preserve">НАК </w:t>
      </w:r>
      <w:r w:rsidR="003E22CB">
        <w:rPr>
          <w:b/>
          <w:lang w:val="uk-UA"/>
        </w:rPr>
        <w:t>«Нафтогаз України»</w:t>
      </w:r>
      <w:r w:rsidRPr="00610F0B">
        <w:rPr>
          <w:b/>
          <w:lang w:val="uk-UA"/>
        </w:rPr>
        <w:t xml:space="preserve"> у власність частки у статутному капіталі </w:t>
      </w:r>
      <w:r w:rsidR="00F95657">
        <w:rPr>
          <w:b/>
          <w:lang w:val="uk-UA"/>
        </w:rPr>
        <w:t>т</w:t>
      </w:r>
      <w:r w:rsidRPr="00610F0B">
        <w:rPr>
          <w:b/>
          <w:lang w:val="uk-UA"/>
        </w:rPr>
        <w:t xml:space="preserve">овариства з обмеженою відповідальністю «Надра Юзівська» (м. Київ, ідентифікаційний код юридичної особи 38077614), що забезпечує перевищення </w:t>
      </w:r>
      <w:r w:rsidR="00E134ED">
        <w:rPr>
          <w:b/>
          <w:lang w:val="uk-UA"/>
        </w:rPr>
        <w:br/>
      </w:r>
      <w:r w:rsidRPr="00610F0B">
        <w:rPr>
          <w:b/>
          <w:lang w:val="uk-UA"/>
        </w:rPr>
        <w:t>50 відсотків голосів у вищому органі управління товариства.</w:t>
      </w:r>
    </w:p>
    <w:p w:rsidR="003850B7" w:rsidRPr="00610F0B" w:rsidRDefault="003850B7" w:rsidP="003850B7">
      <w:pPr>
        <w:tabs>
          <w:tab w:val="left" w:pos="709"/>
        </w:tabs>
        <w:ind w:left="709"/>
        <w:contextualSpacing/>
        <w:jc w:val="both"/>
        <w:rPr>
          <w:b/>
          <w:lang w:val="uk-UA"/>
        </w:rPr>
      </w:pPr>
    </w:p>
    <w:p w:rsidR="003850B7" w:rsidRPr="00114FCA" w:rsidRDefault="003850B7" w:rsidP="003850B7">
      <w:pPr>
        <w:numPr>
          <w:ilvl w:val="0"/>
          <w:numId w:val="21"/>
        </w:numPr>
        <w:tabs>
          <w:tab w:val="left" w:pos="709"/>
        </w:tabs>
        <w:ind w:left="709" w:hanging="709"/>
        <w:contextualSpacing/>
        <w:jc w:val="both"/>
        <w:rPr>
          <w:b/>
          <w:lang w:val="uk-UA"/>
        </w:rPr>
      </w:pPr>
      <w:r w:rsidRPr="00114FCA">
        <w:rPr>
          <w:b/>
          <w:lang w:val="uk-UA"/>
        </w:rPr>
        <w:t xml:space="preserve">З метою усунення потенційно негативного впливу концентрації на ринки природного газу зобов’язати суб’єкта господарювання в особі НАК </w:t>
      </w:r>
      <w:r w:rsidR="003E22CB">
        <w:rPr>
          <w:b/>
          <w:lang w:val="uk-UA"/>
        </w:rPr>
        <w:t>«Нафтогаз України»</w:t>
      </w:r>
      <w:r w:rsidRPr="00114FCA">
        <w:rPr>
          <w:b/>
          <w:lang w:val="uk-UA"/>
        </w:rPr>
        <w:t xml:space="preserve"> та суб’єктів господарювання, пов’язаних із ним відносинами контролю, після здійснення концентрації забезпечити пропозицію щодо продажу на конкурентних засадах, а саме на товарних біржах, природного газу обся</w:t>
      </w:r>
      <w:r w:rsidR="00F95657" w:rsidRPr="00114FCA">
        <w:rPr>
          <w:b/>
          <w:lang w:val="uk-UA"/>
        </w:rPr>
        <w:t>гом</w:t>
      </w:r>
      <w:r w:rsidRPr="00114FCA">
        <w:rPr>
          <w:b/>
          <w:lang w:val="uk-UA"/>
        </w:rPr>
        <w:t xml:space="preserve"> </w:t>
      </w:r>
      <w:r w:rsidR="00114FCA">
        <w:rPr>
          <w:b/>
          <w:lang w:val="uk-UA"/>
        </w:rPr>
        <w:t xml:space="preserve">              </w:t>
      </w:r>
      <w:r w:rsidRPr="00114FCA">
        <w:rPr>
          <w:b/>
          <w:lang w:val="uk-UA"/>
        </w:rPr>
        <w:t xml:space="preserve">не менше 15 відсотків від загального обсягу товарного газу, видобутого протягом року суб’єктами господарювання, що </w:t>
      </w:r>
      <w:r w:rsidR="00F95657" w:rsidRPr="00114FCA">
        <w:rPr>
          <w:b/>
          <w:lang w:val="uk-UA"/>
        </w:rPr>
        <w:t xml:space="preserve">пов’язані відносинами контролю </w:t>
      </w:r>
      <w:r w:rsidRPr="00114FCA">
        <w:rPr>
          <w:b/>
          <w:lang w:val="uk-UA"/>
        </w:rPr>
        <w:t xml:space="preserve">з акціонерним товариством «Національна акціонерна компанія </w:t>
      </w:r>
      <w:r w:rsidR="003E22CB">
        <w:rPr>
          <w:b/>
          <w:lang w:val="uk-UA"/>
        </w:rPr>
        <w:t>«Нафтогаз України»</w:t>
      </w:r>
      <w:r w:rsidRPr="00114FCA">
        <w:rPr>
          <w:b/>
          <w:lang w:val="uk-UA"/>
        </w:rPr>
        <w:t xml:space="preserve"> (крім ПАТ «Укрнафта») та здійснюють видобування природного газу на території України, враховуючи обсяги природного газу, видобуті </w:t>
      </w:r>
      <w:r w:rsidR="00F95657" w:rsidRPr="00114FCA">
        <w:rPr>
          <w:b/>
          <w:lang w:val="uk-UA"/>
        </w:rPr>
        <w:t>в</w:t>
      </w:r>
      <w:r w:rsidRPr="00114FCA">
        <w:rPr>
          <w:b/>
          <w:lang w:val="uk-UA"/>
        </w:rPr>
        <w:t xml:space="preserve"> межах ділянки Юзівська та набуті у власність за Угодою від 24.01.2013 про розподіл вуглеводнів, які видобуватимуться в межах ділянки Юзівська, зменшеного на обсяги газу, реалізовані на виконання статті 11 Закону України «Про ринок природного газу».</w:t>
      </w:r>
    </w:p>
    <w:p w:rsidR="003850B7" w:rsidRPr="00610F0B" w:rsidRDefault="003850B7" w:rsidP="003850B7">
      <w:pPr>
        <w:tabs>
          <w:tab w:val="left" w:pos="709"/>
        </w:tabs>
        <w:ind w:left="709"/>
        <w:contextualSpacing/>
        <w:jc w:val="both"/>
        <w:rPr>
          <w:b/>
          <w:lang w:val="uk-UA"/>
        </w:rPr>
      </w:pPr>
    </w:p>
    <w:p w:rsidR="005D2421" w:rsidRPr="00610F0B" w:rsidRDefault="003850B7" w:rsidP="003850B7">
      <w:pPr>
        <w:numPr>
          <w:ilvl w:val="0"/>
          <w:numId w:val="21"/>
        </w:numPr>
        <w:tabs>
          <w:tab w:val="left" w:pos="709"/>
        </w:tabs>
        <w:ind w:left="709" w:hanging="709"/>
        <w:contextualSpacing/>
        <w:jc w:val="both"/>
        <w:rPr>
          <w:b/>
          <w:lang w:val="uk-UA"/>
        </w:rPr>
      </w:pPr>
      <w:r w:rsidRPr="00610F0B">
        <w:rPr>
          <w:b/>
          <w:lang w:val="uk-UA"/>
        </w:rPr>
        <w:t xml:space="preserve">З метою належного інформування Антимонопольного комітету України про виконання зобов’язань для здійснення відповідного контролю, зобов’язати </w:t>
      </w:r>
      <w:r w:rsidR="00F95657">
        <w:rPr>
          <w:b/>
          <w:lang w:val="uk-UA"/>
        </w:rPr>
        <w:br/>
      </w:r>
      <w:r w:rsidRPr="00610F0B">
        <w:rPr>
          <w:b/>
          <w:lang w:val="uk-UA"/>
        </w:rPr>
        <w:t xml:space="preserve">НАК </w:t>
      </w:r>
      <w:r w:rsidR="003E22CB">
        <w:rPr>
          <w:b/>
          <w:lang w:val="uk-UA"/>
        </w:rPr>
        <w:t>«Нафтогаз України»</w:t>
      </w:r>
      <w:r w:rsidRPr="00610F0B">
        <w:rPr>
          <w:b/>
          <w:lang w:val="uk-UA"/>
        </w:rPr>
        <w:t xml:space="preserve"> щорічно, до 01 березня кожного року, починаючи </w:t>
      </w:r>
      <w:r w:rsidRPr="00610F0B">
        <w:rPr>
          <w:b/>
          <w:lang w:val="uk-UA"/>
        </w:rPr>
        <w:br/>
        <w:t>з 01 березня 2022 року</w:t>
      </w:r>
      <w:r w:rsidR="00F95657">
        <w:rPr>
          <w:b/>
          <w:lang w:val="uk-UA"/>
        </w:rPr>
        <w:t>,</w:t>
      </w:r>
      <w:r w:rsidRPr="00610F0B">
        <w:rPr>
          <w:b/>
          <w:lang w:val="uk-UA"/>
        </w:rPr>
        <w:t xml:space="preserve"> та не менше ніж 3 роки з моменту початку видобутку природного газу на ділянці Юзівська, надавати Антимонопольному комітету України звіт про виконання </w:t>
      </w:r>
      <w:r w:rsidR="00F95657">
        <w:rPr>
          <w:b/>
          <w:lang w:val="uk-UA"/>
        </w:rPr>
        <w:t xml:space="preserve">зобов’язань, </w:t>
      </w:r>
      <w:r w:rsidRPr="00610F0B">
        <w:rPr>
          <w:b/>
          <w:lang w:val="uk-UA"/>
        </w:rPr>
        <w:t xml:space="preserve">зазначених у пункті 2 </w:t>
      </w:r>
      <w:r w:rsidR="00F95657">
        <w:rPr>
          <w:b/>
          <w:lang w:val="uk-UA"/>
        </w:rPr>
        <w:t>резолютивної</w:t>
      </w:r>
      <w:r w:rsidRPr="00610F0B">
        <w:rPr>
          <w:b/>
          <w:lang w:val="uk-UA"/>
        </w:rPr>
        <w:t xml:space="preserve"> частини </w:t>
      </w:r>
      <w:r w:rsidR="00F95657">
        <w:rPr>
          <w:b/>
          <w:lang w:val="uk-UA"/>
        </w:rPr>
        <w:t xml:space="preserve">цього </w:t>
      </w:r>
      <w:r w:rsidRPr="00610F0B">
        <w:rPr>
          <w:b/>
          <w:lang w:val="uk-UA"/>
        </w:rPr>
        <w:t>рішення, за рік, що передує року надання звіту.</w:t>
      </w:r>
    </w:p>
    <w:p w:rsidR="00125098" w:rsidRPr="00610F0B" w:rsidRDefault="00125098" w:rsidP="00261174">
      <w:pPr>
        <w:tabs>
          <w:tab w:val="left" w:pos="567"/>
        </w:tabs>
        <w:contextualSpacing/>
        <w:jc w:val="both"/>
        <w:rPr>
          <w:b/>
          <w:lang w:val="uk-UA"/>
        </w:rPr>
      </w:pPr>
    </w:p>
    <w:p w:rsidR="003850B7" w:rsidRPr="00610F0B" w:rsidRDefault="003850B7" w:rsidP="00261174">
      <w:pPr>
        <w:tabs>
          <w:tab w:val="left" w:pos="567"/>
        </w:tabs>
        <w:contextualSpacing/>
        <w:jc w:val="both"/>
        <w:rPr>
          <w:b/>
          <w:lang w:val="uk-UA"/>
        </w:rPr>
      </w:pPr>
    </w:p>
    <w:p w:rsidR="00125098" w:rsidRPr="00610F0B" w:rsidRDefault="00125098" w:rsidP="00261174">
      <w:pPr>
        <w:tabs>
          <w:tab w:val="left" w:pos="567"/>
        </w:tabs>
        <w:contextualSpacing/>
        <w:jc w:val="both"/>
        <w:rPr>
          <w:b/>
          <w:lang w:val="uk-UA"/>
        </w:rPr>
      </w:pPr>
    </w:p>
    <w:p w:rsidR="005D2421" w:rsidRPr="00610F0B" w:rsidRDefault="005D2421" w:rsidP="00261174">
      <w:pPr>
        <w:tabs>
          <w:tab w:val="left" w:pos="567"/>
        </w:tabs>
        <w:contextualSpacing/>
        <w:jc w:val="both"/>
        <w:rPr>
          <w:b/>
          <w:lang w:val="uk-UA"/>
        </w:rPr>
      </w:pPr>
    </w:p>
    <w:p w:rsidR="005E4924" w:rsidRPr="00610F0B" w:rsidRDefault="00EF5E6E" w:rsidP="00261174">
      <w:pPr>
        <w:tabs>
          <w:tab w:val="left" w:pos="993"/>
        </w:tabs>
        <w:contextualSpacing/>
        <w:jc w:val="both"/>
        <w:rPr>
          <w:lang w:val="uk-UA"/>
        </w:rPr>
      </w:pPr>
      <w:r w:rsidRPr="00610F0B">
        <w:rPr>
          <w:lang w:val="uk-UA" w:eastAsia="en-US"/>
        </w:rPr>
        <w:t>Голов</w:t>
      </w:r>
      <w:r w:rsidR="0049638B" w:rsidRPr="00610F0B">
        <w:rPr>
          <w:lang w:val="uk-UA" w:eastAsia="en-US"/>
        </w:rPr>
        <w:t>а</w:t>
      </w:r>
      <w:r w:rsidRPr="00610F0B">
        <w:rPr>
          <w:lang w:val="uk-UA" w:eastAsia="en-US"/>
        </w:rPr>
        <w:t xml:space="preserve"> Комітету                                                                      </w:t>
      </w:r>
      <w:r w:rsidR="0049638B" w:rsidRPr="00610F0B">
        <w:rPr>
          <w:lang w:val="uk-UA" w:eastAsia="en-US"/>
        </w:rPr>
        <w:t xml:space="preserve">     </w:t>
      </w:r>
      <w:r w:rsidRPr="00610F0B">
        <w:rPr>
          <w:lang w:val="uk-UA" w:eastAsia="en-US"/>
        </w:rPr>
        <w:t xml:space="preserve">         </w:t>
      </w:r>
      <w:r w:rsidR="0049638B" w:rsidRPr="00610F0B">
        <w:rPr>
          <w:lang w:val="uk-UA" w:eastAsia="en-US"/>
        </w:rPr>
        <w:t>О</w:t>
      </w:r>
      <w:r w:rsidRPr="00610F0B">
        <w:rPr>
          <w:lang w:val="uk-UA" w:eastAsia="en-US"/>
        </w:rPr>
        <w:t xml:space="preserve">. </w:t>
      </w:r>
      <w:r w:rsidR="0049638B" w:rsidRPr="00610F0B">
        <w:rPr>
          <w:lang w:val="uk-UA" w:eastAsia="en-US"/>
        </w:rPr>
        <w:t>ПІЩАНСЬКА</w:t>
      </w:r>
    </w:p>
    <w:sectPr w:rsidR="005E4924" w:rsidRPr="00610F0B" w:rsidSect="00E345EE">
      <w:headerReference w:type="even" r:id="rId13"/>
      <w:headerReference w:type="default" r:id="rId14"/>
      <w:pgSz w:w="11907" w:h="16840"/>
      <w:pgMar w:top="1134" w:right="567" w:bottom="96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F0B" w:rsidRDefault="00D24F0B">
      <w:r>
        <w:separator/>
      </w:r>
    </w:p>
  </w:endnote>
  <w:endnote w:type="continuationSeparator" w:id="0">
    <w:p w:rsidR="00D24F0B" w:rsidRDefault="00D24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Bold">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F0B" w:rsidRDefault="00D24F0B">
      <w:r>
        <w:separator/>
      </w:r>
    </w:p>
  </w:footnote>
  <w:footnote w:type="continuationSeparator" w:id="0">
    <w:p w:rsidR="00D24F0B" w:rsidRDefault="00D24F0B">
      <w:r>
        <w:continuationSeparator/>
      </w:r>
    </w:p>
  </w:footnote>
  <w:footnote w:id="1">
    <w:p w:rsidR="00A3102E" w:rsidRDefault="00A3102E" w:rsidP="00A3102E">
      <w:pPr>
        <w:pStyle w:val="af1"/>
      </w:pPr>
      <w:r>
        <w:rPr>
          <w:rStyle w:val="af3"/>
        </w:rPr>
        <w:footnoteRef/>
      </w:r>
      <w:r>
        <w:t xml:space="preserve"> </w:t>
      </w:r>
      <w:r w:rsidRPr="00957151">
        <w:t>Відповідна інформація була отримана з інтернет-ресурсів Державної служби статистики Ук</w:t>
      </w:r>
      <w:r>
        <w:t>раїни (</w:t>
      </w:r>
      <w:hyperlink r:id="rId1" w:history="1">
        <w:r>
          <w:rPr>
            <w:rStyle w:val="af8"/>
          </w:rPr>
          <w:t>http://www.ukrstat.gov.ua/operativ/menu/menu_u/zed.htm</w:t>
        </w:r>
      </w:hyperlink>
      <w:r>
        <w:t>)</w:t>
      </w:r>
      <w:r w:rsidRPr="00957151">
        <w:t xml:space="preserve"> та на сайті Державної митної служби Укра</w:t>
      </w:r>
      <w:r>
        <w:t>їни (</w:t>
      </w:r>
      <w:hyperlink r:id="rId2" w:anchor="/turnoverhs" w:history="1">
        <w:r>
          <w:rPr>
            <w:rStyle w:val="af8"/>
          </w:rPr>
          <w:t>https://bi.customs.gov.ua/trade/#/turnoverhs</w:t>
        </w:r>
      </w:hyperlink>
      <w:r>
        <w:t>).</w:t>
      </w:r>
    </w:p>
  </w:footnote>
  <w:footnote w:id="2">
    <w:p w:rsidR="00146A88" w:rsidRPr="000455A9" w:rsidRDefault="00146A88" w:rsidP="00114FCA">
      <w:pPr>
        <w:pStyle w:val="af1"/>
        <w:jc w:val="both"/>
      </w:pPr>
      <w:r>
        <w:rPr>
          <w:rStyle w:val="af3"/>
        </w:rPr>
        <w:footnoteRef/>
      </w:r>
      <w:r>
        <w:t xml:space="preserve"> </w:t>
      </w:r>
      <w:r w:rsidR="00114FCA">
        <w:t>П</w:t>
      </w:r>
      <w:r>
        <w:t>опередня назва ПАТ «Укрнафта».</w:t>
      </w:r>
    </w:p>
  </w:footnote>
  <w:footnote w:id="3">
    <w:p w:rsidR="002C4C9F" w:rsidRDefault="002C4C9F" w:rsidP="00114FCA">
      <w:pPr>
        <w:pStyle w:val="af1"/>
        <w:jc w:val="both"/>
      </w:pPr>
      <w:r>
        <w:rPr>
          <w:rStyle w:val="af3"/>
        </w:rPr>
        <w:footnoteRef/>
      </w:r>
      <w:r>
        <w:t xml:space="preserve"> </w:t>
      </w:r>
      <w:r>
        <w:t xml:space="preserve">Відповідно до звіту НАК </w:t>
      </w:r>
      <w:r w:rsidR="003E22CB">
        <w:t>«Нафтогаз України»</w:t>
      </w:r>
      <w:r>
        <w:t xml:space="preserve"> за 2019 рік, товариством «Укргазвидобування» </w:t>
      </w:r>
      <w:r w:rsidRPr="002C4C9F">
        <w:t>було видобуто 1</w:t>
      </w:r>
      <w:r>
        <w:t>3,6 млрд м</w:t>
      </w:r>
      <w:r w:rsidR="0089077F" w:rsidRPr="0089077F">
        <w:rPr>
          <w:vertAlign w:val="superscript"/>
        </w:rPr>
        <w:t>3</w:t>
      </w:r>
      <w:r>
        <w:t xml:space="preserve"> товарного газу. Отже</w:t>
      </w:r>
      <w:r w:rsidR="00114FCA">
        <w:t>,</w:t>
      </w:r>
      <w:r w:rsidR="0089077F">
        <w:t xml:space="preserve"> обсяг</w:t>
      </w:r>
      <w:r>
        <w:t xml:space="preserve"> </w:t>
      </w:r>
      <w:r w:rsidR="0089077F">
        <w:t>товарного газу, що видобувається ПАТ «Укрнафта»</w:t>
      </w:r>
      <w:r w:rsidR="00114FCA">
        <w:t>,</w:t>
      </w:r>
      <w:r w:rsidR="0089077F">
        <w:t xml:space="preserve"> становить</w:t>
      </w:r>
      <w:r w:rsidR="00114FCA">
        <w:t xml:space="preserve"> близько 6 %</w:t>
      </w:r>
      <w:r w:rsidR="0089077F">
        <w:t xml:space="preserve"> </w:t>
      </w:r>
      <w:r w:rsidR="00114FCA">
        <w:t>порівняно</w:t>
      </w:r>
      <w:r w:rsidR="0089077F">
        <w:t xml:space="preserve"> з обсягами видобутку товариством «Укргазвидобування».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5C1" w:rsidRDefault="00D155C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155C1" w:rsidRDefault="00D155C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5C1" w:rsidRDefault="00D155C1">
    <w:pPr>
      <w:pStyle w:val="a4"/>
      <w:framePr w:wrap="around" w:vAnchor="text" w:hAnchor="page" w:x="6377" w:y="-209"/>
      <w:rPr>
        <w:rStyle w:val="a6"/>
      </w:rPr>
    </w:pPr>
    <w:r>
      <w:rPr>
        <w:rStyle w:val="a6"/>
      </w:rPr>
      <w:fldChar w:fldCharType="begin"/>
    </w:r>
    <w:r>
      <w:rPr>
        <w:rStyle w:val="a6"/>
      </w:rPr>
      <w:instrText xml:space="preserve">PAGE  </w:instrText>
    </w:r>
    <w:r>
      <w:rPr>
        <w:rStyle w:val="a6"/>
      </w:rPr>
      <w:fldChar w:fldCharType="separate"/>
    </w:r>
    <w:r w:rsidR="00713039">
      <w:rPr>
        <w:rStyle w:val="a6"/>
        <w:noProof/>
      </w:rPr>
      <w:t>11</w:t>
    </w:r>
    <w:r>
      <w:rPr>
        <w:rStyle w:val="a6"/>
      </w:rPr>
      <w:fldChar w:fldCharType="end"/>
    </w:r>
  </w:p>
  <w:p w:rsidR="00D155C1" w:rsidRPr="00046F80" w:rsidRDefault="00D155C1">
    <w:pPr>
      <w:pStyle w:val="a4"/>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D222A0A"/>
    <w:name w:val="HeadingStyles||Heading|3|3|0|1|0|33||1|0|33||1|0|33||1|0|33||1|0|35||1|0|33||1|0|32||1|0|34||1|0|32||"/>
    <w:lvl w:ilvl="0">
      <w:start w:val="1"/>
      <w:numFmt w:val="none"/>
      <w:suff w:val="nothing"/>
      <w:lvlText w:val=""/>
      <w:lvlJc w:val="left"/>
      <w:pPr>
        <w:tabs>
          <w:tab w:val="num" w:pos="420"/>
        </w:tabs>
        <w:ind w:left="420" w:firstLine="0"/>
      </w:pPr>
    </w:lvl>
    <w:lvl w:ilvl="1">
      <w:start w:val="1"/>
      <w:numFmt w:val="none"/>
      <w:pStyle w:val="2"/>
      <w:suff w:val="nothing"/>
      <w:lvlText w:val=""/>
      <w:lvlJc w:val="left"/>
      <w:pPr>
        <w:tabs>
          <w:tab w:val="num" w:pos="420"/>
        </w:tabs>
        <w:ind w:left="420" w:firstLine="0"/>
      </w:pPr>
    </w:lvl>
    <w:lvl w:ilvl="2">
      <w:start w:val="1"/>
      <w:numFmt w:val="none"/>
      <w:suff w:val="nothing"/>
      <w:lvlText w:val=""/>
      <w:lvlJc w:val="left"/>
      <w:pPr>
        <w:tabs>
          <w:tab w:val="num" w:pos="420"/>
        </w:tabs>
        <w:ind w:left="420" w:firstLine="0"/>
      </w:pPr>
    </w:lvl>
    <w:lvl w:ilvl="3">
      <w:start w:val="1"/>
      <w:numFmt w:val="none"/>
      <w:suff w:val="nothing"/>
      <w:lvlText w:val=""/>
      <w:lvlJc w:val="left"/>
      <w:pPr>
        <w:tabs>
          <w:tab w:val="num" w:pos="420"/>
        </w:tabs>
        <w:ind w:left="420" w:firstLine="0"/>
      </w:pPr>
    </w:lvl>
    <w:lvl w:ilvl="4">
      <w:start w:val="1"/>
      <w:numFmt w:val="none"/>
      <w:suff w:val="nothing"/>
      <w:lvlText w:val=""/>
      <w:lvlJc w:val="left"/>
      <w:pPr>
        <w:tabs>
          <w:tab w:val="num" w:pos="420"/>
        </w:tabs>
        <w:ind w:left="420" w:firstLine="0"/>
      </w:pPr>
    </w:lvl>
    <w:lvl w:ilvl="5">
      <w:start w:val="1"/>
      <w:numFmt w:val="none"/>
      <w:suff w:val="nothing"/>
      <w:lvlText w:val=""/>
      <w:lvlJc w:val="left"/>
      <w:pPr>
        <w:tabs>
          <w:tab w:val="num" w:pos="420"/>
        </w:tabs>
        <w:ind w:left="420" w:firstLine="0"/>
      </w:pPr>
    </w:lvl>
    <w:lvl w:ilvl="6">
      <w:start w:val="1"/>
      <w:numFmt w:val="none"/>
      <w:suff w:val="nothing"/>
      <w:lvlText w:val=""/>
      <w:lvlJc w:val="left"/>
      <w:pPr>
        <w:tabs>
          <w:tab w:val="num" w:pos="420"/>
        </w:tabs>
        <w:ind w:left="420" w:firstLine="0"/>
      </w:pPr>
    </w:lvl>
    <w:lvl w:ilvl="7">
      <w:start w:val="1"/>
      <w:numFmt w:val="none"/>
      <w:suff w:val="nothing"/>
      <w:lvlText w:val=""/>
      <w:lvlJc w:val="left"/>
      <w:pPr>
        <w:tabs>
          <w:tab w:val="num" w:pos="420"/>
        </w:tabs>
        <w:ind w:left="420" w:firstLine="0"/>
      </w:pPr>
    </w:lvl>
    <w:lvl w:ilvl="8">
      <w:start w:val="1"/>
      <w:numFmt w:val="none"/>
      <w:suff w:val="nothing"/>
      <w:lvlText w:val=""/>
      <w:lvlJc w:val="left"/>
      <w:pPr>
        <w:tabs>
          <w:tab w:val="num" w:pos="420"/>
        </w:tabs>
        <w:ind w:left="420" w:firstLine="0"/>
      </w:pPr>
    </w:lvl>
  </w:abstractNum>
  <w:abstractNum w:abstractNumId="1">
    <w:nsid w:val="00491DB4"/>
    <w:multiLevelType w:val="multilevel"/>
    <w:tmpl w:val="95FA29A4"/>
    <w:lvl w:ilvl="0">
      <w:start w:val="1"/>
      <w:numFmt w:val="decimal"/>
      <w:pStyle w:val="a"/>
      <w:lvlText w:val="%1."/>
      <w:lvlJc w:val="left"/>
      <w:pPr>
        <w:ind w:left="3117" w:hanging="850"/>
      </w:pPr>
      <w:rPr>
        <w:rFonts w:hint="default"/>
        <w:b w:val="0"/>
        <w:i w:val="0"/>
        <w:strike w:val="0"/>
        <w:color w:val="auto"/>
      </w:rPr>
    </w:lvl>
    <w:lvl w:ilvl="1">
      <w:start w:val="1"/>
      <w:numFmt w:val="lowerLetter"/>
      <w:lvlText w:val="%2)"/>
      <w:lvlJc w:val="left"/>
      <w:pPr>
        <w:ind w:left="3968" w:hanging="851"/>
      </w:pPr>
      <w:rPr>
        <w:rFonts w:hint="default"/>
      </w:rPr>
    </w:lvl>
    <w:lvl w:ilvl="2">
      <w:start w:val="1"/>
      <w:numFmt w:val="lowerRoman"/>
      <w:lvlText w:val="%3."/>
      <w:lvlJc w:val="right"/>
      <w:pPr>
        <w:ind w:left="5277" w:hanging="180"/>
      </w:pPr>
      <w:rPr>
        <w:rFonts w:hint="default"/>
      </w:rPr>
    </w:lvl>
    <w:lvl w:ilvl="3">
      <w:start w:val="1"/>
      <w:numFmt w:val="decimal"/>
      <w:lvlText w:val="%4."/>
      <w:lvlJc w:val="left"/>
      <w:pPr>
        <w:ind w:left="5997" w:hanging="360"/>
      </w:pPr>
      <w:rPr>
        <w:rFonts w:hint="default"/>
      </w:rPr>
    </w:lvl>
    <w:lvl w:ilvl="4">
      <w:start w:val="1"/>
      <w:numFmt w:val="lowerLetter"/>
      <w:lvlText w:val="%5."/>
      <w:lvlJc w:val="left"/>
      <w:pPr>
        <w:ind w:left="6717" w:hanging="360"/>
      </w:pPr>
      <w:rPr>
        <w:rFonts w:hint="default"/>
      </w:rPr>
    </w:lvl>
    <w:lvl w:ilvl="5">
      <w:start w:val="1"/>
      <w:numFmt w:val="lowerRoman"/>
      <w:lvlText w:val="%6."/>
      <w:lvlJc w:val="right"/>
      <w:pPr>
        <w:ind w:left="7437" w:hanging="180"/>
      </w:pPr>
      <w:rPr>
        <w:rFonts w:hint="default"/>
      </w:rPr>
    </w:lvl>
    <w:lvl w:ilvl="6">
      <w:start w:val="1"/>
      <w:numFmt w:val="decimal"/>
      <w:lvlText w:val="%7."/>
      <w:lvlJc w:val="left"/>
      <w:pPr>
        <w:ind w:left="8157" w:hanging="360"/>
      </w:pPr>
      <w:rPr>
        <w:rFonts w:hint="default"/>
      </w:rPr>
    </w:lvl>
    <w:lvl w:ilvl="7">
      <w:start w:val="1"/>
      <w:numFmt w:val="lowerLetter"/>
      <w:lvlText w:val="%8."/>
      <w:lvlJc w:val="left"/>
      <w:pPr>
        <w:ind w:left="8877" w:hanging="360"/>
      </w:pPr>
      <w:rPr>
        <w:rFonts w:hint="default"/>
      </w:rPr>
    </w:lvl>
    <w:lvl w:ilvl="8">
      <w:start w:val="1"/>
      <w:numFmt w:val="lowerRoman"/>
      <w:lvlText w:val="%9."/>
      <w:lvlJc w:val="right"/>
      <w:pPr>
        <w:ind w:left="9597" w:hanging="180"/>
      </w:pPr>
      <w:rPr>
        <w:rFonts w:hint="default"/>
      </w:rPr>
    </w:lvl>
  </w:abstractNum>
  <w:abstractNum w:abstractNumId="2">
    <w:nsid w:val="10B522AF"/>
    <w:multiLevelType w:val="hybridMultilevel"/>
    <w:tmpl w:val="55B8F006"/>
    <w:lvl w:ilvl="0" w:tplc="38581082">
      <w:start w:val="1"/>
      <w:numFmt w:val="decimal"/>
      <w:lvlText w:val="(%1)"/>
      <w:lvlJc w:val="left"/>
      <w:pPr>
        <w:ind w:left="1070" w:hanging="360"/>
      </w:pPr>
      <w:rPr>
        <w:rFonts w:hint="default"/>
        <w:b w:val="0"/>
        <w:i w:val="0"/>
        <w:sz w:val="24"/>
        <w:szCs w:val="24"/>
      </w:rPr>
    </w:lvl>
    <w:lvl w:ilvl="1" w:tplc="CC94F6AC">
      <w:start w:val="1"/>
      <w:numFmt w:val="lowerLetter"/>
      <w:lvlText w:val="(%2)"/>
      <w:lvlJc w:val="left"/>
      <w:pPr>
        <w:ind w:left="1440" w:hanging="360"/>
      </w:pPr>
      <w:rPr>
        <w:rFonts w:hint="default"/>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A277D5B"/>
    <w:multiLevelType w:val="hybridMultilevel"/>
    <w:tmpl w:val="E41CB46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C1170E8"/>
    <w:multiLevelType w:val="multilevel"/>
    <w:tmpl w:val="67C208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6">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66249A9"/>
    <w:multiLevelType w:val="hybridMultilevel"/>
    <w:tmpl w:val="09C0481C"/>
    <w:lvl w:ilvl="0" w:tplc="FD040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6E7D66"/>
    <w:multiLevelType w:val="multilevel"/>
    <w:tmpl w:val="CFF0AD2C"/>
    <w:name w:val="zzmpLegal1||Legal1|2|3|1|1|2|41||1|10|0||1|10|0||mpNA||mpNA||mpNA||mpNA||mpNA||mpNA||"/>
    <w:lvl w:ilvl="0">
      <w:start w:val="1"/>
      <w:numFmt w:val="decimal"/>
      <w:lvlText w:val="%1."/>
      <w:lvlJc w:val="left"/>
      <w:pPr>
        <w:tabs>
          <w:tab w:val="num" w:pos="720"/>
        </w:tabs>
        <w:ind w:left="720" w:hanging="720"/>
      </w:pPr>
      <w:rPr>
        <w:rFonts w:cs="Times New Roman"/>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cs="Times New Roman"/>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rFonts w:cs="Times New Roman"/>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30ED23EA"/>
    <w:multiLevelType w:val="hybridMultilevel"/>
    <w:tmpl w:val="69AA120A"/>
    <w:lvl w:ilvl="0" w:tplc="A7ACDA04">
      <w:start w:val="1"/>
      <w:numFmt w:val="decimal"/>
      <w:lvlText w:val="%1."/>
      <w:lvlJc w:val="left"/>
      <w:pPr>
        <w:ind w:left="786" w:hanging="360"/>
      </w:pPr>
      <w:rPr>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C013350"/>
    <w:multiLevelType w:val="hybridMultilevel"/>
    <w:tmpl w:val="B69274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1C2BBE"/>
    <w:multiLevelType w:val="hybridMultilevel"/>
    <w:tmpl w:val="A0E032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1093428"/>
    <w:multiLevelType w:val="multilevel"/>
    <w:tmpl w:val="6388D87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5170769B"/>
    <w:multiLevelType w:val="multilevel"/>
    <w:tmpl w:val="AECC3CF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B1A3A2B"/>
    <w:multiLevelType w:val="multilevel"/>
    <w:tmpl w:val="7F8202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BBC0E7B"/>
    <w:multiLevelType w:val="hybridMultilevel"/>
    <w:tmpl w:val="4B44F5F2"/>
    <w:styleLink w:val="81"/>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7">
    <w:nsid w:val="67F857FB"/>
    <w:multiLevelType w:val="hybridMultilevel"/>
    <w:tmpl w:val="0D085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6EC84EE4"/>
    <w:multiLevelType w:val="hybridMultilevel"/>
    <w:tmpl w:val="7838A080"/>
    <w:lvl w:ilvl="0" w:tplc="FD040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5D95138"/>
    <w:multiLevelType w:val="hybridMultilevel"/>
    <w:tmpl w:val="3E328FDE"/>
    <w:styleLink w:val="71"/>
    <w:lvl w:ilvl="0" w:tplc="BBD6A9F4">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7D0ADFE">
      <w:start w:val="1"/>
      <w:numFmt w:val="bullet"/>
      <w:lvlText w:val="·"/>
      <w:lvlJc w:val="left"/>
      <w:pPr>
        <w:ind w:left="10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564A4C2">
      <w:start w:val="1"/>
      <w:numFmt w:val="bullet"/>
      <w:lvlText w:val="·"/>
      <w:lvlJc w:val="left"/>
      <w:pPr>
        <w:ind w:left="180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178814E">
      <w:start w:val="1"/>
      <w:numFmt w:val="bullet"/>
      <w:lvlText w:val="·"/>
      <w:lvlJc w:val="left"/>
      <w:pPr>
        <w:ind w:left="25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F76EC4CC">
      <w:start w:val="1"/>
      <w:numFmt w:val="bullet"/>
      <w:lvlText w:val="·"/>
      <w:lvlJc w:val="left"/>
      <w:pPr>
        <w:ind w:left="324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A0C9F9C">
      <w:start w:val="1"/>
      <w:numFmt w:val="bullet"/>
      <w:lvlText w:val="·"/>
      <w:lvlJc w:val="left"/>
      <w:pPr>
        <w:ind w:left="396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1E26F70">
      <w:start w:val="1"/>
      <w:numFmt w:val="bullet"/>
      <w:lvlText w:val="·"/>
      <w:lvlJc w:val="left"/>
      <w:pPr>
        <w:ind w:left="46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86087854">
      <w:start w:val="1"/>
      <w:numFmt w:val="bullet"/>
      <w:lvlText w:val="·"/>
      <w:lvlJc w:val="left"/>
      <w:pPr>
        <w:ind w:left="540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34CC8D4">
      <w:start w:val="1"/>
      <w:numFmt w:val="bullet"/>
      <w:lvlText w:val="·"/>
      <w:lvlJc w:val="left"/>
      <w:pPr>
        <w:ind w:left="61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1">
    <w:nsid w:val="7F2A37A3"/>
    <w:multiLevelType w:val="multilevel"/>
    <w:tmpl w:val="80C220A8"/>
    <w:name w:val="zzmpLegal2||Legal2|2|3|1|1|10|33||1|10|33||1|10|33||1|10|33||1|12|0||1|12|0||1|12|2||1|12|0||1|10|0||"/>
    <w:lvl w:ilvl="0">
      <w:start w:val="1"/>
      <w:numFmt w:val="decimal"/>
      <w:pStyle w:val="Legal2L1"/>
      <w:lvlText w:val="%1."/>
      <w:lvlJc w:val="left"/>
      <w:pPr>
        <w:tabs>
          <w:tab w:val="left" w:pos="1440"/>
        </w:tabs>
        <w:ind w:hanging="720"/>
      </w:pPr>
      <w:rPr>
        <w:rFonts w:cs="Times New Roman"/>
        <w:b/>
        <w:i w:val="0"/>
        <w:caps w:val="0"/>
        <w:color w:val="auto"/>
      </w:rPr>
    </w:lvl>
    <w:lvl w:ilvl="1">
      <w:start w:val="1"/>
      <w:numFmt w:val="lowerLetter"/>
      <w:pStyle w:val="Legal2L2"/>
      <w:lvlText w:val="%2)"/>
      <w:lvlJc w:val="left"/>
      <w:pPr>
        <w:tabs>
          <w:tab w:val="left" w:pos="2160"/>
        </w:tabs>
        <w:ind w:hanging="720"/>
      </w:pPr>
      <w:rPr>
        <w:rFonts w:cs="Times New Roman"/>
        <w:b/>
        <w:i w:val="0"/>
        <w:caps w:val="0"/>
        <w:color w:val="auto"/>
      </w:rPr>
    </w:lvl>
    <w:lvl w:ilvl="2">
      <w:start w:val="1"/>
      <w:numFmt w:val="lowerRoman"/>
      <w:pStyle w:val="Legal2L3"/>
      <w:lvlText w:val="%3."/>
      <w:lvlJc w:val="right"/>
      <w:pPr>
        <w:tabs>
          <w:tab w:val="left" w:pos="3240"/>
        </w:tabs>
        <w:ind w:hanging="720"/>
      </w:pPr>
      <w:rPr>
        <w:rFonts w:cs="Times New Roman"/>
        <w:b/>
        <w:i w:val="0"/>
        <w:caps w:val="0"/>
        <w:color w:val="auto"/>
      </w:rPr>
    </w:lvl>
    <w:lvl w:ilvl="3">
      <w:start w:val="1"/>
      <w:numFmt w:val="lowerLetter"/>
      <w:pStyle w:val="Legal2L4"/>
      <w:lvlText w:val="%4."/>
      <w:lvlJc w:val="left"/>
      <w:pPr>
        <w:tabs>
          <w:tab w:val="left" w:pos="3960"/>
        </w:tabs>
        <w:ind w:hanging="720"/>
      </w:pPr>
      <w:rPr>
        <w:rFonts w:cs="Times New Roman"/>
        <w:b/>
        <w:i w:val="0"/>
        <w:caps w:val="0"/>
        <w:color w:val="auto"/>
      </w:rPr>
    </w:lvl>
    <w:lvl w:ilvl="4">
      <w:start w:val="1"/>
      <w:numFmt w:val="lowerLetter"/>
      <w:pStyle w:val="Legal2L5"/>
      <w:lvlText w:val="(%5)"/>
      <w:lvlJc w:val="left"/>
      <w:pPr>
        <w:tabs>
          <w:tab w:val="left" w:pos="720"/>
        </w:tabs>
        <w:ind w:hanging="720"/>
      </w:pPr>
      <w:rPr>
        <w:rFonts w:cs="Times New Roman"/>
        <w:b w:val="0"/>
        <w:i w:val="0"/>
        <w:caps w:val="0"/>
        <w:color w:val="auto"/>
      </w:rPr>
    </w:lvl>
    <w:lvl w:ilvl="5">
      <w:start w:val="1"/>
      <w:numFmt w:val="lowerRoman"/>
      <w:pStyle w:val="Legal2L6"/>
      <w:lvlText w:val="(%6)"/>
      <w:lvlJc w:val="left"/>
      <w:pPr>
        <w:tabs>
          <w:tab w:val="left" w:pos="720"/>
        </w:tabs>
        <w:ind w:hanging="720"/>
      </w:pPr>
      <w:rPr>
        <w:rFonts w:cs="Times New Roman"/>
        <w:b w:val="0"/>
        <w:i w:val="0"/>
        <w:caps w:val="0"/>
        <w:color w:val="auto"/>
      </w:rPr>
    </w:lvl>
    <w:lvl w:ilvl="6">
      <w:start w:val="1"/>
      <w:numFmt w:val="upperLetter"/>
      <w:pStyle w:val="Legal2L7"/>
      <w:lvlText w:val="(%7)"/>
      <w:lvlJc w:val="left"/>
      <w:pPr>
        <w:tabs>
          <w:tab w:val="left" w:pos="1440"/>
        </w:tabs>
        <w:ind w:hanging="720"/>
      </w:pPr>
      <w:rPr>
        <w:rFonts w:cs="Times New Roman"/>
        <w:b w:val="0"/>
        <w:i w:val="0"/>
        <w:caps w:val="0"/>
        <w:color w:val="auto"/>
      </w:rPr>
    </w:lvl>
    <w:lvl w:ilvl="7">
      <w:start w:val="1"/>
      <w:numFmt w:val="decimal"/>
      <w:lvlText w:val="%8."/>
      <w:lvlJc w:val="left"/>
      <w:pPr>
        <w:tabs>
          <w:tab w:val="left" w:pos="720"/>
        </w:tabs>
      </w:pPr>
      <w:rPr>
        <w:rFonts w:cs="Times New Roman"/>
        <w:b w:val="0"/>
        <w:i w:val="0"/>
        <w:caps w:val="0"/>
        <w:color w:val="auto"/>
      </w:rPr>
    </w:lvl>
    <w:lvl w:ilvl="8">
      <w:start w:val="1"/>
      <w:numFmt w:val="decimal"/>
      <w:pStyle w:val="Legal2L9"/>
      <w:lvlText w:val="%1.%9"/>
      <w:lvlJc w:val="left"/>
      <w:pPr>
        <w:tabs>
          <w:tab w:val="left" w:pos="720"/>
        </w:tabs>
        <w:ind w:hanging="720"/>
      </w:pPr>
      <w:rPr>
        <w:rFonts w:cs="Times New Roman"/>
        <w:b w:val="0"/>
        <w:i w:val="0"/>
        <w:caps w:val="0"/>
        <w:color w:val="auto"/>
      </w:rPr>
    </w:lvl>
  </w:abstractNum>
  <w:abstractNum w:abstractNumId="22">
    <w:nsid w:val="7F355920"/>
    <w:multiLevelType w:val="hybridMultilevel"/>
    <w:tmpl w:val="2D6E61C0"/>
    <w:lvl w:ilvl="0" w:tplc="FD040C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9"/>
  </w:num>
  <w:num w:numId="3">
    <w:abstractNumId w:val="1"/>
  </w:num>
  <w:num w:numId="4">
    <w:abstractNumId w:val="6"/>
  </w:num>
  <w:num w:numId="5">
    <w:abstractNumId w:val="16"/>
  </w:num>
  <w:num w:numId="6">
    <w:abstractNumId w:val="20"/>
  </w:num>
  <w:num w:numId="7">
    <w:abstractNumId w:val="2"/>
  </w:num>
  <w:num w:numId="8">
    <w:abstractNumId w:val="9"/>
    <w:lvlOverride w:ilvl="0"/>
    <w:lvlOverride w:ilvl="1"/>
    <w:lvlOverride w:ilvl="2"/>
    <w:lvlOverride w:ilvl="3"/>
    <w:lvlOverride w:ilvl="4"/>
    <w:lvlOverride w:ilvl="5"/>
    <w:lvlOverride w:ilvl="6"/>
    <w:lvlOverride w:ilvl="7"/>
    <w:lvlOverride w:ilvl="8"/>
  </w:num>
  <w:num w:numId="9">
    <w:abstractNumId w:val="21"/>
  </w:num>
  <w:num w:numId="10">
    <w:abstractNumId w:val="11"/>
  </w:num>
  <w:num w:numId="11">
    <w:abstractNumId w:val="3"/>
  </w:num>
  <w:num w:numId="12">
    <w:abstractNumId w:val="7"/>
  </w:num>
  <w:num w:numId="13">
    <w:abstractNumId w:val="22"/>
  </w:num>
  <w:num w:numId="14">
    <w:abstractNumId w:val="18"/>
  </w:num>
  <w:num w:numId="15">
    <w:abstractNumId w:val="13"/>
  </w:num>
  <w:num w:numId="16">
    <w:abstractNumId w:val="14"/>
  </w:num>
  <w:num w:numId="17">
    <w:abstractNumId w:val="10"/>
  </w:num>
  <w:num w:numId="18">
    <w:abstractNumId w:val="12"/>
  </w:num>
  <w:num w:numId="19">
    <w:abstractNumId w:val="19"/>
  </w:num>
  <w:num w:numId="20">
    <w:abstractNumId w:val="15"/>
  </w:num>
  <w:num w:numId="21">
    <w:abstractNumId w:val="17"/>
  </w:num>
  <w:num w:numId="22">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1186"/>
    <w:rsid w:val="00001771"/>
    <w:rsid w:val="00001F2A"/>
    <w:rsid w:val="00002A88"/>
    <w:rsid w:val="00003065"/>
    <w:rsid w:val="00003E02"/>
    <w:rsid w:val="00004079"/>
    <w:rsid w:val="00006685"/>
    <w:rsid w:val="00006F2C"/>
    <w:rsid w:val="00006F70"/>
    <w:rsid w:val="00010B31"/>
    <w:rsid w:val="00010C84"/>
    <w:rsid w:val="00011B51"/>
    <w:rsid w:val="00012950"/>
    <w:rsid w:val="00013C48"/>
    <w:rsid w:val="0001479B"/>
    <w:rsid w:val="00015BF6"/>
    <w:rsid w:val="0001605F"/>
    <w:rsid w:val="000164F3"/>
    <w:rsid w:val="000169F6"/>
    <w:rsid w:val="00016A79"/>
    <w:rsid w:val="000173CC"/>
    <w:rsid w:val="00021972"/>
    <w:rsid w:val="00021BE3"/>
    <w:rsid w:val="00022944"/>
    <w:rsid w:val="000238E0"/>
    <w:rsid w:val="00023C5E"/>
    <w:rsid w:val="00023E38"/>
    <w:rsid w:val="00024AE1"/>
    <w:rsid w:val="00026412"/>
    <w:rsid w:val="00027039"/>
    <w:rsid w:val="00027393"/>
    <w:rsid w:val="000305C0"/>
    <w:rsid w:val="00031291"/>
    <w:rsid w:val="00032909"/>
    <w:rsid w:val="000341CB"/>
    <w:rsid w:val="0003528E"/>
    <w:rsid w:val="000353BF"/>
    <w:rsid w:val="00035B0B"/>
    <w:rsid w:val="0003648B"/>
    <w:rsid w:val="00036ACC"/>
    <w:rsid w:val="00036CED"/>
    <w:rsid w:val="000371AF"/>
    <w:rsid w:val="00040728"/>
    <w:rsid w:val="00040A12"/>
    <w:rsid w:val="00040BC5"/>
    <w:rsid w:val="000424E5"/>
    <w:rsid w:val="00042B03"/>
    <w:rsid w:val="000436AC"/>
    <w:rsid w:val="000449DB"/>
    <w:rsid w:val="00044F2A"/>
    <w:rsid w:val="00045173"/>
    <w:rsid w:val="0004546A"/>
    <w:rsid w:val="000459A6"/>
    <w:rsid w:val="00045D6B"/>
    <w:rsid w:val="00046209"/>
    <w:rsid w:val="00046F80"/>
    <w:rsid w:val="00047211"/>
    <w:rsid w:val="000477C2"/>
    <w:rsid w:val="00050976"/>
    <w:rsid w:val="0005186F"/>
    <w:rsid w:val="000523B1"/>
    <w:rsid w:val="00052732"/>
    <w:rsid w:val="00052B8A"/>
    <w:rsid w:val="000534DF"/>
    <w:rsid w:val="00053894"/>
    <w:rsid w:val="0005467E"/>
    <w:rsid w:val="00056BBE"/>
    <w:rsid w:val="0005712D"/>
    <w:rsid w:val="000576DB"/>
    <w:rsid w:val="000613E7"/>
    <w:rsid w:val="00061AC4"/>
    <w:rsid w:val="00061BB0"/>
    <w:rsid w:val="00062936"/>
    <w:rsid w:val="00064EFC"/>
    <w:rsid w:val="00065108"/>
    <w:rsid w:val="00065BA9"/>
    <w:rsid w:val="00065D6F"/>
    <w:rsid w:val="00066ECF"/>
    <w:rsid w:val="00067089"/>
    <w:rsid w:val="00067638"/>
    <w:rsid w:val="00067896"/>
    <w:rsid w:val="000701C6"/>
    <w:rsid w:val="00070B31"/>
    <w:rsid w:val="00070EA6"/>
    <w:rsid w:val="000733AA"/>
    <w:rsid w:val="00073D4B"/>
    <w:rsid w:val="00074FFB"/>
    <w:rsid w:val="00075866"/>
    <w:rsid w:val="00076F02"/>
    <w:rsid w:val="000772A9"/>
    <w:rsid w:val="000773DF"/>
    <w:rsid w:val="0007788D"/>
    <w:rsid w:val="00077ADD"/>
    <w:rsid w:val="00077C9B"/>
    <w:rsid w:val="000809EA"/>
    <w:rsid w:val="00082DAC"/>
    <w:rsid w:val="000832C9"/>
    <w:rsid w:val="000835B0"/>
    <w:rsid w:val="00085CA7"/>
    <w:rsid w:val="00085EFD"/>
    <w:rsid w:val="00086F4F"/>
    <w:rsid w:val="0009158B"/>
    <w:rsid w:val="000924E0"/>
    <w:rsid w:val="00092C57"/>
    <w:rsid w:val="000937A8"/>
    <w:rsid w:val="00093D49"/>
    <w:rsid w:val="000941D0"/>
    <w:rsid w:val="00096511"/>
    <w:rsid w:val="000968AA"/>
    <w:rsid w:val="00096BF5"/>
    <w:rsid w:val="000973FD"/>
    <w:rsid w:val="000A0365"/>
    <w:rsid w:val="000A097A"/>
    <w:rsid w:val="000A0A9D"/>
    <w:rsid w:val="000A0B6A"/>
    <w:rsid w:val="000A240B"/>
    <w:rsid w:val="000A2F8B"/>
    <w:rsid w:val="000A397C"/>
    <w:rsid w:val="000A3D07"/>
    <w:rsid w:val="000A4598"/>
    <w:rsid w:val="000A5E34"/>
    <w:rsid w:val="000A684F"/>
    <w:rsid w:val="000A7116"/>
    <w:rsid w:val="000A7ED5"/>
    <w:rsid w:val="000B0FBE"/>
    <w:rsid w:val="000B2843"/>
    <w:rsid w:val="000B2844"/>
    <w:rsid w:val="000B2B0F"/>
    <w:rsid w:val="000B2F4F"/>
    <w:rsid w:val="000B309C"/>
    <w:rsid w:val="000B362F"/>
    <w:rsid w:val="000B38A4"/>
    <w:rsid w:val="000B44C8"/>
    <w:rsid w:val="000B4729"/>
    <w:rsid w:val="000B5608"/>
    <w:rsid w:val="000B5833"/>
    <w:rsid w:val="000B5C9F"/>
    <w:rsid w:val="000B5E75"/>
    <w:rsid w:val="000B6C1D"/>
    <w:rsid w:val="000B713B"/>
    <w:rsid w:val="000B7B2F"/>
    <w:rsid w:val="000C0A59"/>
    <w:rsid w:val="000C1232"/>
    <w:rsid w:val="000C3450"/>
    <w:rsid w:val="000C39F3"/>
    <w:rsid w:val="000C3C94"/>
    <w:rsid w:val="000C3E1E"/>
    <w:rsid w:val="000C3E63"/>
    <w:rsid w:val="000C43C6"/>
    <w:rsid w:val="000C49D9"/>
    <w:rsid w:val="000C4D0B"/>
    <w:rsid w:val="000C60C3"/>
    <w:rsid w:val="000C6A81"/>
    <w:rsid w:val="000C6D9C"/>
    <w:rsid w:val="000C7C98"/>
    <w:rsid w:val="000D010E"/>
    <w:rsid w:val="000D07EA"/>
    <w:rsid w:val="000D0873"/>
    <w:rsid w:val="000D08D5"/>
    <w:rsid w:val="000D0D03"/>
    <w:rsid w:val="000D1AC4"/>
    <w:rsid w:val="000D1AD7"/>
    <w:rsid w:val="000D3F4C"/>
    <w:rsid w:val="000D42C4"/>
    <w:rsid w:val="000D5168"/>
    <w:rsid w:val="000D5D3C"/>
    <w:rsid w:val="000E0A5B"/>
    <w:rsid w:val="000E1F84"/>
    <w:rsid w:val="000E3197"/>
    <w:rsid w:val="000E3281"/>
    <w:rsid w:val="000E3751"/>
    <w:rsid w:val="000E3ADF"/>
    <w:rsid w:val="000E3E66"/>
    <w:rsid w:val="000E3FC7"/>
    <w:rsid w:val="000E40E3"/>
    <w:rsid w:val="000E4603"/>
    <w:rsid w:val="000E522D"/>
    <w:rsid w:val="000E527C"/>
    <w:rsid w:val="000E55DA"/>
    <w:rsid w:val="000E5C40"/>
    <w:rsid w:val="000E5C6D"/>
    <w:rsid w:val="000F064B"/>
    <w:rsid w:val="000F0EBA"/>
    <w:rsid w:val="000F0FC2"/>
    <w:rsid w:val="000F104E"/>
    <w:rsid w:val="000F1755"/>
    <w:rsid w:val="000F1C18"/>
    <w:rsid w:val="000F1FA9"/>
    <w:rsid w:val="000F2811"/>
    <w:rsid w:val="000F3388"/>
    <w:rsid w:val="000F5A25"/>
    <w:rsid w:val="000F5DCC"/>
    <w:rsid w:val="000F5DE1"/>
    <w:rsid w:val="001003FC"/>
    <w:rsid w:val="0010064C"/>
    <w:rsid w:val="00100D93"/>
    <w:rsid w:val="00100E17"/>
    <w:rsid w:val="00101E8D"/>
    <w:rsid w:val="0010328E"/>
    <w:rsid w:val="001041E2"/>
    <w:rsid w:val="00104B04"/>
    <w:rsid w:val="00104BBC"/>
    <w:rsid w:val="0010539C"/>
    <w:rsid w:val="0010539E"/>
    <w:rsid w:val="00106055"/>
    <w:rsid w:val="0010766C"/>
    <w:rsid w:val="001111FD"/>
    <w:rsid w:val="00111DE6"/>
    <w:rsid w:val="00111E09"/>
    <w:rsid w:val="001124D6"/>
    <w:rsid w:val="001139F0"/>
    <w:rsid w:val="00114FCA"/>
    <w:rsid w:val="001155A6"/>
    <w:rsid w:val="001162D4"/>
    <w:rsid w:val="001162DF"/>
    <w:rsid w:val="00116458"/>
    <w:rsid w:val="00116B55"/>
    <w:rsid w:val="001170BB"/>
    <w:rsid w:val="00121148"/>
    <w:rsid w:val="00123221"/>
    <w:rsid w:val="0012398B"/>
    <w:rsid w:val="00123A07"/>
    <w:rsid w:val="001241A9"/>
    <w:rsid w:val="00125098"/>
    <w:rsid w:val="00126B02"/>
    <w:rsid w:val="0012711C"/>
    <w:rsid w:val="0012739B"/>
    <w:rsid w:val="001278AD"/>
    <w:rsid w:val="00127CAE"/>
    <w:rsid w:val="00130ED9"/>
    <w:rsid w:val="00131352"/>
    <w:rsid w:val="00131A76"/>
    <w:rsid w:val="0013201D"/>
    <w:rsid w:val="001324B6"/>
    <w:rsid w:val="001325BF"/>
    <w:rsid w:val="00133CA7"/>
    <w:rsid w:val="0013409C"/>
    <w:rsid w:val="00134A1B"/>
    <w:rsid w:val="001351C0"/>
    <w:rsid w:val="001359AF"/>
    <w:rsid w:val="00135F65"/>
    <w:rsid w:val="001361A1"/>
    <w:rsid w:val="0013665D"/>
    <w:rsid w:val="00137E63"/>
    <w:rsid w:val="00140006"/>
    <w:rsid w:val="0014100D"/>
    <w:rsid w:val="00141ECE"/>
    <w:rsid w:val="00141F9C"/>
    <w:rsid w:val="00142788"/>
    <w:rsid w:val="00143928"/>
    <w:rsid w:val="001449F4"/>
    <w:rsid w:val="0014527F"/>
    <w:rsid w:val="00145A7C"/>
    <w:rsid w:val="00146A88"/>
    <w:rsid w:val="001507C2"/>
    <w:rsid w:val="00150D02"/>
    <w:rsid w:val="00151BD2"/>
    <w:rsid w:val="00152284"/>
    <w:rsid w:val="001526DA"/>
    <w:rsid w:val="001539D7"/>
    <w:rsid w:val="00155896"/>
    <w:rsid w:val="00156778"/>
    <w:rsid w:val="00156D8C"/>
    <w:rsid w:val="00157D4A"/>
    <w:rsid w:val="00160678"/>
    <w:rsid w:val="001632B4"/>
    <w:rsid w:val="00164D94"/>
    <w:rsid w:val="00165519"/>
    <w:rsid w:val="00165C79"/>
    <w:rsid w:val="00165DE6"/>
    <w:rsid w:val="00166323"/>
    <w:rsid w:val="0016662E"/>
    <w:rsid w:val="001669AC"/>
    <w:rsid w:val="001669B9"/>
    <w:rsid w:val="00167EC3"/>
    <w:rsid w:val="001705DE"/>
    <w:rsid w:val="00170EA8"/>
    <w:rsid w:val="00171E81"/>
    <w:rsid w:val="00172752"/>
    <w:rsid w:val="00172E6D"/>
    <w:rsid w:val="00173606"/>
    <w:rsid w:val="00173DA0"/>
    <w:rsid w:val="001747F8"/>
    <w:rsid w:val="00175592"/>
    <w:rsid w:val="00175D95"/>
    <w:rsid w:val="0017625C"/>
    <w:rsid w:val="001765FD"/>
    <w:rsid w:val="00176B7C"/>
    <w:rsid w:val="00176D95"/>
    <w:rsid w:val="00176DC7"/>
    <w:rsid w:val="00183752"/>
    <w:rsid w:val="00183C0F"/>
    <w:rsid w:val="00185BDB"/>
    <w:rsid w:val="001864E6"/>
    <w:rsid w:val="00187A5C"/>
    <w:rsid w:val="00187C67"/>
    <w:rsid w:val="00190F2F"/>
    <w:rsid w:val="0019246C"/>
    <w:rsid w:val="00193E85"/>
    <w:rsid w:val="00194D76"/>
    <w:rsid w:val="0019545D"/>
    <w:rsid w:val="00195A65"/>
    <w:rsid w:val="00195F81"/>
    <w:rsid w:val="001968B9"/>
    <w:rsid w:val="001968E5"/>
    <w:rsid w:val="00196D57"/>
    <w:rsid w:val="001A03B9"/>
    <w:rsid w:val="001A0577"/>
    <w:rsid w:val="001A07D4"/>
    <w:rsid w:val="001A18A7"/>
    <w:rsid w:val="001A298A"/>
    <w:rsid w:val="001A2B6D"/>
    <w:rsid w:val="001A2C14"/>
    <w:rsid w:val="001A33C2"/>
    <w:rsid w:val="001A3A6E"/>
    <w:rsid w:val="001A3C4A"/>
    <w:rsid w:val="001A53BF"/>
    <w:rsid w:val="001A5827"/>
    <w:rsid w:val="001A5F48"/>
    <w:rsid w:val="001A7474"/>
    <w:rsid w:val="001A751A"/>
    <w:rsid w:val="001B01B8"/>
    <w:rsid w:val="001B102F"/>
    <w:rsid w:val="001B1A60"/>
    <w:rsid w:val="001B2B5B"/>
    <w:rsid w:val="001B337A"/>
    <w:rsid w:val="001B548A"/>
    <w:rsid w:val="001B55E8"/>
    <w:rsid w:val="001B5619"/>
    <w:rsid w:val="001B56A1"/>
    <w:rsid w:val="001B6E01"/>
    <w:rsid w:val="001C07F9"/>
    <w:rsid w:val="001C17F2"/>
    <w:rsid w:val="001C1811"/>
    <w:rsid w:val="001C193F"/>
    <w:rsid w:val="001C1C8F"/>
    <w:rsid w:val="001C28AF"/>
    <w:rsid w:val="001C3948"/>
    <w:rsid w:val="001C41D1"/>
    <w:rsid w:val="001C4736"/>
    <w:rsid w:val="001C4E31"/>
    <w:rsid w:val="001C635A"/>
    <w:rsid w:val="001C6616"/>
    <w:rsid w:val="001C6A8A"/>
    <w:rsid w:val="001C6C6D"/>
    <w:rsid w:val="001D00DA"/>
    <w:rsid w:val="001D07B6"/>
    <w:rsid w:val="001D1632"/>
    <w:rsid w:val="001D1806"/>
    <w:rsid w:val="001D1B6E"/>
    <w:rsid w:val="001D2472"/>
    <w:rsid w:val="001D377B"/>
    <w:rsid w:val="001D39E4"/>
    <w:rsid w:val="001D421C"/>
    <w:rsid w:val="001D4531"/>
    <w:rsid w:val="001D618F"/>
    <w:rsid w:val="001D6C00"/>
    <w:rsid w:val="001D73E3"/>
    <w:rsid w:val="001D76F1"/>
    <w:rsid w:val="001D7FEE"/>
    <w:rsid w:val="001E178A"/>
    <w:rsid w:val="001E1B5C"/>
    <w:rsid w:val="001E2BFB"/>
    <w:rsid w:val="001E2E73"/>
    <w:rsid w:val="001E3E2A"/>
    <w:rsid w:val="001E4865"/>
    <w:rsid w:val="001E4B96"/>
    <w:rsid w:val="001E57AE"/>
    <w:rsid w:val="001F161B"/>
    <w:rsid w:val="001F1CF2"/>
    <w:rsid w:val="001F36F3"/>
    <w:rsid w:val="001F684B"/>
    <w:rsid w:val="001F70C1"/>
    <w:rsid w:val="001F714F"/>
    <w:rsid w:val="001F7AFD"/>
    <w:rsid w:val="002007D0"/>
    <w:rsid w:val="002019E7"/>
    <w:rsid w:val="00201C18"/>
    <w:rsid w:val="00203EB6"/>
    <w:rsid w:val="00204075"/>
    <w:rsid w:val="00204610"/>
    <w:rsid w:val="00204E93"/>
    <w:rsid w:val="00205544"/>
    <w:rsid w:val="0020591D"/>
    <w:rsid w:val="00205CB4"/>
    <w:rsid w:val="002064CF"/>
    <w:rsid w:val="00206E17"/>
    <w:rsid w:val="00207F69"/>
    <w:rsid w:val="00207F74"/>
    <w:rsid w:val="00210F5B"/>
    <w:rsid w:val="002112AE"/>
    <w:rsid w:val="00211C45"/>
    <w:rsid w:val="00211FA6"/>
    <w:rsid w:val="00212199"/>
    <w:rsid w:val="002151B6"/>
    <w:rsid w:val="002151E6"/>
    <w:rsid w:val="00215FE4"/>
    <w:rsid w:val="00215FFB"/>
    <w:rsid w:val="00216129"/>
    <w:rsid w:val="00217B49"/>
    <w:rsid w:val="00217BC5"/>
    <w:rsid w:val="00217E3A"/>
    <w:rsid w:val="002209E2"/>
    <w:rsid w:val="002213BD"/>
    <w:rsid w:val="00221A06"/>
    <w:rsid w:val="00221E2A"/>
    <w:rsid w:val="00222282"/>
    <w:rsid w:val="00223303"/>
    <w:rsid w:val="00223DEB"/>
    <w:rsid w:val="00224409"/>
    <w:rsid w:val="00224C31"/>
    <w:rsid w:val="00224E28"/>
    <w:rsid w:val="00227D96"/>
    <w:rsid w:val="00230A2C"/>
    <w:rsid w:val="0023167B"/>
    <w:rsid w:val="002329A0"/>
    <w:rsid w:val="00232E3A"/>
    <w:rsid w:val="0023390C"/>
    <w:rsid w:val="00235ED3"/>
    <w:rsid w:val="00236DE7"/>
    <w:rsid w:val="002406C9"/>
    <w:rsid w:val="00240B50"/>
    <w:rsid w:val="0024110C"/>
    <w:rsid w:val="00241949"/>
    <w:rsid w:val="00241B81"/>
    <w:rsid w:val="0024330A"/>
    <w:rsid w:val="0024360A"/>
    <w:rsid w:val="00243DA4"/>
    <w:rsid w:val="0024449B"/>
    <w:rsid w:val="00244D61"/>
    <w:rsid w:val="00245286"/>
    <w:rsid w:val="00246061"/>
    <w:rsid w:val="00247726"/>
    <w:rsid w:val="00247E4D"/>
    <w:rsid w:val="00250887"/>
    <w:rsid w:val="002508A1"/>
    <w:rsid w:val="00250C04"/>
    <w:rsid w:val="00250FBA"/>
    <w:rsid w:val="002515DC"/>
    <w:rsid w:val="0025212A"/>
    <w:rsid w:val="002523B1"/>
    <w:rsid w:val="00252B8A"/>
    <w:rsid w:val="0025315F"/>
    <w:rsid w:val="00253FEA"/>
    <w:rsid w:val="00254C34"/>
    <w:rsid w:val="00254E62"/>
    <w:rsid w:val="002560AF"/>
    <w:rsid w:val="0026057D"/>
    <w:rsid w:val="00260E57"/>
    <w:rsid w:val="00261174"/>
    <w:rsid w:val="002620BB"/>
    <w:rsid w:val="00262106"/>
    <w:rsid w:val="002622CE"/>
    <w:rsid w:val="00262CB9"/>
    <w:rsid w:val="0026307E"/>
    <w:rsid w:val="00263D1A"/>
    <w:rsid w:val="00263FD4"/>
    <w:rsid w:val="00264131"/>
    <w:rsid w:val="002644F7"/>
    <w:rsid w:val="002657B5"/>
    <w:rsid w:val="00265DCF"/>
    <w:rsid w:val="00265F96"/>
    <w:rsid w:val="00266006"/>
    <w:rsid w:val="002661A1"/>
    <w:rsid w:val="0026688B"/>
    <w:rsid w:val="002700C0"/>
    <w:rsid w:val="0027031B"/>
    <w:rsid w:val="00270952"/>
    <w:rsid w:val="00271203"/>
    <w:rsid w:val="002726D8"/>
    <w:rsid w:val="0027465B"/>
    <w:rsid w:val="002749C5"/>
    <w:rsid w:val="002758B0"/>
    <w:rsid w:val="00276FA5"/>
    <w:rsid w:val="0027700D"/>
    <w:rsid w:val="00277120"/>
    <w:rsid w:val="00277254"/>
    <w:rsid w:val="00282D18"/>
    <w:rsid w:val="00283796"/>
    <w:rsid w:val="00284626"/>
    <w:rsid w:val="002849F1"/>
    <w:rsid w:val="00284FCD"/>
    <w:rsid w:val="002851A8"/>
    <w:rsid w:val="002855E8"/>
    <w:rsid w:val="00285F69"/>
    <w:rsid w:val="002861A8"/>
    <w:rsid w:val="002914BB"/>
    <w:rsid w:val="00292413"/>
    <w:rsid w:val="00293F72"/>
    <w:rsid w:val="0029448A"/>
    <w:rsid w:val="002945E4"/>
    <w:rsid w:val="00294C2E"/>
    <w:rsid w:val="002950FF"/>
    <w:rsid w:val="0029565B"/>
    <w:rsid w:val="00295B99"/>
    <w:rsid w:val="0029699B"/>
    <w:rsid w:val="002974E2"/>
    <w:rsid w:val="00297B70"/>
    <w:rsid w:val="002A14C1"/>
    <w:rsid w:val="002A22AD"/>
    <w:rsid w:val="002A3144"/>
    <w:rsid w:val="002A3323"/>
    <w:rsid w:val="002A4148"/>
    <w:rsid w:val="002A4510"/>
    <w:rsid w:val="002A540C"/>
    <w:rsid w:val="002A5421"/>
    <w:rsid w:val="002A6C07"/>
    <w:rsid w:val="002A724D"/>
    <w:rsid w:val="002A7E00"/>
    <w:rsid w:val="002B12F1"/>
    <w:rsid w:val="002B282F"/>
    <w:rsid w:val="002B2983"/>
    <w:rsid w:val="002B29ED"/>
    <w:rsid w:val="002B2C15"/>
    <w:rsid w:val="002B2CB2"/>
    <w:rsid w:val="002B30BE"/>
    <w:rsid w:val="002B3DF4"/>
    <w:rsid w:val="002B4BAD"/>
    <w:rsid w:val="002B54D2"/>
    <w:rsid w:val="002B65EA"/>
    <w:rsid w:val="002B6EB3"/>
    <w:rsid w:val="002B7547"/>
    <w:rsid w:val="002C0DE5"/>
    <w:rsid w:val="002C1E7F"/>
    <w:rsid w:val="002C37CA"/>
    <w:rsid w:val="002C3D81"/>
    <w:rsid w:val="002C46F5"/>
    <w:rsid w:val="002C4C9F"/>
    <w:rsid w:val="002C5AB0"/>
    <w:rsid w:val="002D025C"/>
    <w:rsid w:val="002D0614"/>
    <w:rsid w:val="002D0ED8"/>
    <w:rsid w:val="002D147C"/>
    <w:rsid w:val="002D183D"/>
    <w:rsid w:val="002D1842"/>
    <w:rsid w:val="002D3DFD"/>
    <w:rsid w:val="002D468C"/>
    <w:rsid w:val="002D7997"/>
    <w:rsid w:val="002E0308"/>
    <w:rsid w:val="002E096E"/>
    <w:rsid w:val="002E1587"/>
    <w:rsid w:val="002E183F"/>
    <w:rsid w:val="002E1A72"/>
    <w:rsid w:val="002E2F73"/>
    <w:rsid w:val="002E316E"/>
    <w:rsid w:val="002E3447"/>
    <w:rsid w:val="002E47D2"/>
    <w:rsid w:val="002E4E6D"/>
    <w:rsid w:val="002E501C"/>
    <w:rsid w:val="002E550A"/>
    <w:rsid w:val="002E5CAE"/>
    <w:rsid w:val="002E5D89"/>
    <w:rsid w:val="002E614C"/>
    <w:rsid w:val="002E6F82"/>
    <w:rsid w:val="002F01A0"/>
    <w:rsid w:val="002F07CC"/>
    <w:rsid w:val="002F1CB8"/>
    <w:rsid w:val="002F2A69"/>
    <w:rsid w:val="002F2CE8"/>
    <w:rsid w:val="002F4165"/>
    <w:rsid w:val="002F4BA3"/>
    <w:rsid w:val="002F51DD"/>
    <w:rsid w:val="002F6756"/>
    <w:rsid w:val="002F6DFD"/>
    <w:rsid w:val="002F7B9C"/>
    <w:rsid w:val="002F7C8B"/>
    <w:rsid w:val="003007C0"/>
    <w:rsid w:val="00300F36"/>
    <w:rsid w:val="003017DA"/>
    <w:rsid w:val="00302B71"/>
    <w:rsid w:val="0030431B"/>
    <w:rsid w:val="0030467E"/>
    <w:rsid w:val="0030555B"/>
    <w:rsid w:val="00305979"/>
    <w:rsid w:val="00305F0F"/>
    <w:rsid w:val="00306152"/>
    <w:rsid w:val="003074F6"/>
    <w:rsid w:val="00310C9B"/>
    <w:rsid w:val="00310FA6"/>
    <w:rsid w:val="00311804"/>
    <w:rsid w:val="00311BA3"/>
    <w:rsid w:val="0031205E"/>
    <w:rsid w:val="00312CEB"/>
    <w:rsid w:val="00313107"/>
    <w:rsid w:val="00313415"/>
    <w:rsid w:val="00313CCE"/>
    <w:rsid w:val="00313FDE"/>
    <w:rsid w:val="003157F8"/>
    <w:rsid w:val="003164EE"/>
    <w:rsid w:val="0031669D"/>
    <w:rsid w:val="003169CB"/>
    <w:rsid w:val="00316A1C"/>
    <w:rsid w:val="003174B2"/>
    <w:rsid w:val="003174D7"/>
    <w:rsid w:val="00317810"/>
    <w:rsid w:val="0032055D"/>
    <w:rsid w:val="0032063D"/>
    <w:rsid w:val="00321A36"/>
    <w:rsid w:val="00321EA7"/>
    <w:rsid w:val="00322E30"/>
    <w:rsid w:val="00323EDC"/>
    <w:rsid w:val="00327A7A"/>
    <w:rsid w:val="003303DC"/>
    <w:rsid w:val="00330C16"/>
    <w:rsid w:val="00333DAA"/>
    <w:rsid w:val="0033420F"/>
    <w:rsid w:val="0033599D"/>
    <w:rsid w:val="003359E9"/>
    <w:rsid w:val="00335AFC"/>
    <w:rsid w:val="00335C9C"/>
    <w:rsid w:val="00335CB1"/>
    <w:rsid w:val="003365D1"/>
    <w:rsid w:val="0033738E"/>
    <w:rsid w:val="00337711"/>
    <w:rsid w:val="00337980"/>
    <w:rsid w:val="00340A02"/>
    <w:rsid w:val="0034119F"/>
    <w:rsid w:val="00341339"/>
    <w:rsid w:val="00341F33"/>
    <w:rsid w:val="00341F82"/>
    <w:rsid w:val="003424BC"/>
    <w:rsid w:val="00344D63"/>
    <w:rsid w:val="003457A8"/>
    <w:rsid w:val="003462B4"/>
    <w:rsid w:val="00346DF9"/>
    <w:rsid w:val="003471FB"/>
    <w:rsid w:val="00347B69"/>
    <w:rsid w:val="003501FD"/>
    <w:rsid w:val="00350587"/>
    <w:rsid w:val="00350724"/>
    <w:rsid w:val="00350B42"/>
    <w:rsid w:val="00351570"/>
    <w:rsid w:val="003533B7"/>
    <w:rsid w:val="00353E12"/>
    <w:rsid w:val="00353FA8"/>
    <w:rsid w:val="003540A5"/>
    <w:rsid w:val="00354774"/>
    <w:rsid w:val="00355C03"/>
    <w:rsid w:val="0035605D"/>
    <w:rsid w:val="00356FA8"/>
    <w:rsid w:val="0035742F"/>
    <w:rsid w:val="00357ED1"/>
    <w:rsid w:val="00360012"/>
    <w:rsid w:val="00362E25"/>
    <w:rsid w:val="003637D7"/>
    <w:rsid w:val="003651DB"/>
    <w:rsid w:val="003656DC"/>
    <w:rsid w:val="003664DF"/>
    <w:rsid w:val="00366597"/>
    <w:rsid w:val="003679FD"/>
    <w:rsid w:val="0037097A"/>
    <w:rsid w:val="003715A8"/>
    <w:rsid w:val="00372149"/>
    <w:rsid w:val="003723DE"/>
    <w:rsid w:val="003738D5"/>
    <w:rsid w:val="003743CB"/>
    <w:rsid w:val="003754CB"/>
    <w:rsid w:val="00375A1F"/>
    <w:rsid w:val="00375F3B"/>
    <w:rsid w:val="00376376"/>
    <w:rsid w:val="00376959"/>
    <w:rsid w:val="00376F4B"/>
    <w:rsid w:val="0037700D"/>
    <w:rsid w:val="0037743C"/>
    <w:rsid w:val="00377510"/>
    <w:rsid w:val="00377534"/>
    <w:rsid w:val="003800C9"/>
    <w:rsid w:val="003815D3"/>
    <w:rsid w:val="00381823"/>
    <w:rsid w:val="00381A54"/>
    <w:rsid w:val="00381F21"/>
    <w:rsid w:val="003820F4"/>
    <w:rsid w:val="003822B1"/>
    <w:rsid w:val="0038230E"/>
    <w:rsid w:val="00382752"/>
    <w:rsid w:val="003829CA"/>
    <w:rsid w:val="003838D2"/>
    <w:rsid w:val="003845DC"/>
    <w:rsid w:val="00384774"/>
    <w:rsid w:val="003850B7"/>
    <w:rsid w:val="00386995"/>
    <w:rsid w:val="00386EEA"/>
    <w:rsid w:val="00390231"/>
    <w:rsid w:val="003904D2"/>
    <w:rsid w:val="003904D9"/>
    <w:rsid w:val="00390576"/>
    <w:rsid w:val="00390A75"/>
    <w:rsid w:val="00390B0C"/>
    <w:rsid w:val="003910F3"/>
    <w:rsid w:val="0039117C"/>
    <w:rsid w:val="00391586"/>
    <w:rsid w:val="00391C77"/>
    <w:rsid w:val="00391E67"/>
    <w:rsid w:val="00392C00"/>
    <w:rsid w:val="00392CE6"/>
    <w:rsid w:val="00392D12"/>
    <w:rsid w:val="00394C25"/>
    <w:rsid w:val="00396902"/>
    <w:rsid w:val="003971BB"/>
    <w:rsid w:val="00397218"/>
    <w:rsid w:val="003974E3"/>
    <w:rsid w:val="003A0181"/>
    <w:rsid w:val="003A0790"/>
    <w:rsid w:val="003A0EBC"/>
    <w:rsid w:val="003A12B9"/>
    <w:rsid w:val="003A2B03"/>
    <w:rsid w:val="003A3C8B"/>
    <w:rsid w:val="003A3E85"/>
    <w:rsid w:val="003A513E"/>
    <w:rsid w:val="003A6A1B"/>
    <w:rsid w:val="003A7949"/>
    <w:rsid w:val="003A7CDF"/>
    <w:rsid w:val="003A7ECB"/>
    <w:rsid w:val="003B1ADC"/>
    <w:rsid w:val="003B1C2C"/>
    <w:rsid w:val="003B2A78"/>
    <w:rsid w:val="003B2A99"/>
    <w:rsid w:val="003B2EA1"/>
    <w:rsid w:val="003B3B67"/>
    <w:rsid w:val="003B3FB9"/>
    <w:rsid w:val="003B4C28"/>
    <w:rsid w:val="003B4E2F"/>
    <w:rsid w:val="003B4EFB"/>
    <w:rsid w:val="003B5C4C"/>
    <w:rsid w:val="003B62F6"/>
    <w:rsid w:val="003B667C"/>
    <w:rsid w:val="003C000C"/>
    <w:rsid w:val="003C0014"/>
    <w:rsid w:val="003C005D"/>
    <w:rsid w:val="003C0424"/>
    <w:rsid w:val="003C0561"/>
    <w:rsid w:val="003C08D0"/>
    <w:rsid w:val="003C0A0D"/>
    <w:rsid w:val="003C0DAD"/>
    <w:rsid w:val="003C0E3F"/>
    <w:rsid w:val="003C197B"/>
    <w:rsid w:val="003C1BCC"/>
    <w:rsid w:val="003C2124"/>
    <w:rsid w:val="003C36E0"/>
    <w:rsid w:val="003C3CF5"/>
    <w:rsid w:val="003C40DF"/>
    <w:rsid w:val="003C44A2"/>
    <w:rsid w:val="003C5365"/>
    <w:rsid w:val="003C5511"/>
    <w:rsid w:val="003C5D9F"/>
    <w:rsid w:val="003C68B5"/>
    <w:rsid w:val="003C6D95"/>
    <w:rsid w:val="003C79C5"/>
    <w:rsid w:val="003C7A05"/>
    <w:rsid w:val="003D12E1"/>
    <w:rsid w:val="003D1779"/>
    <w:rsid w:val="003D1E0F"/>
    <w:rsid w:val="003D20FF"/>
    <w:rsid w:val="003D223C"/>
    <w:rsid w:val="003D2A01"/>
    <w:rsid w:val="003D2EF7"/>
    <w:rsid w:val="003D4792"/>
    <w:rsid w:val="003D48A5"/>
    <w:rsid w:val="003D54A8"/>
    <w:rsid w:val="003D6607"/>
    <w:rsid w:val="003D6B5F"/>
    <w:rsid w:val="003E0FD9"/>
    <w:rsid w:val="003E1609"/>
    <w:rsid w:val="003E1735"/>
    <w:rsid w:val="003E20EE"/>
    <w:rsid w:val="003E22CB"/>
    <w:rsid w:val="003E25C7"/>
    <w:rsid w:val="003E2F30"/>
    <w:rsid w:val="003E3916"/>
    <w:rsid w:val="003E3F6A"/>
    <w:rsid w:val="003E5104"/>
    <w:rsid w:val="003E5336"/>
    <w:rsid w:val="003E6254"/>
    <w:rsid w:val="003E6D4C"/>
    <w:rsid w:val="003E7305"/>
    <w:rsid w:val="003E7418"/>
    <w:rsid w:val="003F06DC"/>
    <w:rsid w:val="003F094C"/>
    <w:rsid w:val="003F1414"/>
    <w:rsid w:val="003F1885"/>
    <w:rsid w:val="003F267A"/>
    <w:rsid w:val="003F4E47"/>
    <w:rsid w:val="003F5B85"/>
    <w:rsid w:val="003F5BA9"/>
    <w:rsid w:val="003F6FF5"/>
    <w:rsid w:val="003F77C2"/>
    <w:rsid w:val="00400229"/>
    <w:rsid w:val="0040072D"/>
    <w:rsid w:val="004013BC"/>
    <w:rsid w:val="0040152F"/>
    <w:rsid w:val="0040240F"/>
    <w:rsid w:val="00403F9A"/>
    <w:rsid w:val="00404A88"/>
    <w:rsid w:val="00405909"/>
    <w:rsid w:val="00405A4E"/>
    <w:rsid w:val="00405C71"/>
    <w:rsid w:val="004066EF"/>
    <w:rsid w:val="004070E0"/>
    <w:rsid w:val="00407BC2"/>
    <w:rsid w:val="00410221"/>
    <w:rsid w:val="0041053D"/>
    <w:rsid w:val="00410F33"/>
    <w:rsid w:val="0041223E"/>
    <w:rsid w:val="00414C62"/>
    <w:rsid w:val="004165B2"/>
    <w:rsid w:val="00416C41"/>
    <w:rsid w:val="0041742B"/>
    <w:rsid w:val="00417DB7"/>
    <w:rsid w:val="00420AF0"/>
    <w:rsid w:val="00420E57"/>
    <w:rsid w:val="004218C8"/>
    <w:rsid w:val="00421A2E"/>
    <w:rsid w:val="00421A42"/>
    <w:rsid w:val="00422999"/>
    <w:rsid w:val="00422AC2"/>
    <w:rsid w:val="00422F5D"/>
    <w:rsid w:val="00423C3B"/>
    <w:rsid w:val="00424051"/>
    <w:rsid w:val="00425482"/>
    <w:rsid w:val="00426203"/>
    <w:rsid w:val="0042622D"/>
    <w:rsid w:val="004264BD"/>
    <w:rsid w:val="0042674F"/>
    <w:rsid w:val="00427234"/>
    <w:rsid w:val="00427731"/>
    <w:rsid w:val="00427CFD"/>
    <w:rsid w:val="00427F67"/>
    <w:rsid w:val="00430964"/>
    <w:rsid w:val="004315CE"/>
    <w:rsid w:val="004316F0"/>
    <w:rsid w:val="00432413"/>
    <w:rsid w:val="0043245F"/>
    <w:rsid w:val="004325D5"/>
    <w:rsid w:val="0043270F"/>
    <w:rsid w:val="00433540"/>
    <w:rsid w:val="00434E6A"/>
    <w:rsid w:val="0043577D"/>
    <w:rsid w:val="00435A84"/>
    <w:rsid w:val="00435EC2"/>
    <w:rsid w:val="00436952"/>
    <w:rsid w:val="004375F4"/>
    <w:rsid w:val="00441034"/>
    <w:rsid w:val="00442615"/>
    <w:rsid w:val="00442704"/>
    <w:rsid w:val="004427EB"/>
    <w:rsid w:val="004437BE"/>
    <w:rsid w:val="0044404D"/>
    <w:rsid w:val="00444119"/>
    <w:rsid w:val="0044415C"/>
    <w:rsid w:val="004455BD"/>
    <w:rsid w:val="00445770"/>
    <w:rsid w:val="0044662B"/>
    <w:rsid w:val="00446CC2"/>
    <w:rsid w:val="004473E9"/>
    <w:rsid w:val="00447DBA"/>
    <w:rsid w:val="0045082F"/>
    <w:rsid w:val="00450F92"/>
    <w:rsid w:val="00451981"/>
    <w:rsid w:val="00452446"/>
    <w:rsid w:val="00453389"/>
    <w:rsid w:val="00454690"/>
    <w:rsid w:val="00454992"/>
    <w:rsid w:val="00454C78"/>
    <w:rsid w:val="00457609"/>
    <w:rsid w:val="004578CB"/>
    <w:rsid w:val="00457D71"/>
    <w:rsid w:val="00457DCF"/>
    <w:rsid w:val="0046080B"/>
    <w:rsid w:val="00460AEC"/>
    <w:rsid w:val="00460B37"/>
    <w:rsid w:val="00460FB2"/>
    <w:rsid w:val="00461283"/>
    <w:rsid w:val="004621B8"/>
    <w:rsid w:val="00463370"/>
    <w:rsid w:val="00463B68"/>
    <w:rsid w:val="00463F5E"/>
    <w:rsid w:val="00464DEF"/>
    <w:rsid w:val="00465E24"/>
    <w:rsid w:val="0046614E"/>
    <w:rsid w:val="00467ADA"/>
    <w:rsid w:val="004708CF"/>
    <w:rsid w:val="00470A32"/>
    <w:rsid w:val="00470FA2"/>
    <w:rsid w:val="004719E6"/>
    <w:rsid w:val="00471AE5"/>
    <w:rsid w:val="00473DD0"/>
    <w:rsid w:val="004744C6"/>
    <w:rsid w:val="00474E43"/>
    <w:rsid w:val="00475344"/>
    <w:rsid w:val="00475A53"/>
    <w:rsid w:val="00475FF0"/>
    <w:rsid w:val="004768C1"/>
    <w:rsid w:val="00476B91"/>
    <w:rsid w:val="00480079"/>
    <w:rsid w:val="00483131"/>
    <w:rsid w:val="00483245"/>
    <w:rsid w:val="00483A54"/>
    <w:rsid w:val="00484559"/>
    <w:rsid w:val="004846AE"/>
    <w:rsid w:val="00484D4B"/>
    <w:rsid w:val="00485281"/>
    <w:rsid w:val="00485904"/>
    <w:rsid w:val="0048598B"/>
    <w:rsid w:val="00485E54"/>
    <w:rsid w:val="00486239"/>
    <w:rsid w:val="00486B26"/>
    <w:rsid w:val="0048751E"/>
    <w:rsid w:val="00487BEC"/>
    <w:rsid w:val="00490D11"/>
    <w:rsid w:val="00491518"/>
    <w:rsid w:val="00492172"/>
    <w:rsid w:val="0049285A"/>
    <w:rsid w:val="00492EBD"/>
    <w:rsid w:val="00494C09"/>
    <w:rsid w:val="00495235"/>
    <w:rsid w:val="0049546F"/>
    <w:rsid w:val="00495690"/>
    <w:rsid w:val="00495FA4"/>
    <w:rsid w:val="0049638B"/>
    <w:rsid w:val="004964E6"/>
    <w:rsid w:val="00496617"/>
    <w:rsid w:val="00496943"/>
    <w:rsid w:val="004A0467"/>
    <w:rsid w:val="004A3725"/>
    <w:rsid w:val="004A37BE"/>
    <w:rsid w:val="004A421C"/>
    <w:rsid w:val="004A44CA"/>
    <w:rsid w:val="004A5468"/>
    <w:rsid w:val="004B046D"/>
    <w:rsid w:val="004B1E7A"/>
    <w:rsid w:val="004B259B"/>
    <w:rsid w:val="004B29C6"/>
    <w:rsid w:val="004B4B8F"/>
    <w:rsid w:val="004B4FDE"/>
    <w:rsid w:val="004B5B15"/>
    <w:rsid w:val="004C00EE"/>
    <w:rsid w:val="004C022B"/>
    <w:rsid w:val="004C0A53"/>
    <w:rsid w:val="004C0FA2"/>
    <w:rsid w:val="004C1E30"/>
    <w:rsid w:val="004C2BA4"/>
    <w:rsid w:val="004C31FC"/>
    <w:rsid w:val="004C36C6"/>
    <w:rsid w:val="004C3C37"/>
    <w:rsid w:val="004C41C2"/>
    <w:rsid w:val="004C4A55"/>
    <w:rsid w:val="004C4C46"/>
    <w:rsid w:val="004C59E0"/>
    <w:rsid w:val="004C609F"/>
    <w:rsid w:val="004C63A1"/>
    <w:rsid w:val="004C689D"/>
    <w:rsid w:val="004C695E"/>
    <w:rsid w:val="004C7056"/>
    <w:rsid w:val="004C70C2"/>
    <w:rsid w:val="004C74C1"/>
    <w:rsid w:val="004C7956"/>
    <w:rsid w:val="004C7B76"/>
    <w:rsid w:val="004D0080"/>
    <w:rsid w:val="004D1812"/>
    <w:rsid w:val="004D21A8"/>
    <w:rsid w:val="004D2B8D"/>
    <w:rsid w:val="004D36C3"/>
    <w:rsid w:val="004D39FD"/>
    <w:rsid w:val="004D3E24"/>
    <w:rsid w:val="004D4149"/>
    <w:rsid w:val="004D495A"/>
    <w:rsid w:val="004D51C9"/>
    <w:rsid w:val="004D6C6A"/>
    <w:rsid w:val="004D7134"/>
    <w:rsid w:val="004D7E44"/>
    <w:rsid w:val="004E0B85"/>
    <w:rsid w:val="004E147F"/>
    <w:rsid w:val="004E1C1C"/>
    <w:rsid w:val="004E1C42"/>
    <w:rsid w:val="004E1E10"/>
    <w:rsid w:val="004E3A35"/>
    <w:rsid w:val="004E3B22"/>
    <w:rsid w:val="004E3E59"/>
    <w:rsid w:val="004E3F50"/>
    <w:rsid w:val="004E4135"/>
    <w:rsid w:val="004E495B"/>
    <w:rsid w:val="004E562B"/>
    <w:rsid w:val="004E6285"/>
    <w:rsid w:val="004E6399"/>
    <w:rsid w:val="004E7D14"/>
    <w:rsid w:val="004E7F1B"/>
    <w:rsid w:val="004F0A30"/>
    <w:rsid w:val="004F0AE4"/>
    <w:rsid w:val="004F142F"/>
    <w:rsid w:val="004F170D"/>
    <w:rsid w:val="004F215F"/>
    <w:rsid w:val="004F32F9"/>
    <w:rsid w:val="004F345D"/>
    <w:rsid w:val="004F4343"/>
    <w:rsid w:val="004F443A"/>
    <w:rsid w:val="004F4573"/>
    <w:rsid w:val="004F58A5"/>
    <w:rsid w:val="004F5A26"/>
    <w:rsid w:val="004F5C3A"/>
    <w:rsid w:val="004F5CA1"/>
    <w:rsid w:val="004F7025"/>
    <w:rsid w:val="004F7AB4"/>
    <w:rsid w:val="004F7E08"/>
    <w:rsid w:val="0050017C"/>
    <w:rsid w:val="0050018A"/>
    <w:rsid w:val="0050075E"/>
    <w:rsid w:val="005015AD"/>
    <w:rsid w:val="00502E95"/>
    <w:rsid w:val="0050396F"/>
    <w:rsid w:val="005043B1"/>
    <w:rsid w:val="005056A1"/>
    <w:rsid w:val="0050695E"/>
    <w:rsid w:val="00506F9A"/>
    <w:rsid w:val="00507159"/>
    <w:rsid w:val="00510193"/>
    <w:rsid w:val="005101D3"/>
    <w:rsid w:val="00510895"/>
    <w:rsid w:val="00510AA5"/>
    <w:rsid w:val="005115FC"/>
    <w:rsid w:val="00512785"/>
    <w:rsid w:val="0051293D"/>
    <w:rsid w:val="0051320F"/>
    <w:rsid w:val="00513BC9"/>
    <w:rsid w:val="0051536B"/>
    <w:rsid w:val="00517621"/>
    <w:rsid w:val="005206D5"/>
    <w:rsid w:val="00521CEF"/>
    <w:rsid w:val="00521E17"/>
    <w:rsid w:val="00521E2B"/>
    <w:rsid w:val="005220B1"/>
    <w:rsid w:val="005220F0"/>
    <w:rsid w:val="00522E59"/>
    <w:rsid w:val="0052334D"/>
    <w:rsid w:val="00523B9D"/>
    <w:rsid w:val="00525840"/>
    <w:rsid w:val="005267EC"/>
    <w:rsid w:val="00527CC0"/>
    <w:rsid w:val="00530518"/>
    <w:rsid w:val="005315E1"/>
    <w:rsid w:val="005318E7"/>
    <w:rsid w:val="0053199B"/>
    <w:rsid w:val="005327EA"/>
    <w:rsid w:val="0053281E"/>
    <w:rsid w:val="00532DDD"/>
    <w:rsid w:val="005334B6"/>
    <w:rsid w:val="00533A6B"/>
    <w:rsid w:val="00533BD1"/>
    <w:rsid w:val="00535666"/>
    <w:rsid w:val="00536241"/>
    <w:rsid w:val="00536A63"/>
    <w:rsid w:val="00537DCA"/>
    <w:rsid w:val="00540B4B"/>
    <w:rsid w:val="0054116F"/>
    <w:rsid w:val="005414E5"/>
    <w:rsid w:val="00541533"/>
    <w:rsid w:val="0054257E"/>
    <w:rsid w:val="0054296B"/>
    <w:rsid w:val="005433C0"/>
    <w:rsid w:val="0054420D"/>
    <w:rsid w:val="005461B7"/>
    <w:rsid w:val="00550539"/>
    <w:rsid w:val="00550A68"/>
    <w:rsid w:val="00551892"/>
    <w:rsid w:val="00551A40"/>
    <w:rsid w:val="00551B2E"/>
    <w:rsid w:val="00551C84"/>
    <w:rsid w:val="0055295B"/>
    <w:rsid w:val="005536DF"/>
    <w:rsid w:val="00553E07"/>
    <w:rsid w:val="00555CEA"/>
    <w:rsid w:val="005560FD"/>
    <w:rsid w:val="0055632E"/>
    <w:rsid w:val="00557E0C"/>
    <w:rsid w:val="005609B9"/>
    <w:rsid w:val="005612F5"/>
    <w:rsid w:val="00561366"/>
    <w:rsid w:val="00561562"/>
    <w:rsid w:val="00561672"/>
    <w:rsid w:val="00561C0C"/>
    <w:rsid w:val="005654CA"/>
    <w:rsid w:val="00565F41"/>
    <w:rsid w:val="00566E22"/>
    <w:rsid w:val="005718D5"/>
    <w:rsid w:val="00571D7B"/>
    <w:rsid w:val="00571DD8"/>
    <w:rsid w:val="00573D50"/>
    <w:rsid w:val="005754B5"/>
    <w:rsid w:val="0057709E"/>
    <w:rsid w:val="005777E2"/>
    <w:rsid w:val="00581A99"/>
    <w:rsid w:val="00581BBE"/>
    <w:rsid w:val="0058290D"/>
    <w:rsid w:val="0058381C"/>
    <w:rsid w:val="00583ED9"/>
    <w:rsid w:val="00585253"/>
    <w:rsid w:val="005853ED"/>
    <w:rsid w:val="00585939"/>
    <w:rsid w:val="00586A5C"/>
    <w:rsid w:val="005874B6"/>
    <w:rsid w:val="005902CD"/>
    <w:rsid w:val="005903D0"/>
    <w:rsid w:val="005913BC"/>
    <w:rsid w:val="005916D6"/>
    <w:rsid w:val="005919D6"/>
    <w:rsid w:val="00591A9B"/>
    <w:rsid w:val="00591F62"/>
    <w:rsid w:val="00592286"/>
    <w:rsid w:val="00592338"/>
    <w:rsid w:val="0059394D"/>
    <w:rsid w:val="00593A34"/>
    <w:rsid w:val="00594018"/>
    <w:rsid w:val="0059417C"/>
    <w:rsid w:val="00595165"/>
    <w:rsid w:val="00595668"/>
    <w:rsid w:val="00596209"/>
    <w:rsid w:val="005968CC"/>
    <w:rsid w:val="005A19A6"/>
    <w:rsid w:val="005A21B8"/>
    <w:rsid w:val="005A22E0"/>
    <w:rsid w:val="005A28BC"/>
    <w:rsid w:val="005A3A0F"/>
    <w:rsid w:val="005A3DD4"/>
    <w:rsid w:val="005A3E1B"/>
    <w:rsid w:val="005A4B38"/>
    <w:rsid w:val="005A66D6"/>
    <w:rsid w:val="005A7A2B"/>
    <w:rsid w:val="005B0120"/>
    <w:rsid w:val="005B0735"/>
    <w:rsid w:val="005B1774"/>
    <w:rsid w:val="005B1BD3"/>
    <w:rsid w:val="005B2EAE"/>
    <w:rsid w:val="005B3949"/>
    <w:rsid w:val="005B4930"/>
    <w:rsid w:val="005B4A1C"/>
    <w:rsid w:val="005B5A7F"/>
    <w:rsid w:val="005B5D1F"/>
    <w:rsid w:val="005B5F04"/>
    <w:rsid w:val="005B6505"/>
    <w:rsid w:val="005B68BB"/>
    <w:rsid w:val="005B6ECE"/>
    <w:rsid w:val="005B714A"/>
    <w:rsid w:val="005B7818"/>
    <w:rsid w:val="005C0441"/>
    <w:rsid w:val="005C0448"/>
    <w:rsid w:val="005C0838"/>
    <w:rsid w:val="005C0D6E"/>
    <w:rsid w:val="005C123B"/>
    <w:rsid w:val="005C2FA3"/>
    <w:rsid w:val="005C2FE4"/>
    <w:rsid w:val="005C353A"/>
    <w:rsid w:val="005C3579"/>
    <w:rsid w:val="005C3DB1"/>
    <w:rsid w:val="005C4ECD"/>
    <w:rsid w:val="005C5021"/>
    <w:rsid w:val="005C552E"/>
    <w:rsid w:val="005C5C19"/>
    <w:rsid w:val="005C5E8D"/>
    <w:rsid w:val="005C6B33"/>
    <w:rsid w:val="005C6EDB"/>
    <w:rsid w:val="005C7561"/>
    <w:rsid w:val="005C7739"/>
    <w:rsid w:val="005C79B2"/>
    <w:rsid w:val="005D0F64"/>
    <w:rsid w:val="005D1B14"/>
    <w:rsid w:val="005D2421"/>
    <w:rsid w:val="005D2DC1"/>
    <w:rsid w:val="005D3F26"/>
    <w:rsid w:val="005D4A3C"/>
    <w:rsid w:val="005D5460"/>
    <w:rsid w:val="005D691E"/>
    <w:rsid w:val="005E041A"/>
    <w:rsid w:val="005E0797"/>
    <w:rsid w:val="005E0F54"/>
    <w:rsid w:val="005E18F4"/>
    <w:rsid w:val="005E19DB"/>
    <w:rsid w:val="005E1BC6"/>
    <w:rsid w:val="005E23A2"/>
    <w:rsid w:val="005E3D50"/>
    <w:rsid w:val="005E4924"/>
    <w:rsid w:val="005E4C58"/>
    <w:rsid w:val="005E4E6C"/>
    <w:rsid w:val="005E5EB2"/>
    <w:rsid w:val="005E6FF6"/>
    <w:rsid w:val="005E73B4"/>
    <w:rsid w:val="005E74D0"/>
    <w:rsid w:val="005E77B9"/>
    <w:rsid w:val="005F05D0"/>
    <w:rsid w:val="005F1192"/>
    <w:rsid w:val="005F14C1"/>
    <w:rsid w:val="005F261B"/>
    <w:rsid w:val="005F2923"/>
    <w:rsid w:val="005F2A79"/>
    <w:rsid w:val="005F3F7E"/>
    <w:rsid w:val="005F5AC7"/>
    <w:rsid w:val="005F705F"/>
    <w:rsid w:val="006010BA"/>
    <w:rsid w:val="006019E2"/>
    <w:rsid w:val="00602043"/>
    <w:rsid w:val="006022F6"/>
    <w:rsid w:val="00603F6D"/>
    <w:rsid w:val="00606938"/>
    <w:rsid w:val="00606F56"/>
    <w:rsid w:val="00607452"/>
    <w:rsid w:val="006100CA"/>
    <w:rsid w:val="00610F0B"/>
    <w:rsid w:val="00611B2D"/>
    <w:rsid w:val="00612A29"/>
    <w:rsid w:val="00612DB8"/>
    <w:rsid w:val="00612E4F"/>
    <w:rsid w:val="00613D4C"/>
    <w:rsid w:val="00613EC7"/>
    <w:rsid w:val="006145B6"/>
    <w:rsid w:val="00615B5D"/>
    <w:rsid w:val="00616DDF"/>
    <w:rsid w:val="00617629"/>
    <w:rsid w:val="00617962"/>
    <w:rsid w:val="00617FE7"/>
    <w:rsid w:val="00620217"/>
    <w:rsid w:val="006205BF"/>
    <w:rsid w:val="00622382"/>
    <w:rsid w:val="006234A8"/>
    <w:rsid w:val="00624227"/>
    <w:rsid w:val="00624DA9"/>
    <w:rsid w:val="00625669"/>
    <w:rsid w:val="006267BF"/>
    <w:rsid w:val="00632696"/>
    <w:rsid w:val="00632B43"/>
    <w:rsid w:val="00632B6C"/>
    <w:rsid w:val="00632CA4"/>
    <w:rsid w:val="00634311"/>
    <w:rsid w:val="006346DA"/>
    <w:rsid w:val="00634B8F"/>
    <w:rsid w:val="00635C0F"/>
    <w:rsid w:val="0063601E"/>
    <w:rsid w:val="00636FB1"/>
    <w:rsid w:val="00637017"/>
    <w:rsid w:val="00637213"/>
    <w:rsid w:val="00637ED9"/>
    <w:rsid w:val="006402BC"/>
    <w:rsid w:val="00640422"/>
    <w:rsid w:val="00640553"/>
    <w:rsid w:val="0064063B"/>
    <w:rsid w:val="0064073A"/>
    <w:rsid w:val="00640897"/>
    <w:rsid w:val="0064290F"/>
    <w:rsid w:val="00642DC8"/>
    <w:rsid w:val="00643F67"/>
    <w:rsid w:val="00644774"/>
    <w:rsid w:val="0064497D"/>
    <w:rsid w:val="00644EA9"/>
    <w:rsid w:val="00645A6E"/>
    <w:rsid w:val="00645F34"/>
    <w:rsid w:val="00647742"/>
    <w:rsid w:val="006502B6"/>
    <w:rsid w:val="00650A09"/>
    <w:rsid w:val="00650A69"/>
    <w:rsid w:val="00651D1C"/>
    <w:rsid w:val="00653519"/>
    <w:rsid w:val="00653F6C"/>
    <w:rsid w:val="00654689"/>
    <w:rsid w:val="006548FA"/>
    <w:rsid w:val="00655088"/>
    <w:rsid w:val="00655555"/>
    <w:rsid w:val="006556C6"/>
    <w:rsid w:val="00655ABA"/>
    <w:rsid w:val="00656499"/>
    <w:rsid w:val="00656957"/>
    <w:rsid w:val="00657025"/>
    <w:rsid w:val="006571EE"/>
    <w:rsid w:val="00660180"/>
    <w:rsid w:val="00660207"/>
    <w:rsid w:val="006606C9"/>
    <w:rsid w:val="00661407"/>
    <w:rsid w:val="006621E1"/>
    <w:rsid w:val="006622F4"/>
    <w:rsid w:val="00662BAB"/>
    <w:rsid w:val="00662D07"/>
    <w:rsid w:val="006639D6"/>
    <w:rsid w:val="006639EA"/>
    <w:rsid w:val="00664707"/>
    <w:rsid w:val="00665C03"/>
    <w:rsid w:val="00665DE3"/>
    <w:rsid w:val="006665EE"/>
    <w:rsid w:val="00666FB1"/>
    <w:rsid w:val="00667AF0"/>
    <w:rsid w:val="00670786"/>
    <w:rsid w:val="00670E94"/>
    <w:rsid w:val="00671270"/>
    <w:rsid w:val="0067171D"/>
    <w:rsid w:val="00671E43"/>
    <w:rsid w:val="00672503"/>
    <w:rsid w:val="00673600"/>
    <w:rsid w:val="0067462D"/>
    <w:rsid w:val="00674C43"/>
    <w:rsid w:val="00674E01"/>
    <w:rsid w:val="00675409"/>
    <w:rsid w:val="00677EF8"/>
    <w:rsid w:val="0068016B"/>
    <w:rsid w:val="00680BE4"/>
    <w:rsid w:val="00682935"/>
    <w:rsid w:val="00683604"/>
    <w:rsid w:val="00683871"/>
    <w:rsid w:val="0068417F"/>
    <w:rsid w:val="006843A2"/>
    <w:rsid w:val="00684A78"/>
    <w:rsid w:val="00684EAD"/>
    <w:rsid w:val="00685A9F"/>
    <w:rsid w:val="0068639D"/>
    <w:rsid w:val="00686E80"/>
    <w:rsid w:val="00687FD5"/>
    <w:rsid w:val="0069070E"/>
    <w:rsid w:val="00691045"/>
    <w:rsid w:val="0069196E"/>
    <w:rsid w:val="00691CF7"/>
    <w:rsid w:val="00691F9C"/>
    <w:rsid w:val="00691FD9"/>
    <w:rsid w:val="00693151"/>
    <w:rsid w:val="006931B2"/>
    <w:rsid w:val="006942E3"/>
    <w:rsid w:val="00694E05"/>
    <w:rsid w:val="00694F88"/>
    <w:rsid w:val="00694F96"/>
    <w:rsid w:val="006953C3"/>
    <w:rsid w:val="00695977"/>
    <w:rsid w:val="00695C2D"/>
    <w:rsid w:val="0069675F"/>
    <w:rsid w:val="00696949"/>
    <w:rsid w:val="00697597"/>
    <w:rsid w:val="006A1012"/>
    <w:rsid w:val="006A1254"/>
    <w:rsid w:val="006A1AAB"/>
    <w:rsid w:val="006A1BBF"/>
    <w:rsid w:val="006A2D39"/>
    <w:rsid w:val="006A306F"/>
    <w:rsid w:val="006A3538"/>
    <w:rsid w:val="006A3B03"/>
    <w:rsid w:val="006A4C98"/>
    <w:rsid w:val="006A4C9E"/>
    <w:rsid w:val="006A543C"/>
    <w:rsid w:val="006A7521"/>
    <w:rsid w:val="006A770C"/>
    <w:rsid w:val="006A788C"/>
    <w:rsid w:val="006B0494"/>
    <w:rsid w:val="006B1688"/>
    <w:rsid w:val="006B18C7"/>
    <w:rsid w:val="006B3324"/>
    <w:rsid w:val="006B3D27"/>
    <w:rsid w:val="006B425A"/>
    <w:rsid w:val="006B4398"/>
    <w:rsid w:val="006B4D27"/>
    <w:rsid w:val="006B687D"/>
    <w:rsid w:val="006B74DE"/>
    <w:rsid w:val="006B7B0F"/>
    <w:rsid w:val="006B7FA2"/>
    <w:rsid w:val="006C0AC5"/>
    <w:rsid w:val="006C18DD"/>
    <w:rsid w:val="006C1EAA"/>
    <w:rsid w:val="006C2998"/>
    <w:rsid w:val="006C2B56"/>
    <w:rsid w:val="006C2F71"/>
    <w:rsid w:val="006C3BA7"/>
    <w:rsid w:val="006C558B"/>
    <w:rsid w:val="006C606C"/>
    <w:rsid w:val="006C7F08"/>
    <w:rsid w:val="006C7F5D"/>
    <w:rsid w:val="006D093A"/>
    <w:rsid w:val="006D0A70"/>
    <w:rsid w:val="006D187C"/>
    <w:rsid w:val="006D20AD"/>
    <w:rsid w:val="006D2DE8"/>
    <w:rsid w:val="006D2F03"/>
    <w:rsid w:val="006D4EE7"/>
    <w:rsid w:val="006D5079"/>
    <w:rsid w:val="006D60AB"/>
    <w:rsid w:val="006D61D5"/>
    <w:rsid w:val="006D6F65"/>
    <w:rsid w:val="006D75CE"/>
    <w:rsid w:val="006E0890"/>
    <w:rsid w:val="006E0A09"/>
    <w:rsid w:val="006E1721"/>
    <w:rsid w:val="006E1A44"/>
    <w:rsid w:val="006E1AF4"/>
    <w:rsid w:val="006E2692"/>
    <w:rsid w:val="006E2A30"/>
    <w:rsid w:val="006E2BF1"/>
    <w:rsid w:val="006E2C4D"/>
    <w:rsid w:val="006E39C2"/>
    <w:rsid w:val="006E3D9A"/>
    <w:rsid w:val="006E48EA"/>
    <w:rsid w:val="006E5205"/>
    <w:rsid w:val="006E57E1"/>
    <w:rsid w:val="006E5A4E"/>
    <w:rsid w:val="006E7884"/>
    <w:rsid w:val="006F1218"/>
    <w:rsid w:val="006F1F3A"/>
    <w:rsid w:val="006F3356"/>
    <w:rsid w:val="006F3F95"/>
    <w:rsid w:val="006F409E"/>
    <w:rsid w:val="006F4129"/>
    <w:rsid w:val="006F4945"/>
    <w:rsid w:val="006F51D3"/>
    <w:rsid w:val="006F5BD4"/>
    <w:rsid w:val="006F5E8F"/>
    <w:rsid w:val="006F69F4"/>
    <w:rsid w:val="0070134E"/>
    <w:rsid w:val="007018C6"/>
    <w:rsid w:val="007033B0"/>
    <w:rsid w:val="007036AF"/>
    <w:rsid w:val="007040CD"/>
    <w:rsid w:val="00704C0A"/>
    <w:rsid w:val="00705CAB"/>
    <w:rsid w:val="007075B8"/>
    <w:rsid w:val="00710196"/>
    <w:rsid w:val="00710D14"/>
    <w:rsid w:val="007120A4"/>
    <w:rsid w:val="00712B4A"/>
    <w:rsid w:val="00712BBE"/>
    <w:rsid w:val="00712E75"/>
    <w:rsid w:val="00713039"/>
    <w:rsid w:val="007149C9"/>
    <w:rsid w:val="00714ABD"/>
    <w:rsid w:val="00714D1F"/>
    <w:rsid w:val="00714FBB"/>
    <w:rsid w:val="00720C0F"/>
    <w:rsid w:val="00720F46"/>
    <w:rsid w:val="00721716"/>
    <w:rsid w:val="00721732"/>
    <w:rsid w:val="00721AAA"/>
    <w:rsid w:val="007228BD"/>
    <w:rsid w:val="0072293E"/>
    <w:rsid w:val="00722A7C"/>
    <w:rsid w:val="00722ABA"/>
    <w:rsid w:val="007233CA"/>
    <w:rsid w:val="0072468F"/>
    <w:rsid w:val="00724B23"/>
    <w:rsid w:val="00725868"/>
    <w:rsid w:val="007260F4"/>
    <w:rsid w:val="00730047"/>
    <w:rsid w:val="00731A46"/>
    <w:rsid w:val="00731D1A"/>
    <w:rsid w:val="0073293F"/>
    <w:rsid w:val="00732A2C"/>
    <w:rsid w:val="00733050"/>
    <w:rsid w:val="007334EE"/>
    <w:rsid w:val="0073514E"/>
    <w:rsid w:val="00735349"/>
    <w:rsid w:val="007359B0"/>
    <w:rsid w:val="0073622A"/>
    <w:rsid w:val="0073649E"/>
    <w:rsid w:val="00737062"/>
    <w:rsid w:val="00741B21"/>
    <w:rsid w:val="00742D41"/>
    <w:rsid w:val="0074320B"/>
    <w:rsid w:val="00744B77"/>
    <w:rsid w:val="0074529A"/>
    <w:rsid w:val="00745C8E"/>
    <w:rsid w:val="007472A2"/>
    <w:rsid w:val="00747D10"/>
    <w:rsid w:val="00750026"/>
    <w:rsid w:val="0075027E"/>
    <w:rsid w:val="007503E5"/>
    <w:rsid w:val="00750B85"/>
    <w:rsid w:val="00750BC6"/>
    <w:rsid w:val="00751456"/>
    <w:rsid w:val="00751F1F"/>
    <w:rsid w:val="007525F3"/>
    <w:rsid w:val="00752CDA"/>
    <w:rsid w:val="00752FA3"/>
    <w:rsid w:val="00752FAE"/>
    <w:rsid w:val="00753406"/>
    <w:rsid w:val="0075367D"/>
    <w:rsid w:val="00753DC1"/>
    <w:rsid w:val="00753F31"/>
    <w:rsid w:val="00754A11"/>
    <w:rsid w:val="00754DC9"/>
    <w:rsid w:val="0075799D"/>
    <w:rsid w:val="00760313"/>
    <w:rsid w:val="007607FE"/>
    <w:rsid w:val="00760AB6"/>
    <w:rsid w:val="00761741"/>
    <w:rsid w:val="0076243C"/>
    <w:rsid w:val="00763036"/>
    <w:rsid w:val="00763164"/>
    <w:rsid w:val="00763949"/>
    <w:rsid w:val="007657EF"/>
    <w:rsid w:val="00770AA7"/>
    <w:rsid w:val="00771214"/>
    <w:rsid w:val="00772212"/>
    <w:rsid w:val="00772409"/>
    <w:rsid w:val="0077348F"/>
    <w:rsid w:val="00774619"/>
    <w:rsid w:val="00776B44"/>
    <w:rsid w:val="00777336"/>
    <w:rsid w:val="00780457"/>
    <w:rsid w:val="007805D6"/>
    <w:rsid w:val="00781809"/>
    <w:rsid w:val="00782C8B"/>
    <w:rsid w:val="00782F6C"/>
    <w:rsid w:val="00783CD7"/>
    <w:rsid w:val="007849E9"/>
    <w:rsid w:val="0078527C"/>
    <w:rsid w:val="00785D03"/>
    <w:rsid w:val="0078635E"/>
    <w:rsid w:val="007868F9"/>
    <w:rsid w:val="00787C1E"/>
    <w:rsid w:val="00787E1C"/>
    <w:rsid w:val="007904DC"/>
    <w:rsid w:val="00791A1C"/>
    <w:rsid w:val="00791DB4"/>
    <w:rsid w:val="0079208B"/>
    <w:rsid w:val="0079219A"/>
    <w:rsid w:val="00792435"/>
    <w:rsid w:val="00792DD9"/>
    <w:rsid w:val="00793083"/>
    <w:rsid w:val="0079379A"/>
    <w:rsid w:val="00793A59"/>
    <w:rsid w:val="00793C3C"/>
    <w:rsid w:val="007943B3"/>
    <w:rsid w:val="007967EF"/>
    <w:rsid w:val="00797885"/>
    <w:rsid w:val="007A1C83"/>
    <w:rsid w:val="007A1F0C"/>
    <w:rsid w:val="007A292A"/>
    <w:rsid w:val="007A421A"/>
    <w:rsid w:val="007A5026"/>
    <w:rsid w:val="007A5861"/>
    <w:rsid w:val="007A6187"/>
    <w:rsid w:val="007A6342"/>
    <w:rsid w:val="007A66D7"/>
    <w:rsid w:val="007A76C8"/>
    <w:rsid w:val="007A7B78"/>
    <w:rsid w:val="007A7CFC"/>
    <w:rsid w:val="007B069F"/>
    <w:rsid w:val="007B0F44"/>
    <w:rsid w:val="007B1619"/>
    <w:rsid w:val="007B168E"/>
    <w:rsid w:val="007B29FE"/>
    <w:rsid w:val="007B3DE8"/>
    <w:rsid w:val="007B42C5"/>
    <w:rsid w:val="007B46D0"/>
    <w:rsid w:val="007B4801"/>
    <w:rsid w:val="007B5A58"/>
    <w:rsid w:val="007B5B8E"/>
    <w:rsid w:val="007B62C6"/>
    <w:rsid w:val="007B7424"/>
    <w:rsid w:val="007B7505"/>
    <w:rsid w:val="007B7730"/>
    <w:rsid w:val="007B77DC"/>
    <w:rsid w:val="007C005E"/>
    <w:rsid w:val="007C123F"/>
    <w:rsid w:val="007C12E6"/>
    <w:rsid w:val="007C19FC"/>
    <w:rsid w:val="007C1E23"/>
    <w:rsid w:val="007C21C3"/>
    <w:rsid w:val="007C388C"/>
    <w:rsid w:val="007C5019"/>
    <w:rsid w:val="007C55DF"/>
    <w:rsid w:val="007C6101"/>
    <w:rsid w:val="007C634C"/>
    <w:rsid w:val="007C65B0"/>
    <w:rsid w:val="007C6D5E"/>
    <w:rsid w:val="007C75E9"/>
    <w:rsid w:val="007D16E5"/>
    <w:rsid w:val="007D2794"/>
    <w:rsid w:val="007D2ECF"/>
    <w:rsid w:val="007D5DC2"/>
    <w:rsid w:val="007D5DD2"/>
    <w:rsid w:val="007D7C5A"/>
    <w:rsid w:val="007E05BF"/>
    <w:rsid w:val="007E10A5"/>
    <w:rsid w:val="007E1570"/>
    <w:rsid w:val="007E1E0F"/>
    <w:rsid w:val="007E2923"/>
    <w:rsid w:val="007E2B49"/>
    <w:rsid w:val="007E43DA"/>
    <w:rsid w:val="007E4594"/>
    <w:rsid w:val="007E4A68"/>
    <w:rsid w:val="007E6A21"/>
    <w:rsid w:val="007E6BB5"/>
    <w:rsid w:val="007E735A"/>
    <w:rsid w:val="007F12D0"/>
    <w:rsid w:val="007F13E2"/>
    <w:rsid w:val="007F1CA3"/>
    <w:rsid w:val="007F368F"/>
    <w:rsid w:val="007F3B2B"/>
    <w:rsid w:val="007F438F"/>
    <w:rsid w:val="007F5B1D"/>
    <w:rsid w:val="007F6B88"/>
    <w:rsid w:val="007F6DE9"/>
    <w:rsid w:val="007F7008"/>
    <w:rsid w:val="007F747F"/>
    <w:rsid w:val="0080063A"/>
    <w:rsid w:val="008009A3"/>
    <w:rsid w:val="008012BB"/>
    <w:rsid w:val="0080137F"/>
    <w:rsid w:val="00802D63"/>
    <w:rsid w:val="00803374"/>
    <w:rsid w:val="00803705"/>
    <w:rsid w:val="008043B2"/>
    <w:rsid w:val="00804854"/>
    <w:rsid w:val="00804AD9"/>
    <w:rsid w:val="00805D8E"/>
    <w:rsid w:val="00806906"/>
    <w:rsid w:val="00806B65"/>
    <w:rsid w:val="008078A1"/>
    <w:rsid w:val="00807999"/>
    <w:rsid w:val="00810076"/>
    <w:rsid w:val="008129D7"/>
    <w:rsid w:val="00812E20"/>
    <w:rsid w:val="00813BE6"/>
    <w:rsid w:val="008142DE"/>
    <w:rsid w:val="0081566B"/>
    <w:rsid w:val="008159D8"/>
    <w:rsid w:val="00816DEF"/>
    <w:rsid w:val="00816FA3"/>
    <w:rsid w:val="00817FBF"/>
    <w:rsid w:val="00820436"/>
    <w:rsid w:val="00820726"/>
    <w:rsid w:val="00821D8F"/>
    <w:rsid w:val="008229F1"/>
    <w:rsid w:val="00822B4B"/>
    <w:rsid w:val="00822D80"/>
    <w:rsid w:val="00823660"/>
    <w:rsid w:val="008236AD"/>
    <w:rsid w:val="00823748"/>
    <w:rsid w:val="00825549"/>
    <w:rsid w:val="00827A96"/>
    <w:rsid w:val="00830870"/>
    <w:rsid w:val="008312C8"/>
    <w:rsid w:val="008313C4"/>
    <w:rsid w:val="00832B10"/>
    <w:rsid w:val="0083355D"/>
    <w:rsid w:val="0083396A"/>
    <w:rsid w:val="008341DA"/>
    <w:rsid w:val="00834808"/>
    <w:rsid w:val="00835217"/>
    <w:rsid w:val="008356FE"/>
    <w:rsid w:val="00835C32"/>
    <w:rsid w:val="00835E26"/>
    <w:rsid w:val="00835E5D"/>
    <w:rsid w:val="00841503"/>
    <w:rsid w:val="00841EE1"/>
    <w:rsid w:val="00842101"/>
    <w:rsid w:val="00842B95"/>
    <w:rsid w:val="00842C4C"/>
    <w:rsid w:val="0084328D"/>
    <w:rsid w:val="0084503C"/>
    <w:rsid w:val="00845A0D"/>
    <w:rsid w:val="00845A70"/>
    <w:rsid w:val="0085002E"/>
    <w:rsid w:val="00850920"/>
    <w:rsid w:val="00850FFE"/>
    <w:rsid w:val="00851967"/>
    <w:rsid w:val="00851AA1"/>
    <w:rsid w:val="0085497C"/>
    <w:rsid w:val="00854E5A"/>
    <w:rsid w:val="008561E0"/>
    <w:rsid w:val="00856EBD"/>
    <w:rsid w:val="00857158"/>
    <w:rsid w:val="008600D5"/>
    <w:rsid w:val="00860A46"/>
    <w:rsid w:val="00861A1D"/>
    <w:rsid w:val="00862464"/>
    <w:rsid w:val="00863CAF"/>
    <w:rsid w:val="00865015"/>
    <w:rsid w:val="008660C4"/>
    <w:rsid w:val="00866D07"/>
    <w:rsid w:val="00867362"/>
    <w:rsid w:val="008715A0"/>
    <w:rsid w:val="008717B4"/>
    <w:rsid w:val="008722A5"/>
    <w:rsid w:val="008733D8"/>
    <w:rsid w:val="008739BA"/>
    <w:rsid w:val="00873ADB"/>
    <w:rsid w:val="00874B83"/>
    <w:rsid w:val="00874E6B"/>
    <w:rsid w:val="0087514B"/>
    <w:rsid w:val="00875B09"/>
    <w:rsid w:val="00876633"/>
    <w:rsid w:val="00876E6B"/>
    <w:rsid w:val="00877881"/>
    <w:rsid w:val="00877E45"/>
    <w:rsid w:val="00880639"/>
    <w:rsid w:val="00880AC7"/>
    <w:rsid w:val="00881127"/>
    <w:rsid w:val="00882CF8"/>
    <w:rsid w:val="00883914"/>
    <w:rsid w:val="00883F06"/>
    <w:rsid w:val="00886549"/>
    <w:rsid w:val="00887377"/>
    <w:rsid w:val="00887799"/>
    <w:rsid w:val="00887F75"/>
    <w:rsid w:val="0089077F"/>
    <w:rsid w:val="00890783"/>
    <w:rsid w:val="008909E0"/>
    <w:rsid w:val="00890AE8"/>
    <w:rsid w:val="0089171E"/>
    <w:rsid w:val="00891D07"/>
    <w:rsid w:val="0089243C"/>
    <w:rsid w:val="008929D6"/>
    <w:rsid w:val="008935BA"/>
    <w:rsid w:val="008936C8"/>
    <w:rsid w:val="00894834"/>
    <w:rsid w:val="0089533D"/>
    <w:rsid w:val="008964EB"/>
    <w:rsid w:val="0089664C"/>
    <w:rsid w:val="00896852"/>
    <w:rsid w:val="008971F5"/>
    <w:rsid w:val="00897558"/>
    <w:rsid w:val="008A15BC"/>
    <w:rsid w:val="008A2122"/>
    <w:rsid w:val="008A221B"/>
    <w:rsid w:val="008A2349"/>
    <w:rsid w:val="008A3A2A"/>
    <w:rsid w:val="008A4012"/>
    <w:rsid w:val="008A5A8E"/>
    <w:rsid w:val="008A6000"/>
    <w:rsid w:val="008A60BE"/>
    <w:rsid w:val="008A6CDB"/>
    <w:rsid w:val="008A72D8"/>
    <w:rsid w:val="008A7B44"/>
    <w:rsid w:val="008B151E"/>
    <w:rsid w:val="008B1825"/>
    <w:rsid w:val="008B2769"/>
    <w:rsid w:val="008B3103"/>
    <w:rsid w:val="008B375D"/>
    <w:rsid w:val="008B423D"/>
    <w:rsid w:val="008B7140"/>
    <w:rsid w:val="008B7454"/>
    <w:rsid w:val="008B770E"/>
    <w:rsid w:val="008C1BA6"/>
    <w:rsid w:val="008C25BA"/>
    <w:rsid w:val="008C30E2"/>
    <w:rsid w:val="008C3A77"/>
    <w:rsid w:val="008C3B83"/>
    <w:rsid w:val="008C3C4D"/>
    <w:rsid w:val="008C43B6"/>
    <w:rsid w:val="008C4904"/>
    <w:rsid w:val="008C4D6B"/>
    <w:rsid w:val="008C4F58"/>
    <w:rsid w:val="008C58EF"/>
    <w:rsid w:val="008C67D9"/>
    <w:rsid w:val="008C6971"/>
    <w:rsid w:val="008C6AB6"/>
    <w:rsid w:val="008C75A9"/>
    <w:rsid w:val="008C75E3"/>
    <w:rsid w:val="008C7661"/>
    <w:rsid w:val="008D0C5B"/>
    <w:rsid w:val="008D192C"/>
    <w:rsid w:val="008D1989"/>
    <w:rsid w:val="008D1B19"/>
    <w:rsid w:val="008D3321"/>
    <w:rsid w:val="008D3814"/>
    <w:rsid w:val="008D4961"/>
    <w:rsid w:val="008D5650"/>
    <w:rsid w:val="008D5C6D"/>
    <w:rsid w:val="008D6194"/>
    <w:rsid w:val="008D6302"/>
    <w:rsid w:val="008D7FF9"/>
    <w:rsid w:val="008E05F5"/>
    <w:rsid w:val="008E41FA"/>
    <w:rsid w:val="008E457A"/>
    <w:rsid w:val="008E4715"/>
    <w:rsid w:val="008E47BA"/>
    <w:rsid w:val="008E4C13"/>
    <w:rsid w:val="008E4CF2"/>
    <w:rsid w:val="008E5076"/>
    <w:rsid w:val="008E559E"/>
    <w:rsid w:val="008E5B86"/>
    <w:rsid w:val="008E6912"/>
    <w:rsid w:val="008E6A08"/>
    <w:rsid w:val="008E7086"/>
    <w:rsid w:val="008E7195"/>
    <w:rsid w:val="008E77CD"/>
    <w:rsid w:val="008F0E26"/>
    <w:rsid w:val="008F293E"/>
    <w:rsid w:val="008F3C67"/>
    <w:rsid w:val="008F460E"/>
    <w:rsid w:val="008F5C8A"/>
    <w:rsid w:val="008F5D46"/>
    <w:rsid w:val="008F63E4"/>
    <w:rsid w:val="008F648B"/>
    <w:rsid w:val="008F64BE"/>
    <w:rsid w:val="008F6A32"/>
    <w:rsid w:val="008F73CB"/>
    <w:rsid w:val="009010BC"/>
    <w:rsid w:val="0090198B"/>
    <w:rsid w:val="00901B39"/>
    <w:rsid w:val="00901FB6"/>
    <w:rsid w:val="009024BA"/>
    <w:rsid w:val="009029D0"/>
    <w:rsid w:val="00902CD4"/>
    <w:rsid w:val="00903925"/>
    <w:rsid w:val="00903A28"/>
    <w:rsid w:val="00904DA7"/>
    <w:rsid w:val="00905AF6"/>
    <w:rsid w:val="009067F8"/>
    <w:rsid w:val="00906CCE"/>
    <w:rsid w:val="00907A7B"/>
    <w:rsid w:val="00912051"/>
    <w:rsid w:val="00912189"/>
    <w:rsid w:val="009129CF"/>
    <w:rsid w:val="00912FB0"/>
    <w:rsid w:val="009133CE"/>
    <w:rsid w:val="00913A90"/>
    <w:rsid w:val="009142A9"/>
    <w:rsid w:val="009155A6"/>
    <w:rsid w:val="009157E5"/>
    <w:rsid w:val="00915DDF"/>
    <w:rsid w:val="00915FF2"/>
    <w:rsid w:val="00916BFE"/>
    <w:rsid w:val="00917551"/>
    <w:rsid w:val="0092037E"/>
    <w:rsid w:val="009219F2"/>
    <w:rsid w:val="00921CB2"/>
    <w:rsid w:val="00922A09"/>
    <w:rsid w:val="00923575"/>
    <w:rsid w:val="0092750A"/>
    <w:rsid w:val="009278B5"/>
    <w:rsid w:val="00927D2D"/>
    <w:rsid w:val="0093238C"/>
    <w:rsid w:val="00932C0D"/>
    <w:rsid w:val="00933234"/>
    <w:rsid w:val="00933A1B"/>
    <w:rsid w:val="00934433"/>
    <w:rsid w:val="00934796"/>
    <w:rsid w:val="00934DB1"/>
    <w:rsid w:val="0093533E"/>
    <w:rsid w:val="009370F3"/>
    <w:rsid w:val="00937CF7"/>
    <w:rsid w:val="00937F6B"/>
    <w:rsid w:val="0094080B"/>
    <w:rsid w:val="00941114"/>
    <w:rsid w:val="00941EEF"/>
    <w:rsid w:val="00942E61"/>
    <w:rsid w:val="009433F6"/>
    <w:rsid w:val="00943471"/>
    <w:rsid w:val="009435CB"/>
    <w:rsid w:val="00943D43"/>
    <w:rsid w:val="00943F5C"/>
    <w:rsid w:val="00943FAC"/>
    <w:rsid w:val="00944B04"/>
    <w:rsid w:val="00945262"/>
    <w:rsid w:val="00946EBE"/>
    <w:rsid w:val="00947DAF"/>
    <w:rsid w:val="009503E8"/>
    <w:rsid w:val="00950656"/>
    <w:rsid w:val="009535AA"/>
    <w:rsid w:val="009536A1"/>
    <w:rsid w:val="00953BBF"/>
    <w:rsid w:val="00953D41"/>
    <w:rsid w:val="0095403F"/>
    <w:rsid w:val="00955031"/>
    <w:rsid w:val="00955467"/>
    <w:rsid w:val="00956069"/>
    <w:rsid w:val="00957705"/>
    <w:rsid w:val="00957CF9"/>
    <w:rsid w:val="00957F19"/>
    <w:rsid w:val="00960C19"/>
    <w:rsid w:val="00960FAD"/>
    <w:rsid w:val="009630B7"/>
    <w:rsid w:val="00963E5B"/>
    <w:rsid w:val="00963F06"/>
    <w:rsid w:val="009640FF"/>
    <w:rsid w:val="00964CE3"/>
    <w:rsid w:val="00965405"/>
    <w:rsid w:val="00966049"/>
    <w:rsid w:val="0096644E"/>
    <w:rsid w:val="00966470"/>
    <w:rsid w:val="00966A41"/>
    <w:rsid w:val="00967FF4"/>
    <w:rsid w:val="009704E9"/>
    <w:rsid w:val="00971DC4"/>
    <w:rsid w:val="0097212D"/>
    <w:rsid w:val="009729FF"/>
    <w:rsid w:val="00973D6D"/>
    <w:rsid w:val="0097412D"/>
    <w:rsid w:val="00977932"/>
    <w:rsid w:val="00977BF6"/>
    <w:rsid w:val="00977DEC"/>
    <w:rsid w:val="00980E5B"/>
    <w:rsid w:val="00981683"/>
    <w:rsid w:val="00981C99"/>
    <w:rsid w:val="00982BCC"/>
    <w:rsid w:val="00982DCB"/>
    <w:rsid w:val="00982FFC"/>
    <w:rsid w:val="00985242"/>
    <w:rsid w:val="0098525A"/>
    <w:rsid w:val="00985844"/>
    <w:rsid w:val="0098584F"/>
    <w:rsid w:val="00985B1C"/>
    <w:rsid w:val="00986162"/>
    <w:rsid w:val="00986266"/>
    <w:rsid w:val="0098694E"/>
    <w:rsid w:val="00986AC8"/>
    <w:rsid w:val="00987262"/>
    <w:rsid w:val="00987A59"/>
    <w:rsid w:val="00990941"/>
    <w:rsid w:val="0099141F"/>
    <w:rsid w:val="00991BD0"/>
    <w:rsid w:val="009933A4"/>
    <w:rsid w:val="0099393D"/>
    <w:rsid w:val="00993EFF"/>
    <w:rsid w:val="0099410D"/>
    <w:rsid w:val="00997480"/>
    <w:rsid w:val="00997A33"/>
    <w:rsid w:val="009A05AE"/>
    <w:rsid w:val="009A0F7B"/>
    <w:rsid w:val="009A1176"/>
    <w:rsid w:val="009A2FDF"/>
    <w:rsid w:val="009A49DD"/>
    <w:rsid w:val="009A5928"/>
    <w:rsid w:val="009A59FF"/>
    <w:rsid w:val="009A5B94"/>
    <w:rsid w:val="009A6B46"/>
    <w:rsid w:val="009A799F"/>
    <w:rsid w:val="009A7C7E"/>
    <w:rsid w:val="009A7E39"/>
    <w:rsid w:val="009B09D6"/>
    <w:rsid w:val="009B0C42"/>
    <w:rsid w:val="009B0CE7"/>
    <w:rsid w:val="009B1135"/>
    <w:rsid w:val="009B1A1C"/>
    <w:rsid w:val="009B210A"/>
    <w:rsid w:val="009B2A13"/>
    <w:rsid w:val="009B3B25"/>
    <w:rsid w:val="009B4A2F"/>
    <w:rsid w:val="009B5525"/>
    <w:rsid w:val="009B5FB7"/>
    <w:rsid w:val="009B5FE6"/>
    <w:rsid w:val="009B63EC"/>
    <w:rsid w:val="009C0346"/>
    <w:rsid w:val="009C10C0"/>
    <w:rsid w:val="009C1230"/>
    <w:rsid w:val="009C1D2C"/>
    <w:rsid w:val="009C20C9"/>
    <w:rsid w:val="009C21C4"/>
    <w:rsid w:val="009C363C"/>
    <w:rsid w:val="009C36A2"/>
    <w:rsid w:val="009C5673"/>
    <w:rsid w:val="009C56AB"/>
    <w:rsid w:val="009C687B"/>
    <w:rsid w:val="009C76BF"/>
    <w:rsid w:val="009D0628"/>
    <w:rsid w:val="009D1EBB"/>
    <w:rsid w:val="009D3685"/>
    <w:rsid w:val="009D3F43"/>
    <w:rsid w:val="009D4954"/>
    <w:rsid w:val="009D4F31"/>
    <w:rsid w:val="009D5887"/>
    <w:rsid w:val="009D7614"/>
    <w:rsid w:val="009D77F4"/>
    <w:rsid w:val="009D7A0F"/>
    <w:rsid w:val="009E02B6"/>
    <w:rsid w:val="009E0581"/>
    <w:rsid w:val="009E1759"/>
    <w:rsid w:val="009E1CF4"/>
    <w:rsid w:val="009E252B"/>
    <w:rsid w:val="009E2F9B"/>
    <w:rsid w:val="009E3A97"/>
    <w:rsid w:val="009E3CDB"/>
    <w:rsid w:val="009E440F"/>
    <w:rsid w:val="009E4B09"/>
    <w:rsid w:val="009E755B"/>
    <w:rsid w:val="009F18D4"/>
    <w:rsid w:val="009F2060"/>
    <w:rsid w:val="009F2557"/>
    <w:rsid w:val="009F274B"/>
    <w:rsid w:val="009F36D2"/>
    <w:rsid w:val="009F4F1B"/>
    <w:rsid w:val="009F58FB"/>
    <w:rsid w:val="009F6A6F"/>
    <w:rsid w:val="009F6D22"/>
    <w:rsid w:val="009F6DB3"/>
    <w:rsid w:val="009F7A57"/>
    <w:rsid w:val="00A01075"/>
    <w:rsid w:val="00A0160A"/>
    <w:rsid w:val="00A02431"/>
    <w:rsid w:val="00A030B3"/>
    <w:rsid w:val="00A0336E"/>
    <w:rsid w:val="00A03656"/>
    <w:rsid w:val="00A03FDE"/>
    <w:rsid w:val="00A05286"/>
    <w:rsid w:val="00A062C6"/>
    <w:rsid w:val="00A0718F"/>
    <w:rsid w:val="00A105D3"/>
    <w:rsid w:val="00A13E40"/>
    <w:rsid w:val="00A14262"/>
    <w:rsid w:val="00A14634"/>
    <w:rsid w:val="00A146FB"/>
    <w:rsid w:val="00A15A64"/>
    <w:rsid w:val="00A15E85"/>
    <w:rsid w:val="00A16C5D"/>
    <w:rsid w:val="00A16E6C"/>
    <w:rsid w:val="00A20D23"/>
    <w:rsid w:val="00A219DF"/>
    <w:rsid w:val="00A21DBF"/>
    <w:rsid w:val="00A224A5"/>
    <w:rsid w:val="00A226CF"/>
    <w:rsid w:val="00A24655"/>
    <w:rsid w:val="00A2499A"/>
    <w:rsid w:val="00A25D32"/>
    <w:rsid w:val="00A25E79"/>
    <w:rsid w:val="00A261ED"/>
    <w:rsid w:val="00A3042E"/>
    <w:rsid w:val="00A30513"/>
    <w:rsid w:val="00A3102E"/>
    <w:rsid w:val="00A3148A"/>
    <w:rsid w:val="00A33571"/>
    <w:rsid w:val="00A35811"/>
    <w:rsid w:val="00A35B3D"/>
    <w:rsid w:val="00A35CB6"/>
    <w:rsid w:val="00A36171"/>
    <w:rsid w:val="00A361B2"/>
    <w:rsid w:val="00A367F1"/>
    <w:rsid w:val="00A36DB6"/>
    <w:rsid w:val="00A3788B"/>
    <w:rsid w:val="00A405F6"/>
    <w:rsid w:val="00A40C3E"/>
    <w:rsid w:val="00A40DAB"/>
    <w:rsid w:val="00A40FA5"/>
    <w:rsid w:val="00A42C46"/>
    <w:rsid w:val="00A42C7E"/>
    <w:rsid w:val="00A42F45"/>
    <w:rsid w:val="00A437D8"/>
    <w:rsid w:val="00A43E75"/>
    <w:rsid w:val="00A44A47"/>
    <w:rsid w:val="00A456A1"/>
    <w:rsid w:val="00A45E2E"/>
    <w:rsid w:val="00A45E50"/>
    <w:rsid w:val="00A479FA"/>
    <w:rsid w:val="00A50182"/>
    <w:rsid w:val="00A50C23"/>
    <w:rsid w:val="00A519D5"/>
    <w:rsid w:val="00A52BF3"/>
    <w:rsid w:val="00A52CB2"/>
    <w:rsid w:val="00A552FF"/>
    <w:rsid w:val="00A55B6C"/>
    <w:rsid w:val="00A5613F"/>
    <w:rsid w:val="00A563FD"/>
    <w:rsid w:val="00A56774"/>
    <w:rsid w:val="00A56C5B"/>
    <w:rsid w:val="00A606A2"/>
    <w:rsid w:val="00A6071D"/>
    <w:rsid w:val="00A6082A"/>
    <w:rsid w:val="00A61C07"/>
    <w:rsid w:val="00A62F68"/>
    <w:rsid w:val="00A63420"/>
    <w:rsid w:val="00A6350F"/>
    <w:rsid w:val="00A64354"/>
    <w:rsid w:val="00A648C2"/>
    <w:rsid w:val="00A64F19"/>
    <w:rsid w:val="00A65EF4"/>
    <w:rsid w:val="00A6623D"/>
    <w:rsid w:val="00A6789C"/>
    <w:rsid w:val="00A70BA0"/>
    <w:rsid w:val="00A71474"/>
    <w:rsid w:val="00A714B4"/>
    <w:rsid w:val="00A715EB"/>
    <w:rsid w:val="00A751AC"/>
    <w:rsid w:val="00A7550A"/>
    <w:rsid w:val="00A75686"/>
    <w:rsid w:val="00A75D36"/>
    <w:rsid w:val="00A76D0B"/>
    <w:rsid w:val="00A7711F"/>
    <w:rsid w:val="00A77AB8"/>
    <w:rsid w:val="00A77B6A"/>
    <w:rsid w:val="00A77C35"/>
    <w:rsid w:val="00A77F3D"/>
    <w:rsid w:val="00A803E9"/>
    <w:rsid w:val="00A81421"/>
    <w:rsid w:val="00A81A66"/>
    <w:rsid w:val="00A81B1E"/>
    <w:rsid w:val="00A82B6D"/>
    <w:rsid w:val="00A83D48"/>
    <w:rsid w:val="00A83EAD"/>
    <w:rsid w:val="00A83F83"/>
    <w:rsid w:val="00A84241"/>
    <w:rsid w:val="00A84660"/>
    <w:rsid w:val="00A862AC"/>
    <w:rsid w:val="00A862E6"/>
    <w:rsid w:val="00A86529"/>
    <w:rsid w:val="00A86535"/>
    <w:rsid w:val="00A871A7"/>
    <w:rsid w:val="00A87DD6"/>
    <w:rsid w:val="00A87EAA"/>
    <w:rsid w:val="00A90474"/>
    <w:rsid w:val="00A90A69"/>
    <w:rsid w:val="00A9107D"/>
    <w:rsid w:val="00A910A8"/>
    <w:rsid w:val="00A911CF"/>
    <w:rsid w:val="00A91679"/>
    <w:rsid w:val="00A91D59"/>
    <w:rsid w:val="00A92170"/>
    <w:rsid w:val="00A9227B"/>
    <w:rsid w:val="00A92776"/>
    <w:rsid w:val="00A932C3"/>
    <w:rsid w:val="00A9509C"/>
    <w:rsid w:val="00A96B52"/>
    <w:rsid w:val="00A974EB"/>
    <w:rsid w:val="00A97F49"/>
    <w:rsid w:val="00AA0826"/>
    <w:rsid w:val="00AA0D53"/>
    <w:rsid w:val="00AA2706"/>
    <w:rsid w:val="00AA4F15"/>
    <w:rsid w:val="00AA6598"/>
    <w:rsid w:val="00AA66A1"/>
    <w:rsid w:val="00AA6F9D"/>
    <w:rsid w:val="00AA78BE"/>
    <w:rsid w:val="00AA7ACA"/>
    <w:rsid w:val="00AA7FE0"/>
    <w:rsid w:val="00AB0132"/>
    <w:rsid w:val="00AB04E3"/>
    <w:rsid w:val="00AB07A1"/>
    <w:rsid w:val="00AB0AD1"/>
    <w:rsid w:val="00AB0BF0"/>
    <w:rsid w:val="00AB1F5A"/>
    <w:rsid w:val="00AB2B6B"/>
    <w:rsid w:val="00AB30B8"/>
    <w:rsid w:val="00AB318C"/>
    <w:rsid w:val="00AB3260"/>
    <w:rsid w:val="00AB38A9"/>
    <w:rsid w:val="00AB4C3C"/>
    <w:rsid w:val="00AB5BBC"/>
    <w:rsid w:val="00AB5E57"/>
    <w:rsid w:val="00AB6244"/>
    <w:rsid w:val="00AB6B01"/>
    <w:rsid w:val="00AB6BEC"/>
    <w:rsid w:val="00AB6CA0"/>
    <w:rsid w:val="00AC1667"/>
    <w:rsid w:val="00AC19FA"/>
    <w:rsid w:val="00AC1D3F"/>
    <w:rsid w:val="00AC20A1"/>
    <w:rsid w:val="00AC427F"/>
    <w:rsid w:val="00AC490A"/>
    <w:rsid w:val="00AC4C66"/>
    <w:rsid w:val="00AC5E13"/>
    <w:rsid w:val="00AC65E5"/>
    <w:rsid w:val="00AC6991"/>
    <w:rsid w:val="00AC6EB9"/>
    <w:rsid w:val="00AD03EE"/>
    <w:rsid w:val="00AD0D26"/>
    <w:rsid w:val="00AD2214"/>
    <w:rsid w:val="00AD2454"/>
    <w:rsid w:val="00AD25E6"/>
    <w:rsid w:val="00AD2821"/>
    <w:rsid w:val="00AD303E"/>
    <w:rsid w:val="00AD35E0"/>
    <w:rsid w:val="00AD3E44"/>
    <w:rsid w:val="00AD4049"/>
    <w:rsid w:val="00AD49ED"/>
    <w:rsid w:val="00AD6D56"/>
    <w:rsid w:val="00AE01FF"/>
    <w:rsid w:val="00AE354D"/>
    <w:rsid w:val="00AE3E31"/>
    <w:rsid w:val="00AE4692"/>
    <w:rsid w:val="00AE481B"/>
    <w:rsid w:val="00AE568D"/>
    <w:rsid w:val="00AE5C53"/>
    <w:rsid w:val="00AE5F90"/>
    <w:rsid w:val="00AE61A9"/>
    <w:rsid w:val="00AE6894"/>
    <w:rsid w:val="00AE74D4"/>
    <w:rsid w:val="00AE7B91"/>
    <w:rsid w:val="00AF0952"/>
    <w:rsid w:val="00AF0B1C"/>
    <w:rsid w:val="00AF0CE2"/>
    <w:rsid w:val="00AF0E56"/>
    <w:rsid w:val="00AF0FB0"/>
    <w:rsid w:val="00AF3C27"/>
    <w:rsid w:val="00AF7260"/>
    <w:rsid w:val="00AF7517"/>
    <w:rsid w:val="00B001A0"/>
    <w:rsid w:val="00B00562"/>
    <w:rsid w:val="00B00A8F"/>
    <w:rsid w:val="00B00AC0"/>
    <w:rsid w:val="00B01536"/>
    <w:rsid w:val="00B01BD3"/>
    <w:rsid w:val="00B01F11"/>
    <w:rsid w:val="00B0274D"/>
    <w:rsid w:val="00B02BB0"/>
    <w:rsid w:val="00B03ABB"/>
    <w:rsid w:val="00B03B71"/>
    <w:rsid w:val="00B043AD"/>
    <w:rsid w:val="00B04D3C"/>
    <w:rsid w:val="00B052BE"/>
    <w:rsid w:val="00B055F3"/>
    <w:rsid w:val="00B05CA5"/>
    <w:rsid w:val="00B06225"/>
    <w:rsid w:val="00B07356"/>
    <w:rsid w:val="00B0751C"/>
    <w:rsid w:val="00B10050"/>
    <w:rsid w:val="00B10210"/>
    <w:rsid w:val="00B1075F"/>
    <w:rsid w:val="00B10A75"/>
    <w:rsid w:val="00B13048"/>
    <w:rsid w:val="00B13ED8"/>
    <w:rsid w:val="00B13F3E"/>
    <w:rsid w:val="00B157B4"/>
    <w:rsid w:val="00B15DB9"/>
    <w:rsid w:val="00B16AD7"/>
    <w:rsid w:val="00B1721D"/>
    <w:rsid w:val="00B17416"/>
    <w:rsid w:val="00B176A6"/>
    <w:rsid w:val="00B17D3C"/>
    <w:rsid w:val="00B2013A"/>
    <w:rsid w:val="00B209C8"/>
    <w:rsid w:val="00B21244"/>
    <w:rsid w:val="00B212E0"/>
    <w:rsid w:val="00B21BBC"/>
    <w:rsid w:val="00B22084"/>
    <w:rsid w:val="00B228CE"/>
    <w:rsid w:val="00B22BD3"/>
    <w:rsid w:val="00B23DCD"/>
    <w:rsid w:val="00B24958"/>
    <w:rsid w:val="00B25D1B"/>
    <w:rsid w:val="00B2747F"/>
    <w:rsid w:val="00B27601"/>
    <w:rsid w:val="00B27673"/>
    <w:rsid w:val="00B310EF"/>
    <w:rsid w:val="00B31396"/>
    <w:rsid w:val="00B32CF6"/>
    <w:rsid w:val="00B33130"/>
    <w:rsid w:val="00B33445"/>
    <w:rsid w:val="00B338BC"/>
    <w:rsid w:val="00B33C4C"/>
    <w:rsid w:val="00B343A1"/>
    <w:rsid w:val="00B34DF4"/>
    <w:rsid w:val="00B350DE"/>
    <w:rsid w:val="00B367B6"/>
    <w:rsid w:val="00B37A97"/>
    <w:rsid w:val="00B42218"/>
    <w:rsid w:val="00B44A46"/>
    <w:rsid w:val="00B44C21"/>
    <w:rsid w:val="00B45628"/>
    <w:rsid w:val="00B45813"/>
    <w:rsid w:val="00B45AD2"/>
    <w:rsid w:val="00B46058"/>
    <w:rsid w:val="00B4615C"/>
    <w:rsid w:val="00B467C1"/>
    <w:rsid w:val="00B468DA"/>
    <w:rsid w:val="00B46F9C"/>
    <w:rsid w:val="00B479FA"/>
    <w:rsid w:val="00B52715"/>
    <w:rsid w:val="00B54E3F"/>
    <w:rsid w:val="00B54F58"/>
    <w:rsid w:val="00B55122"/>
    <w:rsid w:val="00B553A8"/>
    <w:rsid w:val="00B55C9F"/>
    <w:rsid w:val="00B5606F"/>
    <w:rsid w:val="00B56451"/>
    <w:rsid w:val="00B57656"/>
    <w:rsid w:val="00B61E60"/>
    <w:rsid w:val="00B63E95"/>
    <w:rsid w:val="00B643CB"/>
    <w:rsid w:val="00B650CE"/>
    <w:rsid w:val="00B6538D"/>
    <w:rsid w:val="00B65A21"/>
    <w:rsid w:val="00B666CA"/>
    <w:rsid w:val="00B6734A"/>
    <w:rsid w:val="00B67454"/>
    <w:rsid w:val="00B67E68"/>
    <w:rsid w:val="00B7019B"/>
    <w:rsid w:val="00B71646"/>
    <w:rsid w:val="00B71878"/>
    <w:rsid w:val="00B71AFD"/>
    <w:rsid w:val="00B722EE"/>
    <w:rsid w:val="00B728AF"/>
    <w:rsid w:val="00B737D1"/>
    <w:rsid w:val="00B75A75"/>
    <w:rsid w:val="00B761CC"/>
    <w:rsid w:val="00B7700A"/>
    <w:rsid w:val="00B77230"/>
    <w:rsid w:val="00B7763B"/>
    <w:rsid w:val="00B77850"/>
    <w:rsid w:val="00B80D8A"/>
    <w:rsid w:val="00B813DF"/>
    <w:rsid w:val="00B81655"/>
    <w:rsid w:val="00B81BCE"/>
    <w:rsid w:val="00B8274A"/>
    <w:rsid w:val="00B8285D"/>
    <w:rsid w:val="00B82872"/>
    <w:rsid w:val="00B829A5"/>
    <w:rsid w:val="00B82AF2"/>
    <w:rsid w:val="00B84350"/>
    <w:rsid w:val="00B84E4C"/>
    <w:rsid w:val="00B8562D"/>
    <w:rsid w:val="00B8583C"/>
    <w:rsid w:val="00B85C67"/>
    <w:rsid w:val="00B90003"/>
    <w:rsid w:val="00B909C1"/>
    <w:rsid w:val="00B90A40"/>
    <w:rsid w:val="00B9185F"/>
    <w:rsid w:val="00B91D75"/>
    <w:rsid w:val="00B920A8"/>
    <w:rsid w:val="00B92113"/>
    <w:rsid w:val="00B93828"/>
    <w:rsid w:val="00B94B76"/>
    <w:rsid w:val="00B94E0C"/>
    <w:rsid w:val="00B95E41"/>
    <w:rsid w:val="00B95FE0"/>
    <w:rsid w:val="00B9651B"/>
    <w:rsid w:val="00B97EFF"/>
    <w:rsid w:val="00B97F8F"/>
    <w:rsid w:val="00BA06A5"/>
    <w:rsid w:val="00BA3151"/>
    <w:rsid w:val="00BA32D6"/>
    <w:rsid w:val="00BA3C19"/>
    <w:rsid w:val="00BA49DC"/>
    <w:rsid w:val="00BA52B5"/>
    <w:rsid w:val="00BA57E1"/>
    <w:rsid w:val="00BA5B9D"/>
    <w:rsid w:val="00BA5F78"/>
    <w:rsid w:val="00BB13BC"/>
    <w:rsid w:val="00BB184C"/>
    <w:rsid w:val="00BB196E"/>
    <w:rsid w:val="00BB40DB"/>
    <w:rsid w:val="00BB460D"/>
    <w:rsid w:val="00BB6037"/>
    <w:rsid w:val="00BB67C5"/>
    <w:rsid w:val="00BB7815"/>
    <w:rsid w:val="00BC08B3"/>
    <w:rsid w:val="00BC1E1C"/>
    <w:rsid w:val="00BC20A7"/>
    <w:rsid w:val="00BC27FA"/>
    <w:rsid w:val="00BC3DFB"/>
    <w:rsid w:val="00BC4459"/>
    <w:rsid w:val="00BC49BB"/>
    <w:rsid w:val="00BC5956"/>
    <w:rsid w:val="00BC626E"/>
    <w:rsid w:val="00BD0603"/>
    <w:rsid w:val="00BD0F99"/>
    <w:rsid w:val="00BD1532"/>
    <w:rsid w:val="00BD2AF8"/>
    <w:rsid w:val="00BD2D90"/>
    <w:rsid w:val="00BD34CD"/>
    <w:rsid w:val="00BD394C"/>
    <w:rsid w:val="00BD39BC"/>
    <w:rsid w:val="00BD59C1"/>
    <w:rsid w:val="00BD5E4F"/>
    <w:rsid w:val="00BD61AE"/>
    <w:rsid w:val="00BD61F5"/>
    <w:rsid w:val="00BD6EEE"/>
    <w:rsid w:val="00BD72ED"/>
    <w:rsid w:val="00BE093A"/>
    <w:rsid w:val="00BE18E9"/>
    <w:rsid w:val="00BE2AA5"/>
    <w:rsid w:val="00BE2F6E"/>
    <w:rsid w:val="00BE3420"/>
    <w:rsid w:val="00BE46EF"/>
    <w:rsid w:val="00BE4CFB"/>
    <w:rsid w:val="00BE5F4A"/>
    <w:rsid w:val="00BF0AF6"/>
    <w:rsid w:val="00BF175C"/>
    <w:rsid w:val="00BF1D61"/>
    <w:rsid w:val="00BF2503"/>
    <w:rsid w:val="00BF2DCC"/>
    <w:rsid w:val="00BF2E69"/>
    <w:rsid w:val="00BF3137"/>
    <w:rsid w:val="00BF4027"/>
    <w:rsid w:val="00BF49BA"/>
    <w:rsid w:val="00BF4FB5"/>
    <w:rsid w:val="00BF56B3"/>
    <w:rsid w:val="00BF6123"/>
    <w:rsid w:val="00BF6274"/>
    <w:rsid w:val="00BF62AE"/>
    <w:rsid w:val="00BF7A12"/>
    <w:rsid w:val="00C00CED"/>
    <w:rsid w:val="00C00E06"/>
    <w:rsid w:val="00C0171E"/>
    <w:rsid w:val="00C026B5"/>
    <w:rsid w:val="00C04075"/>
    <w:rsid w:val="00C04F3F"/>
    <w:rsid w:val="00C055CD"/>
    <w:rsid w:val="00C05821"/>
    <w:rsid w:val="00C06B1F"/>
    <w:rsid w:val="00C06CD7"/>
    <w:rsid w:val="00C071BF"/>
    <w:rsid w:val="00C0775E"/>
    <w:rsid w:val="00C1021F"/>
    <w:rsid w:val="00C10C52"/>
    <w:rsid w:val="00C1132A"/>
    <w:rsid w:val="00C11380"/>
    <w:rsid w:val="00C12F2C"/>
    <w:rsid w:val="00C145D8"/>
    <w:rsid w:val="00C14837"/>
    <w:rsid w:val="00C165D3"/>
    <w:rsid w:val="00C1693D"/>
    <w:rsid w:val="00C16FEA"/>
    <w:rsid w:val="00C17CD4"/>
    <w:rsid w:val="00C21FD0"/>
    <w:rsid w:val="00C220A5"/>
    <w:rsid w:val="00C22708"/>
    <w:rsid w:val="00C24A95"/>
    <w:rsid w:val="00C24C18"/>
    <w:rsid w:val="00C25E55"/>
    <w:rsid w:val="00C26655"/>
    <w:rsid w:val="00C27A28"/>
    <w:rsid w:val="00C3214C"/>
    <w:rsid w:val="00C327CC"/>
    <w:rsid w:val="00C3289B"/>
    <w:rsid w:val="00C32924"/>
    <w:rsid w:val="00C32B8D"/>
    <w:rsid w:val="00C32DDD"/>
    <w:rsid w:val="00C331A2"/>
    <w:rsid w:val="00C33B03"/>
    <w:rsid w:val="00C350CE"/>
    <w:rsid w:val="00C35485"/>
    <w:rsid w:val="00C35689"/>
    <w:rsid w:val="00C3599B"/>
    <w:rsid w:val="00C35FAF"/>
    <w:rsid w:val="00C36193"/>
    <w:rsid w:val="00C36770"/>
    <w:rsid w:val="00C36C36"/>
    <w:rsid w:val="00C37B31"/>
    <w:rsid w:val="00C37D09"/>
    <w:rsid w:val="00C4059E"/>
    <w:rsid w:val="00C4140E"/>
    <w:rsid w:val="00C41AF0"/>
    <w:rsid w:val="00C41EF9"/>
    <w:rsid w:val="00C41FDA"/>
    <w:rsid w:val="00C42E25"/>
    <w:rsid w:val="00C42F23"/>
    <w:rsid w:val="00C43EB1"/>
    <w:rsid w:val="00C4476C"/>
    <w:rsid w:val="00C44CBE"/>
    <w:rsid w:val="00C4595F"/>
    <w:rsid w:val="00C45980"/>
    <w:rsid w:val="00C46902"/>
    <w:rsid w:val="00C46D7D"/>
    <w:rsid w:val="00C47319"/>
    <w:rsid w:val="00C47428"/>
    <w:rsid w:val="00C47752"/>
    <w:rsid w:val="00C50526"/>
    <w:rsid w:val="00C50630"/>
    <w:rsid w:val="00C515E4"/>
    <w:rsid w:val="00C53353"/>
    <w:rsid w:val="00C53CE1"/>
    <w:rsid w:val="00C53DDD"/>
    <w:rsid w:val="00C55E60"/>
    <w:rsid w:val="00C576E3"/>
    <w:rsid w:val="00C57BF1"/>
    <w:rsid w:val="00C61032"/>
    <w:rsid w:val="00C63316"/>
    <w:rsid w:val="00C63CCE"/>
    <w:rsid w:val="00C64055"/>
    <w:rsid w:val="00C64B90"/>
    <w:rsid w:val="00C6552C"/>
    <w:rsid w:val="00C66679"/>
    <w:rsid w:val="00C67839"/>
    <w:rsid w:val="00C70C64"/>
    <w:rsid w:val="00C71844"/>
    <w:rsid w:val="00C72096"/>
    <w:rsid w:val="00C73523"/>
    <w:rsid w:val="00C73EB1"/>
    <w:rsid w:val="00C747E7"/>
    <w:rsid w:val="00C752F2"/>
    <w:rsid w:val="00C755D9"/>
    <w:rsid w:val="00C756EE"/>
    <w:rsid w:val="00C75761"/>
    <w:rsid w:val="00C7589D"/>
    <w:rsid w:val="00C75E2C"/>
    <w:rsid w:val="00C77BE2"/>
    <w:rsid w:val="00C808D0"/>
    <w:rsid w:val="00C83EE1"/>
    <w:rsid w:val="00C84779"/>
    <w:rsid w:val="00C86174"/>
    <w:rsid w:val="00C863ED"/>
    <w:rsid w:val="00C86761"/>
    <w:rsid w:val="00C86D67"/>
    <w:rsid w:val="00C87498"/>
    <w:rsid w:val="00C907A5"/>
    <w:rsid w:val="00C907B0"/>
    <w:rsid w:val="00C90AE0"/>
    <w:rsid w:val="00C92A5A"/>
    <w:rsid w:val="00C93192"/>
    <w:rsid w:val="00C931A3"/>
    <w:rsid w:val="00C94CB3"/>
    <w:rsid w:val="00C950E3"/>
    <w:rsid w:val="00C9547C"/>
    <w:rsid w:val="00C95F37"/>
    <w:rsid w:val="00CA0DEA"/>
    <w:rsid w:val="00CA1311"/>
    <w:rsid w:val="00CA1F1A"/>
    <w:rsid w:val="00CA22C7"/>
    <w:rsid w:val="00CA28EB"/>
    <w:rsid w:val="00CA3022"/>
    <w:rsid w:val="00CA3637"/>
    <w:rsid w:val="00CA3CBA"/>
    <w:rsid w:val="00CA3E18"/>
    <w:rsid w:val="00CA54C0"/>
    <w:rsid w:val="00CA72BD"/>
    <w:rsid w:val="00CA7347"/>
    <w:rsid w:val="00CA7A07"/>
    <w:rsid w:val="00CA7FB5"/>
    <w:rsid w:val="00CB0FBA"/>
    <w:rsid w:val="00CB150F"/>
    <w:rsid w:val="00CB185F"/>
    <w:rsid w:val="00CB18C6"/>
    <w:rsid w:val="00CB1CCD"/>
    <w:rsid w:val="00CB590B"/>
    <w:rsid w:val="00CB5F4C"/>
    <w:rsid w:val="00CB7255"/>
    <w:rsid w:val="00CC0825"/>
    <w:rsid w:val="00CC0BDF"/>
    <w:rsid w:val="00CC0F19"/>
    <w:rsid w:val="00CC25B5"/>
    <w:rsid w:val="00CC26B2"/>
    <w:rsid w:val="00CC27EE"/>
    <w:rsid w:val="00CC2EE1"/>
    <w:rsid w:val="00CC333C"/>
    <w:rsid w:val="00CC4B6C"/>
    <w:rsid w:val="00CC72B0"/>
    <w:rsid w:val="00CC76E8"/>
    <w:rsid w:val="00CC7843"/>
    <w:rsid w:val="00CD0DEC"/>
    <w:rsid w:val="00CD121D"/>
    <w:rsid w:val="00CD1394"/>
    <w:rsid w:val="00CD1412"/>
    <w:rsid w:val="00CD1B0E"/>
    <w:rsid w:val="00CD230F"/>
    <w:rsid w:val="00CD283F"/>
    <w:rsid w:val="00CD2BD5"/>
    <w:rsid w:val="00CD330C"/>
    <w:rsid w:val="00CD4AFB"/>
    <w:rsid w:val="00CD4B76"/>
    <w:rsid w:val="00CD5622"/>
    <w:rsid w:val="00CD5946"/>
    <w:rsid w:val="00CD657A"/>
    <w:rsid w:val="00CD680F"/>
    <w:rsid w:val="00CE0FB9"/>
    <w:rsid w:val="00CE2175"/>
    <w:rsid w:val="00CE50D8"/>
    <w:rsid w:val="00CE6F68"/>
    <w:rsid w:val="00CE741C"/>
    <w:rsid w:val="00CF00C9"/>
    <w:rsid w:val="00CF09E0"/>
    <w:rsid w:val="00CF0A41"/>
    <w:rsid w:val="00CF0F4B"/>
    <w:rsid w:val="00CF1E56"/>
    <w:rsid w:val="00CF2668"/>
    <w:rsid w:val="00CF351A"/>
    <w:rsid w:val="00CF3D1A"/>
    <w:rsid w:val="00CF3E2C"/>
    <w:rsid w:val="00CF4195"/>
    <w:rsid w:val="00CF5942"/>
    <w:rsid w:val="00CF5C16"/>
    <w:rsid w:val="00CF659F"/>
    <w:rsid w:val="00CF6A80"/>
    <w:rsid w:val="00CF7197"/>
    <w:rsid w:val="00CF7249"/>
    <w:rsid w:val="00CF7656"/>
    <w:rsid w:val="00CF7B42"/>
    <w:rsid w:val="00D00196"/>
    <w:rsid w:val="00D00864"/>
    <w:rsid w:val="00D00B2F"/>
    <w:rsid w:val="00D00EC2"/>
    <w:rsid w:val="00D0153E"/>
    <w:rsid w:val="00D01B39"/>
    <w:rsid w:val="00D026A5"/>
    <w:rsid w:val="00D028B4"/>
    <w:rsid w:val="00D0336E"/>
    <w:rsid w:val="00D0368E"/>
    <w:rsid w:val="00D0472B"/>
    <w:rsid w:val="00D04B5F"/>
    <w:rsid w:val="00D04CD7"/>
    <w:rsid w:val="00D0638A"/>
    <w:rsid w:val="00D06D4D"/>
    <w:rsid w:val="00D06DAC"/>
    <w:rsid w:val="00D072CB"/>
    <w:rsid w:val="00D10520"/>
    <w:rsid w:val="00D1186C"/>
    <w:rsid w:val="00D12CBB"/>
    <w:rsid w:val="00D13588"/>
    <w:rsid w:val="00D153EF"/>
    <w:rsid w:val="00D155C1"/>
    <w:rsid w:val="00D15C85"/>
    <w:rsid w:val="00D165C4"/>
    <w:rsid w:val="00D2033D"/>
    <w:rsid w:val="00D20371"/>
    <w:rsid w:val="00D20D90"/>
    <w:rsid w:val="00D22167"/>
    <w:rsid w:val="00D228B4"/>
    <w:rsid w:val="00D22B20"/>
    <w:rsid w:val="00D23348"/>
    <w:rsid w:val="00D23E8F"/>
    <w:rsid w:val="00D242CE"/>
    <w:rsid w:val="00D24AAE"/>
    <w:rsid w:val="00D24BAA"/>
    <w:rsid w:val="00D24F0B"/>
    <w:rsid w:val="00D24F77"/>
    <w:rsid w:val="00D254FC"/>
    <w:rsid w:val="00D25BA0"/>
    <w:rsid w:val="00D26FA9"/>
    <w:rsid w:val="00D272C5"/>
    <w:rsid w:val="00D27E58"/>
    <w:rsid w:val="00D30720"/>
    <w:rsid w:val="00D307EA"/>
    <w:rsid w:val="00D31551"/>
    <w:rsid w:val="00D31731"/>
    <w:rsid w:val="00D321D8"/>
    <w:rsid w:val="00D32929"/>
    <w:rsid w:val="00D33A9C"/>
    <w:rsid w:val="00D34DE1"/>
    <w:rsid w:val="00D34F76"/>
    <w:rsid w:val="00D35656"/>
    <w:rsid w:val="00D35BA5"/>
    <w:rsid w:val="00D36EF7"/>
    <w:rsid w:val="00D372F0"/>
    <w:rsid w:val="00D375D9"/>
    <w:rsid w:val="00D378BB"/>
    <w:rsid w:val="00D40337"/>
    <w:rsid w:val="00D40939"/>
    <w:rsid w:val="00D41268"/>
    <w:rsid w:val="00D41C4E"/>
    <w:rsid w:val="00D42958"/>
    <w:rsid w:val="00D42C6B"/>
    <w:rsid w:val="00D42CE3"/>
    <w:rsid w:val="00D43041"/>
    <w:rsid w:val="00D437F4"/>
    <w:rsid w:val="00D44033"/>
    <w:rsid w:val="00D445B0"/>
    <w:rsid w:val="00D4585F"/>
    <w:rsid w:val="00D47BCF"/>
    <w:rsid w:val="00D50605"/>
    <w:rsid w:val="00D511FC"/>
    <w:rsid w:val="00D52741"/>
    <w:rsid w:val="00D536BB"/>
    <w:rsid w:val="00D538B9"/>
    <w:rsid w:val="00D53DCF"/>
    <w:rsid w:val="00D54A21"/>
    <w:rsid w:val="00D55025"/>
    <w:rsid w:val="00D5726C"/>
    <w:rsid w:val="00D574F2"/>
    <w:rsid w:val="00D600B3"/>
    <w:rsid w:val="00D62534"/>
    <w:rsid w:val="00D632D0"/>
    <w:rsid w:val="00D64AB4"/>
    <w:rsid w:val="00D65770"/>
    <w:rsid w:val="00D658F0"/>
    <w:rsid w:val="00D65EEB"/>
    <w:rsid w:val="00D6667C"/>
    <w:rsid w:val="00D67521"/>
    <w:rsid w:val="00D67FA2"/>
    <w:rsid w:val="00D70139"/>
    <w:rsid w:val="00D702C9"/>
    <w:rsid w:val="00D708AF"/>
    <w:rsid w:val="00D70E96"/>
    <w:rsid w:val="00D713EC"/>
    <w:rsid w:val="00D71940"/>
    <w:rsid w:val="00D7233E"/>
    <w:rsid w:val="00D72629"/>
    <w:rsid w:val="00D72B64"/>
    <w:rsid w:val="00D73E2A"/>
    <w:rsid w:val="00D7555F"/>
    <w:rsid w:val="00D75588"/>
    <w:rsid w:val="00D755A4"/>
    <w:rsid w:val="00D76110"/>
    <w:rsid w:val="00D765D3"/>
    <w:rsid w:val="00D76F00"/>
    <w:rsid w:val="00D77BC3"/>
    <w:rsid w:val="00D81054"/>
    <w:rsid w:val="00D81CEE"/>
    <w:rsid w:val="00D82017"/>
    <w:rsid w:val="00D823EF"/>
    <w:rsid w:val="00D82596"/>
    <w:rsid w:val="00D82B39"/>
    <w:rsid w:val="00D83011"/>
    <w:rsid w:val="00D83325"/>
    <w:rsid w:val="00D8510F"/>
    <w:rsid w:val="00D8642C"/>
    <w:rsid w:val="00D87692"/>
    <w:rsid w:val="00D87CD5"/>
    <w:rsid w:val="00D87DEC"/>
    <w:rsid w:val="00D900FD"/>
    <w:rsid w:val="00D901E8"/>
    <w:rsid w:val="00D902E2"/>
    <w:rsid w:val="00D903B5"/>
    <w:rsid w:val="00D910FF"/>
    <w:rsid w:val="00D914AC"/>
    <w:rsid w:val="00D9163B"/>
    <w:rsid w:val="00D91645"/>
    <w:rsid w:val="00D91D22"/>
    <w:rsid w:val="00D91EF6"/>
    <w:rsid w:val="00D9275E"/>
    <w:rsid w:val="00D944DB"/>
    <w:rsid w:val="00D94BBA"/>
    <w:rsid w:val="00D95860"/>
    <w:rsid w:val="00D9667F"/>
    <w:rsid w:val="00D97160"/>
    <w:rsid w:val="00D971CF"/>
    <w:rsid w:val="00DA0135"/>
    <w:rsid w:val="00DA09D1"/>
    <w:rsid w:val="00DA0B9A"/>
    <w:rsid w:val="00DA10FA"/>
    <w:rsid w:val="00DA12A8"/>
    <w:rsid w:val="00DA2279"/>
    <w:rsid w:val="00DA2B5A"/>
    <w:rsid w:val="00DA31BF"/>
    <w:rsid w:val="00DA4AC2"/>
    <w:rsid w:val="00DA54DA"/>
    <w:rsid w:val="00DA5B25"/>
    <w:rsid w:val="00DB016A"/>
    <w:rsid w:val="00DB0CC3"/>
    <w:rsid w:val="00DB3022"/>
    <w:rsid w:val="00DB3F49"/>
    <w:rsid w:val="00DB6153"/>
    <w:rsid w:val="00DB6C66"/>
    <w:rsid w:val="00DB6F88"/>
    <w:rsid w:val="00DB7AEC"/>
    <w:rsid w:val="00DB7CFF"/>
    <w:rsid w:val="00DC0FDF"/>
    <w:rsid w:val="00DC1E3E"/>
    <w:rsid w:val="00DC21E9"/>
    <w:rsid w:val="00DC2425"/>
    <w:rsid w:val="00DC249D"/>
    <w:rsid w:val="00DC3A95"/>
    <w:rsid w:val="00DC46BF"/>
    <w:rsid w:val="00DC5A43"/>
    <w:rsid w:val="00DC5B8E"/>
    <w:rsid w:val="00DC6374"/>
    <w:rsid w:val="00DC6B80"/>
    <w:rsid w:val="00DC7361"/>
    <w:rsid w:val="00DC7818"/>
    <w:rsid w:val="00DC787D"/>
    <w:rsid w:val="00DD026D"/>
    <w:rsid w:val="00DD1793"/>
    <w:rsid w:val="00DD1A22"/>
    <w:rsid w:val="00DD33BD"/>
    <w:rsid w:val="00DD38E5"/>
    <w:rsid w:val="00DD6553"/>
    <w:rsid w:val="00DD6FF3"/>
    <w:rsid w:val="00DD77E4"/>
    <w:rsid w:val="00DE03BB"/>
    <w:rsid w:val="00DE114C"/>
    <w:rsid w:val="00DE1357"/>
    <w:rsid w:val="00DE1B28"/>
    <w:rsid w:val="00DE2734"/>
    <w:rsid w:val="00DE289C"/>
    <w:rsid w:val="00DE3B4A"/>
    <w:rsid w:val="00DE3F19"/>
    <w:rsid w:val="00DE4816"/>
    <w:rsid w:val="00DE48C5"/>
    <w:rsid w:val="00DE4E98"/>
    <w:rsid w:val="00DE550A"/>
    <w:rsid w:val="00DF07DC"/>
    <w:rsid w:val="00DF086D"/>
    <w:rsid w:val="00DF1158"/>
    <w:rsid w:val="00DF1AB3"/>
    <w:rsid w:val="00DF20B6"/>
    <w:rsid w:val="00DF242C"/>
    <w:rsid w:val="00DF2E15"/>
    <w:rsid w:val="00DF31DD"/>
    <w:rsid w:val="00DF3251"/>
    <w:rsid w:val="00DF4396"/>
    <w:rsid w:val="00DF70AF"/>
    <w:rsid w:val="00DF7870"/>
    <w:rsid w:val="00E001E8"/>
    <w:rsid w:val="00E00546"/>
    <w:rsid w:val="00E01666"/>
    <w:rsid w:val="00E02A68"/>
    <w:rsid w:val="00E032C3"/>
    <w:rsid w:val="00E035ED"/>
    <w:rsid w:val="00E03BE9"/>
    <w:rsid w:val="00E054F4"/>
    <w:rsid w:val="00E05778"/>
    <w:rsid w:val="00E05E52"/>
    <w:rsid w:val="00E06444"/>
    <w:rsid w:val="00E064FB"/>
    <w:rsid w:val="00E069C8"/>
    <w:rsid w:val="00E06DC8"/>
    <w:rsid w:val="00E102C2"/>
    <w:rsid w:val="00E1098F"/>
    <w:rsid w:val="00E12928"/>
    <w:rsid w:val="00E12B76"/>
    <w:rsid w:val="00E134ED"/>
    <w:rsid w:val="00E139B3"/>
    <w:rsid w:val="00E1411E"/>
    <w:rsid w:val="00E1422B"/>
    <w:rsid w:val="00E142B3"/>
    <w:rsid w:val="00E152E7"/>
    <w:rsid w:val="00E15501"/>
    <w:rsid w:val="00E15F6C"/>
    <w:rsid w:val="00E17EC8"/>
    <w:rsid w:val="00E2053B"/>
    <w:rsid w:val="00E20835"/>
    <w:rsid w:val="00E210DC"/>
    <w:rsid w:val="00E2179B"/>
    <w:rsid w:val="00E21BE2"/>
    <w:rsid w:val="00E21DD2"/>
    <w:rsid w:val="00E22582"/>
    <w:rsid w:val="00E22BCF"/>
    <w:rsid w:val="00E22F42"/>
    <w:rsid w:val="00E2374C"/>
    <w:rsid w:val="00E2392E"/>
    <w:rsid w:val="00E23988"/>
    <w:rsid w:val="00E2522D"/>
    <w:rsid w:val="00E26D2A"/>
    <w:rsid w:val="00E270E2"/>
    <w:rsid w:val="00E27C64"/>
    <w:rsid w:val="00E306DE"/>
    <w:rsid w:val="00E3218F"/>
    <w:rsid w:val="00E32CFF"/>
    <w:rsid w:val="00E345EE"/>
    <w:rsid w:val="00E34F56"/>
    <w:rsid w:val="00E3543D"/>
    <w:rsid w:val="00E35CA5"/>
    <w:rsid w:val="00E36D95"/>
    <w:rsid w:val="00E36E12"/>
    <w:rsid w:val="00E373B2"/>
    <w:rsid w:val="00E3784D"/>
    <w:rsid w:val="00E37A3E"/>
    <w:rsid w:val="00E40E13"/>
    <w:rsid w:val="00E40E43"/>
    <w:rsid w:val="00E4177A"/>
    <w:rsid w:val="00E417C0"/>
    <w:rsid w:val="00E42624"/>
    <w:rsid w:val="00E42A4F"/>
    <w:rsid w:val="00E43B24"/>
    <w:rsid w:val="00E45E21"/>
    <w:rsid w:val="00E46C67"/>
    <w:rsid w:val="00E46FDE"/>
    <w:rsid w:val="00E475DC"/>
    <w:rsid w:val="00E47605"/>
    <w:rsid w:val="00E502D1"/>
    <w:rsid w:val="00E5040E"/>
    <w:rsid w:val="00E51775"/>
    <w:rsid w:val="00E51927"/>
    <w:rsid w:val="00E51D36"/>
    <w:rsid w:val="00E53295"/>
    <w:rsid w:val="00E53813"/>
    <w:rsid w:val="00E541B7"/>
    <w:rsid w:val="00E54F7C"/>
    <w:rsid w:val="00E55430"/>
    <w:rsid w:val="00E556E7"/>
    <w:rsid w:val="00E557D2"/>
    <w:rsid w:val="00E56355"/>
    <w:rsid w:val="00E569D7"/>
    <w:rsid w:val="00E56CCE"/>
    <w:rsid w:val="00E5772B"/>
    <w:rsid w:val="00E5773B"/>
    <w:rsid w:val="00E57BD3"/>
    <w:rsid w:val="00E57CCE"/>
    <w:rsid w:val="00E57FC3"/>
    <w:rsid w:val="00E603B2"/>
    <w:rsid w:val="00E608B6"/>
    <w:rsid w:val="00E619F6"/>
    <w:rsid w:val="00E61E6B"/>
    <w:rsid w:val="00E62A53"/>
    <w:rsid w:val="00E62C9C"/>
    <w:rsid w:val="00E63130"/>
    <w:rsid w:val="00E63324"/>
    <w:rsid w:val="00E63D38"/>
    <w:rsid w:val="00E64116"/>
    <w:rsid w:val="00E645AD"/>
    <w:rsid w:val="00E65B37"/>
    <w:rsid w:val="00E6608D"/>
    <w:rsid w:val="00E66127"/>
    <w:rsid w:val="00E6684C"/>
    <w:rsid w:val="00E6686F"/>
    <w:rsid w:val="00E66A17"/>
    <w:rsid w:val="00E66FA4"/>
    <w:rsid w:val="00E67199"/>
    <w:rsid w:val="00E67606"/>
    <w:rsid w:val="00E6784C"/>
    <w:rsid w:val="00E67BD6"/>
    <w:rsid w:val="00E7014F"/>
    <w:rsid w:val="00E70984"/>
    <w:rsid w:val="00E71420"/>
    <w:rsid w:val="00E72113"/>
    <w:rsid w:val="00E72667"/>
    <w:rsid w:val="00E72FFF"/>
    <w:rsid w:val="00E7579D"/>
    <w:rsid w:val="00E75C89"/>
    <w:rsid w:val="00E75CB1"/>
    <w:rsid w:val="00E77D57"/>
    <w:rsid w:val="00E77D70"/>
    <w:rsid w:val="00E8039D"/>
    <w:rsid w:val="00E80ECA"/>
    <w:rsid w:val="00E80F8C"/>
    <w:rsid w:val="00E81183"/>
    <w:rsid w:val="00E81C24"/>
    <w:rsid w:val="00E81D33"/>
    <w:rsid w:val="00E829EE"/>
    <w:rsid w:val="00E82A53"/>
    <w:rsid w:val="00E82A5F"/>
    <w:rsid w:val="00E82DD5"/>
    <w:rsid w:val="00E83595"/>
    <w:rsid w:val="00E83AF3"/>
    <w:rsid w:val="00E83E07"/>
    <w:rsid w:val="00E84CBB"/>
    <w:rsid w:val="00E857D0"/>
    <w:rsid w:val="00E860F4"/>
    <w:rsid w:val="00E867B6"/>
    <w:rsid w:val="00E90356"/>
    <w:rsid w:val="00E91247"/>
    <w:rsid w:val="00E92D85"/>
    <w:rsid w:val="00E930FA"/>
    <w:rsid w:val="00E940AB"/>
    <w:rsid w:val="00E94769"/>
    <w:rsid w:val="00E9588C"/>
    <w:rsid w:val="00E95EC9"/>
    <w:rsid w:val="00E96337"/>
    <w:rsid w:val="00E965FE"/>
    <w:rsid w:val="00E96848"/>
    <w:rsid w:val="00E96DD4"/>
    <w:rsid w:val="00E97E0D"/>
    <w:rsid w:val="00EA3779"/>
    <w:rsid w:val="00EA65BE"/>
    <w:rsid w:val="00EA6A62"/>
    <w:rsid w:val="00EB0609"/>
    <w:rsid w:val="00EB0B39"/>
    <w:rsid w:val="00EB0BA9"/>
    <w:rsid w:val="00EB1CD2"/>
    <w:rsid w:val="00EB1ECB"/>
    <w:rsid w:val="00EB2659"/>
    <w:rsid w:val="00EB28B4"/>
    <w:rsid w:val="00EB2C5B"/>
    <w:rsid w:val="00EB3DE5"/>
    <w:rsid w:val="00EB4E4D"/>
    <w:rsid w:val="00EB5633"/>
    <w:rsid w:val="00EB58EF"/>
    <w:rsid w:val="00EB5E4A"/>
    <w:rsid w:val="00EB68EE"/>
    <w:rsid w:val="00EB6B72"/>
    <w:rsid w:val="00EB6F81"/>
    <w:rsid w:val="00EB7CD6"/>
    <w:rsid w:val="00EC17FE"/>
    <w:rsid w:val="00EC2AED"/>
    <w:rsid w:val="00EC2E78"/>
    <w:rsid w:val="00EC328B"/>
    <w:rsid w:val="00EC4166"/>
    <w:rsid w:val="00EC4621"/>
    <w:rsid w:val="00EC47AA"/>
    <w:rsid w:val="00EC4C30"/>
    <w:rsid w:val="00EC5273"/>
    <w:rsid w:val="00EC57BF"/>
    <w:rsid w:val="00EC5DB2"/>
    <w:rsid w:val="00EC5E07"/>
    <w:rsid w:val="00EC60DA"/>
    <w:rsid w:val="00EC64E9"/>
    <w:rsid w:val="00EC690B"/>
    <w:rsid w:val="00ED1138"/>
    <w:rsid w:val="00ED241A"/>
    <w:rsid w:val="00ED246A"/>
    <w:rsid w:val="00ED3319"/>
    <w:rsid w:val="00ED62FF"/>
    <w:rsid w:val="00ED6826"/>
    <w:rsid w:val="00ED7ADB"/>
    <w:rsid w:val="00ED7E39"/>
    <w:rsid w:val="00ED7ED2"/>
    <w:rsid w:val="00ED7EDC"/>
    <w:rsid w:val="00ED7F95"/>
    <w:rsid w:val="00EE1D46"/>
    <w:rsid w:val="00EE1FCC"/>
    <w:rsid w:val="00EE3596"/>
    <w:rsid w:val="00EE4354"/>
    <w:rsid w:val="00EE4897"/>
    <w:rsid w:val="00EE489C"/>
    <w:rsid w:val="00EE4BF9"/>
    <w:rsid w:val="00EE4DC8"/>
    <w:rsid w:val="00EE4E64"/>
    <w:rsid w:val="00EE6D0A"/>
    <w:rsid w:val="00EE758E"/>
    <w:rsid w:val="00EE7E71"/>
    <w:rsid w:val="00EF0E2B"/>
    <w:rsid w:val="00EF18B3"/>
    <w:rsid w:val="00EF2352"/>
    <w:rsid w:val="00EF3479"/>
    <w:rsid w:val="00EF3A44"/>
    <w:rsid w:val="00EF3ADF"/>
    <w:rsid w:val="00EF48E0"/>
    <w:rsid w:val="00EF4DE8"/>
    <w:rsid w:val="00EF509E"/>
    <w:rsid w:val="00EF5E6E"/>
    <w:rsid w:val="00F0071C"/>
    <w:rsid w:val="00F0134C"/>
    <w:rsid w:val="00F013B0"/>
    <w:rsid w:val="00F014B8"/>
    <w:rsid w:val="00F017B8"/>
    <w:rsid w:val="00F01DF4"/>
    <w:rsid w:val="00F01F2C"/>
    <w:rsid w:val="00F02DA6"/>
    <w:rsid w:val="00F047EF"/>
    <w:rsid w:val="00F05782"/>
    <w:rsid w:val="00F0618D"/>
    <w:rsid w:val="00F0655C"/>
    <w:rsid w:val="00F06748"/>
    <w:rsid w:val="00F07C1A"/>
    <w:rsid w:val="00F07F52"/>
    <w:rsid w:val="00F1022D"/>
    <w:rsid w:val="00F102C0"/>
    <w:rsid w:val="00F10CC5"/>
    <w:rsid w:val="00F10D56"/>
    <w:rsid w:val="00F11577"/>
    <w:rsid w:val="00F12659"/>
    <w:rsid w:val="00F1316D"/>
    <w:rsid w:val="00F1336D"/>
    <w:rsid w:val="00F13C77"/>
    <w:rsid w:val="00F14841"/>
    <w:rsid w:val="00F158B8"/>
    <w:rsid w:val="00F15A17"/>
    <w:rsid w:val="00F15D4A"/>
    <w:rsid w:val="00F16ACC"/>
    <w:rsid w:val="00F203E2"/>
    <w:rsid w:val="00F20835"/>
    <w:rsid w:val="00F215D6"/>
    <w:rsid w:val="00F22C1D"/>
    <w:rsid w:val="00F242A9"/>
    <w:rsid w:val="00F25343"/>
    <w:rsid w:val="00F25A21"/>
    <w:rsid w:val="00F25EFB"/>
    <w:rsid w:val="00F2605B"/>
    <w:rsid w:val="00F26F8E"/>
    <w:rsid w:val="00F27AFF"/>
    <w:rsid w:val="00F30331"/>
    <w:rsid w:val="00F30D30"/>
    <w:rsid w:val="00F31099"/>
    <w:rsid w:val="00F314B4"/>
    <w:rsid w:val="00F31514"/>
    <w:rsid w:val="00F31710"/>
    <w:rsid w:val="00F31844"/>
    <w:rsid w:val="00F32A9B"/>
    <w:rsid w:val="00F33105"/>
    <w:rsid w:val="00F35C12"/>
    <w:rsid w:val="00F35CE4"/>
    <w:rsid w:val="00F366C8"/>
    <w:rsid w:val="00F36774"/>
    <w:rsid w:val="00F40C5E"/>
    <w:rsid w:val="00F40E82"/>
    <w:rsid w:val="00F41245"/>
    <w:rsid w:val="00F41CC2"/>
    <w:rsid w:val="00F43211"/>
    <w:rsid w:val="00F43CD5"/>
    <w:rsid w:val="00F4530F"/>
    <w:rsid w:val="00F45323"/>
    <w:rsid w:val="00F455F3"/>
    <w:rsid w:val="00F4652D"/>
    <w:rsid w:val="00F46923"/>
    <w:rsid w:val="00F47121"/>
    <w:rsid w:val="00F5004E"/>
    <w:rsid w:val="00F503B5"/>
    <w:rsid w:val="00F516D1"/>
    <w:rsid w:val="00F519B3"/>
    <w:rsid w:val="00F543D2"/>
    <w:rsid w:val="00F55338"/>
    <w:rsid w:val="00F575F5"/>
    <w:rsid w:val="00F6011D"/>
    <w:rsid w:val="00F60F6B"/>
    <w:rsid w:val="00F61033"/>
    <w:rsid w:val="00F610FD"/>
    <w:rsid w:val="00F612B0"/>
    <w:rsid w:val="00F62610"/>
    <w:rsid w:val="00F65710"/>
    <w:rsid w:val="00F6595B"/>
    <w:rsid w:val="00F6700D"/>
    <w:rsid w:val="00F67C71"/>
    <w:rsid w:val="00F705BB"/>
    <w:rsid w:val="00F70B51"/>
    <w:rsid w:val="00F717DD"/>
    <w:rsid w:val="00F719BE"/>
    <w:rsid w:val="00F74BD7"/>
    <w:rsid w:val="00F771BE"/>
    <w:rsid w:val="00F77D13"/>
    <w:rsid w:val="00F80795"/>
    <w:rsid w:val="00F80C1A"/>
    <w:rsid w:val="00F80EA9"/>
    <w:rsid w:val="00F82437"/>
    <w:rsid w:val="00F8250C"/>
    <w:rsid w:val="00F831FE"/>
    <w:rsid w:val="00F835C1"/>
    <w:rsid w:val="00F836A7"/>
    <w:rsid w:val="00F84D79"/>
    <w:rsid w:val="00F85029"/>
    <w:rsid w:val="00F861CD"/>
    <w:rsid w:val="00F86EB5"/>
    <w:rsid w:val="00F91640"/>
    <w:rsid w:val="00F91897"/>
    <w:rsid w:val="00F93970"/>
    <w:rsid w:val="00F95657"/>
    <w:rsid w:val="00F956D3"/>
    <w:rsid w:val="00F9607E"/>
    <w:rsid w:val="00F9609B"/>
    <w:rsid w:val="00F969D7"/>
    <w:rsid w:val="00F96D2A"/>
    <w:rsid w:val="00F974A1"/>
    <w:rsid w:val="00F978A3"/>
    <w:rsid w:val="00F97FA0"/>
    <w:rsid w:val="00FA0B45"/>
    <w:rsid w:val="00FA0E3C"/>
    <w:rsid w:val="00FA120D"/>
    <w:rsid w:val="00FA17D1"/>
    <w:rsid w:val="00FA1D11"/>
    <w:rsid w:val="00FA2AAF"/>
    <w:rsid w:val="00FA3858"/>
    <w:rsid w:val="00FA3DFC"/>
    <w:rsid w:val="00FA3F22"/>
    <w:rsid w:val="00FA4677"/>
    <w:rsid w:val="00FA4C37"/>
    <w:rsid w:val="00FA7D29"/>
    <w:rsid w:val="00FB19AF"/>
    <w:rsid w:val="00FB2883"/>
    <w:rsid w:val="00FB4316"/>
    <w:rsid w:val="00FB48DD"/>
    <w:rsid w:val="00FB4AF5"/>
    <w:rsid w:val="00FB5420"/>
    <w:rsid w:val="00FB594E"/>
    <w:rsid w:val="00FB5A42"/>
    <w:rsid w:val="00FB5EE2"/>
    <w:rsid w:val="00FB672A"/>
    <w:rsid w:val="00FB7242"/>
    <w:rsid w:val="00FC0689"/>
    <w:rsid w:val="00FC0FEA"/>
    <w:rsid w:val="00FC113E"/>
    <w:rsid w:val="00FC1632"/>
    <w:rsid w:val="00FC1A8A"/>
    <w:rsid w:val="00FC1E02"/>
    <w:rsid w:val="00FC24C1"/>
    <w:rsid w:val="00FC3072"/>
    <w:rsid w:val="00FC33DF"/>
    <w:rsid w:val="00FC3636"/>
    <w:rsid w:val="00FC3B37"/>
    <w:rsid w:val="00FC3B4E"/>
    <w:rsid w:val="00FC5C2B"/>
    <w:rsid w:val="00FC631F"/>
    <w:rsid w:val="00FC6372"/>
    <w:rsid w:val="00FC71B0"/>
    <w:rsid w:val="00FC7681"/>
    <w:rsid w:val="00FC7F77"/>
    <w:rsid w:val="00FD028B"/>
    <w:rsid w:val="00FD176C"/>
    <w:rsid w:val="00FD1C28"/>
    <w:rsid w:val="00FD2F11"/>
    <w:rsid w:val="00FD2FF2"/>
    <w:rsid w:val="00FD392F"/>
    <w:rsid w:val="00FD3A58"/>
    <w:rsid w:val="00FD56AF"/>
    <w:rsid w:val="00FD7280"/>
    <w:rsid w:val="00FD7414"/>
    <w:rsid w:val="00FE2133"/>
    <w:rsid w:val="00FE266D"/>
    <w:rsid w:val="00FE4904"/>
    <w:rsid w:val="00FE50EB"/>
    <w:rsid w:val="00FE5625"/>
    <w:rsid w:val="00FE5F59"/>
    <w:rsid w:val="00FE6403"/>
    <w:rsid w:val="00FE68D3"/>
    <w:rsid w:val="00FE70DB"/>
    <w:rsid w:val="00FE729B"/>
    <w:rsid w:val="00FF00C5"/>
    <w:rsid w:val="00FF1541"/>
    <w:rsid w:val="00FF24F5"/>
    <w:rsid w:val="00FF2AA9"/>
    <w:rsid w:val="00FF3FF1"/>
    <w:rsid w:val="00FF4D12"/>
    <w:rsid w:val="00FF554F"/>
    <w:rsid w:val="00FF5EDC"/>
    <w:rsid w:val="00FF653D"/>
    <w:rsid w:val="00FF6B62"/>
    <w:rsid w:val="00FF73CB"/>
    <w:rsid w:val="00FF7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caption" w:semiHidden="1" w:unhideWhenUsed="1" w:qFormat="1"/>
    <w:lsdException w:name="footnote reference" w:uiPriority="99" w:qFormat="1"/>
    <w:lsdException w:name="List Number"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708CF"/>
    <w:rPr>
      <w:sz w:val="24"/>
      <w:szCs w:val="24"/>
    </w:rPr>
  </w:style>
  <w:style w:type="paragraph" w:styleId="1">
    <w:name w:val="heading 1"/>
    <w:basedOn w:val="a0"/>
    <w:next w:val="a0"/>
    <w:link w:val="10"/>
    <w:qFormat/>
    <w:pPr>
      <w:keepNext/>
      <w:jc w:val="center"/>
      <w:outlineLvl w:val="0"/>
    </w:pPr>
    <w:rPr>
      <w:b/>
      <w:lang w:val="uk-UA"/>
    </w:rPr>
  </w:style>
  <w:style w:type="paragraph" w:styleId="2">
    <w:name w:val="heading 2"/>
    <w:aliases w:val="h2"/>
    <w:basedOn w:val="a0"/>
    <w:next w:val="a0"/>
    <w:link w:val="20"/>
    <w:uiPriority w:val="9"/>
    <w:qFormat/>
    <w:pPr>
      <w:keepNext/>
      <w:jc w:val="both"/>
      <w:outlineLvl w:val="1"/>
    </w:pPr>
    <w:rPr>
      <w:b/>
    </w:rPr>
  </w:style>
  <w:style w:type="paragraph" w:styleId="3">
    <w:name w:val="heading 3"/>
    <w:basedOn w:val="a0"/>
    <w:next w:val="a0"/>
    <w:link w:val="30"/>
    <w:qFormat/>
    <w:pPr>
      <w:keepNext/>
      <w:jc w:val="center"/>
      <w:outlineLvl w:val="2"/>
    </w:pPr>
    <w:rPr>
      <w:b/>
      <w:color w:val="FF0000"/>
      <w:sz w:val="20"/>
      <w:szCs w:val="20"/>
      <w:lang w:val="uk-UA"/>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aliases w:val="HeaderPort"/>
    <w:basedOn w:val="a0"/>
    <w:link w:val="a5"/>
    <w:qFormat/>
    <w:pPr>
      <w:tabs>
        <w:tab w:val="center" w:pos="4677"/>
        <w:tab w:val="right" w:pos="9355"/>
      </w:tabs>
    </w:pPr>
  </w:style>
  <w:style w:type="character" w:styleId="a6">
    <w:name w:val="page number"/>
    <w:basedOn w:val="a1"/>
  </w:style>
  <w:style w:type="paragraph" w:styleId="a7">
    <w:name w:val="Body Text Indent"/>
    <w:basedOn w:val="a0"/>
    <w:link w:val="a8"/>
    <w:pPr>
      <w:ind w:firstLine="720"/>
      <w:jc w:val="both"/>
    </w:pPr>
    <w:rPr>
      <w:lang w:val="uk-UA"/>
    </w:rPr>
  </w:style>
  <w:style w:type="paragraph" w:customStyle="1" w:styleId="BodyText2">
    <w:name w:val="Body Text 2"/>
    <w:basedOn w:val="a0"/>
    <w:pPr>
      <w:overflowPunct w:val="0"/>
      <w:autoSpaceDE w:val="0"/>
      <w:autoSpaceDN w:val="0"/>
      <w:adjustRightInd w:val="0"/>
      <w:ind w:firstLine="720"/>
      <w:jc w:val="both"/>
      <w:textAlignment w:val="baseline"/>
    </w:pPr>
    <w:rPr>
      <w:szCs w:val="20"/>
      <w:lang w:val="uk-UA"/>
    </w:rPr>
  </w:style>
  <w:style w:type="paragraph" w:styleId="a9">
    <w:name w:val="Balloon Text"/>
    <w:basedOn w:val="a0"/>
    <w:link w:val="aa"/>
    <w:semiHidden/>
    <w:rPr>
      <w:rFonts w:ascii="Tahoma" w:hAnsi="Tahoma" w:cs="Tahoma"/>
      <w:sz w:val="16"/>
      <w:szCs w:val="16"/>
    </w:rPr>
  </w:style>
  <w:style w:type="paragraph" w:customStyle="1" w:styleId="BodyTextIndent2">
    <w:name w:val="Body Text Indent 2"/>
    <w:basedOn w:val="a0"/>
    <w:pPr>
      <w:overflowPunct w:val="0"/>
      <w:autoSpaceDE w:val="0"/>
      <w:autoSpaceDN w:val="0"/>
      <w:adjustRightInd w:val="0"/>
      <w:ind w:firstLine="748"/>
      <w:jc w:val="both"/>
      <w:textAlignment w:val="baseline"/>
    </w:pPr>
    <w:rPr>
      <w:szCs w:val="20"/>
      <w:lang w:val="uk-UA"/>
    </w:rPr>
  </w:style>
  <w:style w:type="paragraph" w:styleId="21">
    <w:name w:val="Body Text 2"/>
    <w:basedOn w:val="a0"/>
    <w:link w:val="22"/>
    <w:pPr>
      <w:framePr w:hSpace="180" w:wrap="notBeside" w:vAnchor="text" w:hAnchor="margin" w:y="14"/>
      <w:jc w:val="center"/>
    </w:pPr>
    <w:rPr>
      <w:sz w:val="22"/>
      <w:lang w:val="uk-UA"/>
    </w:rPr>
  </w:style>
  <w:style w:type="paragraph" w:styleId="31">
    <w:name w:val="Body Text Indent 3"/>
    <w:basedOn w:val="a0"/>
    <w:link w:val="32"/>
    <w:pPr>
      <w:ind w:firstLine="1456"/>
      <w:jc w:val="both"/>
    </w:pPr>
    <w:rPr>
      <w:lang w:val="uk-UA"/>
    </w:rPr>
  </w:style>
  <w:style w:type="paragraph" w:styleId="ab">
    <w:name w:val="footer"/>
    <w:basedOn w:val="a0"/>
    <w:link w:val="ac"/>
    <w:pPr>
      <w:tabs>
        <w:tab w:val="center" w:pos="4677"/>
        <w:tab w:val="right" w:pos="9355"/>
      </w:tabs>
    </w:pPr>
  </w:style>
  <w:style w:type="paragraph" w:styleId="23">
    <w:name w:val="Body Text Indent 2"/>
    <w:basedOn w:val="a0"/>
    <w:link w:val="24"/>
    <w:pPr>
      <w:ind w:firstLine="708"/>
      <w:jc w:val="both"/>
    </w:pPr>
    <w:rPr>
      <w:color w:val="FF0000"/>
      <w:lang w:val="uk-UA"/>
    </w:rPr>
  </w:style>
  <w:style w:type="paragraph" w:styleId="ad">
    <w:name w:val="Body Text"/>
    <w:basedOn w:val="a0"/>
    <w:link w:val="ae"/>
    <w:pPr>
      <w:jc w:val="center"/>
    </w:pPr>
    <w:rPr>
      <w:color w:val="FF0000"/>
      <w:sz w:val="20"/>
      <w:szCs w:val="20"/>
      <w:lang w:val="uk-UA"/>
    </w:rPr>
  </w:style>
  <w:style w:type="paragraph" w:styleId="33">
    <w:name w:val="Body Text 3"/>
    <w:basedOn w:val="a0"/>
    <w:link w:val="34"/>
    <w:rPr>
      <w:szCs w:val="20"/>
      <w:lang w:val="uk-UA"/>
    </w:rPr>
  </w:style>
  <w:style w:type="paragraph" w:styleId="af">
    <w:name w:val="Normal (Web)"/>
    <w:basedOn w:val="a0"/>
    <w:uiPriority w:val="99"/>
    <w:rsid w:val="001E178A"/>
    <w:pPr>
      <w:spacing w:before="100" w:beforeAutospacing="1" w:after="100" w:afterAutospacing="1"/>
    </w:pPr>
  </w:style>
  <w:style w:type="paragraph" w:customStyle="1" w:styleId="western">
    <w:name w:val="western"/>
    <w:basedOn w:val="a0"/>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f0">
    <w:name w:val="Знак"/>
    <w:basedOn w:val="a0"/>
    <w:rsid w:val="00741B21"/>
    <w:pPr>
      <w:spacing w:after="160" w:line="240" w:lineRule="exact"/>
      <w:jc w:val="both"/>
    </w:pPr>
    <w:rPr>
      <w:sz w:val="20"/>
      <w:szCs w:val="20"/>
      <w:lang w:val="en-GB" w:eastAsia="uk-UA"/>
    </w:rPr>
  </w:style>
  <w:style w:type="paragraph" w:customStyle="1" w:styleId="BodyText22">
    <w:name w:val="Body Text 22"/>
    <w:basedOn w:val="a0"/>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0"/>
    <w:rsid w:val="00791DB4"/>
    <w:pPr>
      <w:spacing w:after="160" w:line="240" w:lineRule="exact"/>
    </w:pPr>
    <w:rPr>
      <w:noProof/>
      <w:sz w:val="20"/>
      <w:szCs w:val="20"/>
      <w:lang w:val="en-GB" w:eastAsia="ru-RU"/>
    </w:rPr>
  </w:style>
  <w:style w:type="paragraph" w:customStyle="1" w:styleId="ListParagraph">
    <w:name w:val="List Paragraph"/>
    <w:basedOn w:val="a0"/>
    <w:rsid w:val="00061BB0"/>
    <w:pPr>
      <w:spacing w:after="200" w:line="276" w:lineRule="auto"/>
      <w:ind w:left="720"/>
      <w:contextualSpacing/>
    </w:pPr>
    <w:rPr>
      <w:rFonts w:ascii="Calibri" w:hAnsi="Calibri"/>
      <w:sz w:val="22"/>
      <w:szCs w:val="22"/>
      <w:lang w:eastAsia="en-US"/>
    </w:rPr>
  </w:style>
  <w:style w:type="paragraph" w:styleId="af1">
    <w:name w:val="footnote text"/>
    <w:aliases w:val="Char Cha,Знак1, Знак1,ALTS FOOTNOTE,Car,Footnote Text Char Char Char1,Footnote Text Char1 Char Char Char,Footnote Text Char1 Char1 Char Char Char Char,Footnote Text Char2 Char,Footnote Text Char2 Char Char Char Char,fn,ft,Char Ch,Char Char,f"/>
    <w:basedOn w:val="a0"/>
    <w:link w:val="af2"/>
    <w:uiPriority w:val="99"/>
    <w:qFormat/>
    <w:rsid w:val="002726D8"/>
    <w:rPr>
      <w:sz w:val="20"/>
      <w:szCs w:val="20"/>
      <w:lang w:val="uk-UA" w:eastAsia="uk-UA"/>
    </w:rPr>
  </w:style>
  <w:style w:type="character" w:customStyle="1" w:styleId="af2">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1"/>
    <w:link w:val="af1"/>
    <w:uiPriority w:val="99"/>
    <w:rsid w:val="002726D8"/>
  </w:style>
  <w:style w:type="character" w:styleId="af3">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4">
    <w:name w:val="List Paragraph"/>
    <w:aliases w:val="#Listenabsatz,Normal mit Aufzählung a)"/>
    <w:basedOn w:val="a0"/>
    <w:link w:val="af5"/>
    <w:uiPriority w:val="34"/>
    <w:qFormat/>
    <w:rsid w:val="00F60F6B"/>
    <w:pPr>
      <w:overflowPunct w:val="0"/>
      <w:autoSpaceDE w:val="0"/>
      <w:autoSpaceDN w:val="0"/>
      <w:adjustRightInd w:val="0"/>
      <w:ind w:left="708"/>
    </w:pPr>
    <w:rPr>
      <w:szCs w:val="20"/>
      <w:lang w:val="x-none"/>
    </w:rPr>
  </w:style>
  <w:style w:type="character" w:customStyle="1" w:styleId="af5">
    <w:name w:val="Абзац списка Знак"/>
    <w:aliases w:val="#Listenabsatz Знак,Normal mit Aufzählung a) Знак"/>
    <w:link w:val="af4"/>
    <w:uiPriority w:val="34"/>
    <w:rsid w:val="00F60F6B"/>
    <w:rPr>
      <w:sz w:val="24"/>
      <w:lang w:eastAsia="ru-RU"/>
    </w:rPr>
  </w:style>
  <w:style w:type="paragraph" w:customStyle="1" w:styleId="af6">
    <w:name w:val=" Знак Знак Знак Знак"/>
    <w:basedOn w:val="a0"/>
    <w:rsid w:val="007B5A58"/>
    <w:pPr>
      <w:spacing w:after="160" w:line="240" w:lineRule="exact"/>
    </w:pPr>
    <w:rPr>
      <w:rFonts w:ascii="Verdana" w:hAnsi="Verdana" w:cs="Verdana"/>
      <w:sz w:val="20"/>
      <w:szCs w:val="20"/>
      <w:lang w:val="en-US" w:eastAsia="en-US"/>
    </w:rPr>
  </w:style>
  <w:style w:type="table" w:styleId="af7">
    <w:name w:val="Table Grid"/>
    <w:basedOn w:val="a2"/>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0"/>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x-none"/>
    </w:rPr>
  </w:style>
  <w:style w:type="character" w:customStyle="1" w:styleId="AMBodyTextL2Char">
    <w:name w:val="AMBodyText_L2 Char"/>
    <w:link w:val="AMBodyTextL2"/>
    <w:locked/>
    <w:rsid w:val="005B0120"/>
    <w:rPr>
      <w:sz w:val="24"/>
      <w:lang w:val="en-GB" w:eastAsia="x-none"/>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8">
    <w:name w:val="Hyperlink"/>
    <w:uiPriority w:val="99"/>
    <w:unhideWhenUsed/>
    <w:rsid w:val="006F51D3"/>
    <w:rPr>
      <w:color w:val="0000FF"/>
      <w:u w:val="single"/>
    </w:rPr>
  </w:style>
  <w:style w:type="paragraph" w:customStyle="1" w:styleId="Default">
    <w:name w:val="Default"/>
    <w:rsid w:val="005E041A"/>
    <w:pPr>
      <w:autoSpaceDE w:val="0"/>
      <w:autoSpaceDN w:val="0"/>
      <w:adjustRightInd w:val="0"/>
    </w:pPr>
    <w:rPr>
      <w:color w:val="000000"/>
      <w:sz w:val="24"/>
      <w:szCs w:val="24"/>
      <w:lang w:val="uk-UA" w:eastAsia="uk-UA"/>
    </w:rPr>
  </w:style>
  <w:style w:type="paragraph" w:customStyle="1" w:styleId="230">
    <w:name w:val="Основной текст 23"/>
    <w:basedOn w:val="a0"/>
    <w:rsid w:val="009142A9"/>
    <w:pPr>
      <w:overflowPunct w:val="0"/>
      <w:autoSpaceDE w:val="0"/>
      <w:autoSpaceDN w:val="0"/>
      <w:adjustRightInd w:val="0"/>
      <w:ind w:firstLine="720"/>
      <w:jc w:val="both"/>
      <w:textAlignment w:val="baseline"/>
    </w:pPr>
    <w:rPr>
      <w:szCs w:val="20"/>
      <w:lang w:val="uk-UA"/>
    </w:rPr>
  </w:style>
  <w:style w:type="paragraph" w:customStyle="1" w:styleId="ShortOutlineStyle1">
    <w:name w:val="ShortOutlineStyle1"/>
    <w:basedOn w:val="a0"/>
    <w:rsid w:val="006548FA"/>
    <w:pPr>
      <w:tabs>
        <w:tab w:val="num" w:pos="720"/>
      </w:tabs>
      <w:spacing w:before="240" w:after="240"/>
      <w:ind w:left="720" w:hanging="720"/>
      <w:jc w:val="both"/>
    </w:pPr>
    <w:rPr>
      <w:rFonts w:eastAsia="SimSun"/>
      <w:lang w:val="en-US" w:eastAsia="ar-SA"/>
    </w:rPr>
  </w:style>
  <w:style w:type="character" w:styleId="af9">
    <w:name w:val="Strong"/>
    <w:uiPriority w:val="22"/>
    <w:qFormat/>
    <w:rsid w:val="00EB5633"/>
    <w:rPr>
      <w:b/>
      <w:bCs/>
    </w:rPr>
  </w:style>
  <w:style w:type="character" w:customStyle="1" w:styleId="a5">
    <w:name w:val="Верхний колонтитул Знак"/>
    <w:aliases w:val="HeaderPort Знак"/>
    <w:link w:val="a4"/>
    <w:rsid w:val="00337980"/>
    <w:rPr>
      <w:sz w:val="24"/>
      <w:szCs w:val="24"/>
      <w:lang w:val="ru-RU" w:eastAsia="ru-RU"/>
    </w:rPr>
  </w:style>
  <w:style w:type="paragraph" w:styleId="HTML">
    <w:name w:val="HTML Preformatted"/>
    <w:basedOn w:val="a0"/>
    <w:link w:val="HTML0"/>
    <w:uiPriority w:val="99"/>
    <w:unhideWhenUsed/>
    <w:rsid w:val="00B6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650CE"/>
    <w:rPr>
      <w:rFonts w:ascii="Courier New" w:hAnsi="Courier New" w:cs="Courier New"/>
    </w:rPr>
  </w:style>
  <w:style w:type="character" w:customStyle="1" w:styleId="afa">
    <w:name w:val="Нумерованный список Знак"/>
    <w:link w:val="a"/>
    <w:rsid w:val="00915DDF"/>
    <w:rPr>
      <w:rFonts w:eastAsia="Arial"/>
      <w:lang w:val="en-GB" w:eastAsia="x-none"/>
    </w:rPr>
  </w:style>
  <w:style w:type="paragraph" w:styleId="a">
    <w:name w:val="List Number"/>
    <w:basedOn w:val="a0"/>
    <w:link w:val="afa"/>
    <w:qFormat/>
    <w:rsid w:val="00915DDF"/>
    <w:pPr>
      <w:numPr>
        <w:numId w:val="3"/>
      </w:numPr>
      <w:spacing w:before="180" w:after="180"/>
      <w:jc w:val="both"/>
    </w:pPr>
    <w:rPr>
      <w:rFonts w:eastAsia="Arial"/>
      <w:sz w:val="20"/>
      <w:szCs w:val="20"/>
      <w:lang w:val="en-GB" w:eastAsia="x-none"/>
    </w:rPr>
  </w:style>
  <w:style w:type="paragraph" w:customStyle="1" w:styleId="210">
    <w:name w:val="Основной текст 21"/>
    <w:basedOn w:val="a0"/>
    <w:rsid w:val="00B42218"/>
    <w:pPr>
      <w:overflowPunct w:val="0"/>
      <w:autoSpaceDE w:val="0"/>
      <w:autoSpaceDN w:val="0"/>
      <w:adjustRightInd w:val="0"/>
      <w:ind w:firstLine="720"/>
      <w:jc w:val="both"/>
      <w:textAlignment w:val="baseline"/>
    </w:pPr>
    <w:rPr>
      <w:szCs w:val="20"/>
      <w:lang w:val="uk-UA"/>
    </w:rPr>
  </w:style>
  <w:style w:type="paragraph" w:customStyle="1" w:styleId="PI-Text">
    <w:name w:val="PI-Text"/>
    <w:basedOn w:val="a0"/>
    <w:rsid w:val="00D65770"/>
    <w:pPr>
      <w:tabs>
        <w:tab w:val="left" w:pos="1418"/>
      </w:tabs>
      <w:spacing w:line="360" w:lineRule="exact"/>
    </w:pPr>
    <w:rPr>
      <w:sz w:val="26"/>
      <w:szCs w:val="22"/>
      <w:lang w:val="de-DE" w:eastAsia="de-DE"/>
    </w:rPr>
  </w:style>
  <w:style w:type="paragraph" w:customStyle="1" w:styleId="11">
    <w:name w:val="Обычный1"/>
    <w:uiPriority w:val="99"/>
    <w:rsid w:val="00C41EF9"/>
    <w:pPr>
      <w:spacing w:line="276" w:lineRule="auto"/>
    </w:pPr>
    <w:rPr>
      <w:rFonts w:ascii="Arial" w:eastAsia="Calibri" w:hAnsi="Arial" w:cs="Arial"/>
      <w:color w:val="000000"/>
      <w:sz w:val="22"/>
      <w:szCs w:val="22"/>
    </w:rPr>
  </w:style>
  <w:style w:type="paragraph" w:customStyle="1" w:styleId="StyleListParagraphAfter12pt">
    <w:name w:val="Style List Paragraph + After:  12 pt"/>
    <w:basedOn w:val="af4"/>
    <w:link w:val="StyleListParagraphAfter12ptChar"/>
    <w:rsid w:val="00F30331"/>
    <w:pPr>
      <w:numPr>
        <w:numId w:val="4"/>
      </w:numPr>
      <w:overflowPunct/>
      <w:autoSpaceDE/>
      <w:autoSpaceDN/>
      <w:adjustRightInd/>
      <w:spacing w:after="240"/>
    </w:pPr>
    <w:rPr>
      <w:rFonts w:ascii="Calibri" w:hAnsi="Calibri"/>
      <w:lang w:val="en-GB"/>
    </w:rPr>
  </w:style>
  <w:style w:type="character" w:customStyle="1" w:styleId="StyleListParagraphAfter12ptChar">
    <w:name w:val="Style List Paragraph + After:  12 pt Char"/>
    <w:link w:val="StyleListParagraphAfter12pt"/>
    <w:rsid w:val="00F30331"/>
    <w:rPr>
      <w:rFonts w:ascii="Calibri" w:hAnsi="Calibri"/>
      <w:sz w:val="24"/>
      <w:lang w:val="en-GB"/>
    </w:rPr>
  </w:style>
  <w:style w:type="character" w:customStyle="1" w:styleId="apple-converted-space">
    <w:name w:val="apple-converted-space"/>
    <w:rsid w:val="00875B09"/>
  </w:style>
  <w:style w:type="character" w:customStyle="1" w:styleId="FontStyle20">
    <w:name w:val="Font Style20"/>
    <w:uiPriority w:val="99"/>
    <w:rsid w:val="00E210DC"/>
    <w:rPr>
      <w:rFonts w:ascii="Cambria" w:hAnsi="Cambria" w:cs="Cambria"/>
      <w:sz w:val="24"/>
      <w:szCs w:val="24"/>
    </w:rPr>
  </w:style>
  <w:style w:type="numbering" w:customStyle="1" w:styleId="8">
    <w:name w:val="Импортированный стиль 8"/>
    <w:rsid w:val="005C0D6E"/>
    <w:pPr>
      <w:numPr>
        <w:numId w:val="5"/>
      </w:numPr>
    </w:pPr>
  </w:style>
  <w:style w:type="numbering" w:customStyle="1" w:styleId="7">
    <w:name w:val="Импортированный стиль 7"/>
    <w:rsid w:val="005C0D6E"/>
    <w:pPr>
      <w:numPr>
        <w:numId w:val="6"/>
      </w:numPr>
    </w:pPr>
  </w:style>
  <w:style w:type="paragraph" w:customStyle="1" w:styleId="4">
    <w:name w:val="Абзац списка4"/>
    <w:basedOn w:val="a0"/>
    <w:rsid w:val="00E77D70"/>
    <w:pPr>
      <w:ind w:left="720"/>
      <w:contextualSpacing/>
      <w:jc w:val="both"/>
    </w:pPr>
    <w:rPr>
      <w:szCs w:val="22"/>
      <w:lang w:eastAsia="en-US"/>
    </w:rPr>
  </w:style>
  <w:style w:type="paragraph" w:styleId="afb">
    <w:name w:val="Document Map"/>
    <w:basedOn w:val="a0"/>
    <w:link w:val="afc"/>
    <w:rsid w:val="00666FB1"/>
    <w:pPr>
      <w:overflowPunct w:val="0"/>
      <w:autoSpaceDE w:val="0"/>
      <w:autoSpaceDN w:val="0"/>
      <w:adjustRightInd w:val="0"/>
      <w:textAlignment w:val="baseline"/>
    </w:pPr>
    <w:rPr>
      <w:rFonts w:ascii="Tahoma" w:hAnsi="Tahoma" w:cs="Tahoma"/>
      <w:sz w:val="16"/>
      <w:szCs w:val="16"/>
      <w:lang w:val="uk-UA"/>
    </w:rPr>
  </w:style>
  <w:style w:type="character" w:customStyle="1" w:styleId="afc">
    <w:name w:val="Схема документа Знак"/>
    <w:link w:val="afb"/>
    <w:rsid w:val="00666FB1"/>
    <w:rPr>
      <w:rFonts w:ascii="Tahoma" w:hAnsi="Tahoma" w:cs="Tahoma"/>
      <w:sz w:val="16"/>
      <w:szCs w:val="16"/>
      <w:lang w:val="uk-UA"/>
    </w:rPr>
  </w:style>
  <w:style w:type="paragraph" w:customStyle="1" w:styleId="cef1edeee2edeee9f2e5eaf1f221">
    <w:name w:val="Оceсf1нedоeeвe2нedоeeйe9 тf2еe5кeaсf1тf2 21"/>
    <w:basedOn w:val="a0"/>
    <w:uiPriority w:val="99"/>
    <w:rsid w:val="00E05E52"/>
    <w:pPr>
      <w:autoSpaceDE w:val="0"/>
      <w:autoSpaceDN w:val="0"/>
      <w:adjustRightInd w:val="0"/>
      <w:ind w:firstLine="720"/>
      <w:jc w:val="both"/>
    </w:pPr>
    <w:rPr>
      <w:lang w:val="uk-UA" w:eastAsia="uk-UA"/>
    </w:rPr>
  </w:style>
  <w:style w:type="paragraph" w:customStyle="1" w:styleId="rvps2">
    <w:name w:val="rvps2"/>
    <w:basedOn w:val="a0"/>
    <w:rsid w:val="00E603B2"/>
    <w:pPr>
      <w:spacing w:before="100" w:beforeAutospacing="1" w:after="100" w:afterAutospacing="1"/>
    </w:pPr>
    <w:rPr>
      <w:lang w:val="en-US" w:eastAsia="en-US"/>
    </w:rPr>
  </w:style>
  <w:style w:type="paragraph" w:customStyle="1" w:styleId="Legal2L1">
    <w:name w:val="Legal2_L1"/>
    <w:basedOn w:val="a0"/>
    <w:next w:val="ad"/>
    <w:rsid w:val="002D468C"/>
    <w:pPr>
      <w:widowControl w:val="0"/>
      <w:numPr>
        <w:numId w:val="9"/>
      </w:numPr>
      <w:adjustRightInd w:val="0"/>
      <w:spacing w:after="240" w:line="240" w:lineRule="atLeast"/>
      <w:ind w:left="1440"/>
      <w:jc w:val="both"/>
      <w:outlineLvl w:val="0"/>
    </w:pPr>
    <w:rPr>
      <w:rFonts w:ascii="Calibri"/>
      <w:b/>
      <w:szCs w:val="20"/>
      <w:lang w:val="en-GB" w:eastAsia="ko-KR"/>
    </w:rPr>
  </w:style>
  <w:style w:type="paragraph" w:customStyle="1" w:styleId="Legal2L2">
    <w:name w:val="Legal2_L2"/>
    <w:basedOn w:val="Legal2L1"/>
    <w:next w:val="ad"/>
    <w:rsid w:val="002D468C"/>
    <w:pPr>
      <w:numPr>
        <w:ilvl w:val="1"/>
      </w:numPr>
      <w:tabs>
        <w:tab w:val="clear" w:pos="1440"/>
      </w:tabs>
      <w:ind w:left="2160"/>
      <w:outlineLvl w:val="1"/>
    </w:pPr>
  </w:style>
  <w:style w:type="paragraph" w:customStyle="1" w:styleId="Legal2L3">
    <w:name w:val="Legal2_L3"/>
    <w:basedOn w:val="Legal2L2"/>
    <w:next w:val="ad"/>
    <w:rsid w:val="002D468C"/>
    <w:pPr>
      <w:numPr>
        <w:ilvl w:val="2"/>
      </w:numPr>
      <w:tabs>
        <w:tab w:val="clear" w:pos="2160"/>
      </w:tabs>
      <w:ind w:left="2880"/>
      <w:outlineLvl w:val="2"/>
    </w:pPr>
  </w:style>
  <w:style w:type="paragraph" w:customStyle="1" w:styleId="Legal2L4">
    <w:name w:val="Legal2_L4"/>
    <w:basedOn w:val="Legal2L3"/>
    <w:next w:val="ad"/>
    <w:rsid w:val="002D468C"/>
    <w:pPr>
      <w:numPr>
        <w:ilvl w:val="3"/>
      </w:numPr>
      <w:tabs>
        <w:tab w:val="clear" w:pos="3240"/>
      </w:tabs>
      <w:ind w:left="3600"/>
      <w:outlineLvl w:val="3"/>
    </w:pPr>
  </w:style>
  <w:style w:type="paragraph" w:customStyle="1" w:styleId="Legal2L5">
    <w:name w:val="Legal2_L5"/>
    <w:basedOn w:val="Legal2L4"/>
    <w:rsid w:val="002D468C"/>
    <w:pPr>
      <w:numPr>
        <w:ilvl w:val="4"/>
      </w:numPr>
      <w:tabs>
        <w:tab w:val="clear" w:pos="3960"/>
      </w:tabs>
      <w:ind w:left="720"/>
      <w:jc w:val="left"/>
      <w:outlineLvl w:val="4"/>
    </w:pPr>
    <w:rPr>
      <w:b w:val="0"/>
    </w:rPr>
  </w:style>
  <w:style w:type="paragraph" w:customStyle="1" w:styleId="Legal2L6">
    <w:name w:val="Legal2_L6"/>
    <w:basedOn w:val="Legal2L5"/>
    <w:rsid w:val="002D468C"/>
    <w:pPr>
      <w:numPr>
        <w:ilvl w:val="5"/>
      </w:numPr>
      <w:outlineLvl w:val="5"/>
    </w:pPr>
  </w:style>
  <w:style w:type="paragraph" w:customStyle="1" w:styleId="Legal2L7">
    <w:name w:val="Legal2_L7"/>
    <w:basedOn w:val="Legal2L6"/>
    <w:rsid w:val="002D468C"/>
    <w:pPr>
      <w:numPr>
        <w:ilvl w:val="6"/>
      </w:numPr>
      <w:tabs>
        <w:tab w:val="clear" w:pos="720"/>
      </w:tabs>
      <w:ind w:left="1440"/>
      <w:outlineLvl w:val="6"/>
    </w:pPr>
  </w:style>
  <w:style w:type="paragraph" w:customStyle="1" w:styleId="Legal2L9">
    <w:name w:val="Legal2_L9"/>
    <w:basedOn w:val="a0"/>
    <w:next w:val="Legal2L7"/>
    <w:rsid w:val="002D468C"/>
    <w:pPr>
      <w:widowControl w:val="0"/>
      <w:numPr>
        <w:ilvl w:val="8"/>
        <w:numId w:val="9"/>
      </w:numPr>
      <w:adjustRightInd w:val="0"/>
      <w:spacing w:after="240" w:line="240" w:lineRule="atLeast"/>
      <w:ind w:left="720"/>
      <w:jc w:val="both"/>
      <w:outlineLvl w:val="8"/>
    </w:pPr>
    <w:rPr>
      <w:rFonts w:ascii="Calibri"/>
      <w:szCs w:val="20"/>
      <w:lang w:val="en-GB" w:eastAsia="ko-KR"/>
    </w:rPr>
  </w:style>
  <w:style w:type="paragraph" w:styleId="afd">
    <w:name w:val="Revision"/>
    <w:hidden/>
    <w:uiPriority w:val="99"/>
    <w:semiHidden/>
    <w:rsid w:val="00686E80"/>
    <w:rPr>
      <w:rFonts w:ascii="Calibri" w:eastAsia="Calibri" w:hAnsi="Calibri"/>
      <w:sz w:val="24"/>
      <w:szCs w:val="24"/>
      <w:lang w:val="en-US" w:eastAsia="en-US"/>
    </w:rPr>
  </w:style>
  <w:style w:type="character" w:styleId="afe">
    <w:name w:val="FollowedHyperlink"/>
    <w:rsid w:val="005D1B14"/>
    <w:rPr>
      <w:color w:val="800080"/>
      <w:u w:val="single"/>
    </w:rPr>
  </w:style>
  <w:style w:type="paragraph" w:styleId="aff">
    <w:name w:val="No Spacing"/>
    <w:basedOn w:val="a0"/>
    <w:link w:val="aff0"/>
    <w:uiPriority w:val="1"/>
    <w:qFormat/>
    <w:rsid w:val="00AA0826"/>
    <w:rPr>
      <w:rFonts w:ascii="Calibri" w:hAnsi="Calibri"/>
      <w:sz w:val="20"/>
      <w:szCs w:val="20"/>
      <w:lang w:val="x-none" w:eastAsia="x-none" w:bidi="en-US"/>
    </w:rPr>
  </w:style>
  <w:style w:type="character" w:customStyle="1" w:styleId="aff0">
    <w:name w:val="Без интервала Знак"/>
    <w:link w:val="aff"/>
    <w:uiPriority w:val="1"/>
    <w:rsid w:val="00AA0826"/>
    <w:rPr>
      <w:rFonts w:ascii="Calibri" w:hAnsi="Calibri"/>
      <w:lang w:val="x-none" w:eastAsia="x-none" w:bidi="en-US"/>
    </w:rPr>
  </w:style>
  <w:style w:type="paragraph" w:styleId="aff1">
    <w:name w:val="Title"/>
    <w:aliases w:val=" Знак, Знак Знак Знак Знак Знак, Знак Знак Знак Знак1,Знак Знак Знак Знак,Знак Знак Знак Знак Знак,Знак Знак Знак Знак1"/>
    <w:basedOn w:val="a0"/>
    <w:next w:val="ad"/>
    <w:link w:val="aff2"/>
    <w:qFormat/>
    <w:rsid w:val="00475344"/>
    <w:pPr>
      <w:keepNext/>
      <w:widowControl w:val="0"/>
      <w:adjustRightInd w:val="0"/>
      <w:spacing w:after="240" w:line="360" w:lineRule="atLeast"/>
      <w:jc w:val="center"/>
      <w:textAlignment w:val="baseline"/>
    </w:pPr>
    <w:rPr>
      <w:rFonts w:ascii="Times New Roman Bold" w:eastAsia="SimSun" w:hAnsi="Times New Roman Bold"/>
      <w:b/>
      <w:snapToGrid w:val="0"/>
      <w:szCs w:val="52"/>
      <w:u w:val="single"/>
      <w:lang w:val="en-US"/>
    </w:rPr>
  </w:style>
  <w:style w:type="character" w:customStyle="1" w:styleId="aff2">
    <w:name w:val="Название Знак"/>
    <w:aliases w:val=" Знак Знак, Знак Знак Знак Знак Знак Знак, Знак Знак Знак Знак1 Знак,Знак Знак Знак Знак Знак1,Знак Знак Знак Знак Знак Знак,Знак Знак Знак Знак1 Знак"/>
    <w:link w:val="aff1"/>
    <w:rsid w:val="00475344"/>
    <w:rPr>
      <w:rFonts w:ascii="Times New Roman Bold" w:eastAsia="SimSun" w:hAnsi="Times New Roman Bold"/>
      <w:b/>
      <w:snapToGrid w:val="0"/>
      <w:sz w:val="24"/>
      <w:szCs w:val="52"/>
      <w:u w:val="single"/>
      <w:lang w:val="en-US"/>
    </w:rPr>
  </w:style>
  <w:style w:type="paragraph" w:customStyle="1" w:styleId="Legal1L3">
    <w:name w:val="Legal1_L3"/>
    <w:basedOn w:val="a0"/>
    <w:next w:val="ad"/>
    <w:rsid w:val="00F01F2C"/>
    <w:pPr>
      <w:widowControl w:val="0"/>
      <w:numPr>
        <w:ilvl w:val="2"/>
        <w:numId w:val="8"/>
      </w:numPr>
      <w:tabs>
        <w:tab w:val="num" w:pos="1440"/>
      </w:tabs>
      <w:adjustRightInd w:val="0"/>
      <w:spacing w:after="240" w:line="360" w:lineRule="atLeast"/>
      <w:ind w:left="1440"/>
      <w:jc w:val="both"/>
      <w:textAlignment w:val="baseline"/>
      <w:outlineLvl w:val="2"/>
    </w:pPr>
    <w:rPr>
      <w:rFonts w:eastAsia="SimSun"/>
      <w:snapToGrid w:val="0"/>
      <w:szCs w:val="20"/>
      <w:lang w:val="en-US"/>
    </w:rPr>
  </w:style>
  <w:style w:type="character" w:styleId="aff3">
    <w:name w:val="annotation reference"/>
    <w:rsid w:val="009E3A97"/>
    <w:rPr>
      <w:sz w:val="16"/>
      <w:szCs w:val="16"/>
    </w:rPr>
  </w:style>
  <w:style w:type="paragraph" w:styleId="aff4">
    <w:name w:val="annotation text"/>
    <w:basedOn w:val="a0"/>
    <w:link w:val="aff5"/>
    <w:rsid w:val="009E3A97"/>
    <w:rPr>
      <w:sz w:val="20"/>
      <w:szCs w:val="20"/>
    </w:rPr>
  </w:style>
  <w:style w:type="character" w:customStyle="1" w:styleId="aff5">
    <w:name w:val="Текст примечания Знак"/>
    <w:basedOn w:val="a1"/>
    <w:link w:val="aff4"/>
    <w:rsid w:val="009E3A97"/>
  </w:style>
  <w:style w:type="paragraph" w:styleId="aff6">
    <w:name w:val="annotation subject"/>
    <w:basedOn w:val="aff4"/>
    <w:next w:val="aff4"/>
    <w:link w:val="aff7"/>
    <w:rsid w:val="009E3A97"/>
    <w:rPr>
      <w:b/>
      <w:bCs/>
    </w:rPr>
  </w:style>
  <w:style w:type="character" w:customStyle="1" w:styleId="aff7">
    <w:name w:val="Тема примечания Знак"/>
    <w:link w:val="aff6"/>
    <w:rsid w:val="009E3A97"/>
    <w:rPr>
      <w:b/>
      <w:bCs/>
    </w:rPr>
  </w:style>
  <w:style w:type="paragraph" w:customStyle="1" w:styleId="35">
    <w:name w:val=" Знак Знак3 Знак Знак Знак Знак"/>
    <w:basedOn w:val="a0"/>
    <w:rsid w:val="00EE4354"/>
    <w:rPr>
      <w:rFonts w:ascii="Verdana" w:hAnsi="Verdana" w:cs="Verdana"/>
      <w:sz w:val="20"/>
      <w:szCs w:val="20"/>
      <w:lang w:val="en-US" w:eastAsia="en-US"/>
    </w:rPr>
  </w:style>
  <w:style w:type="paragraph" w:styleId="aff8">
    <w:name w:val="List Paragraph"/>
    <w:basedOn w:val="a0"/>
    <w:uiPriority w:val="34"/>
    <w:qFormat/>
    <w:rsid w:val="00E36E12"/>
    <w:pPr>
      <w:ind w:left="708"/>
    </w:pPr>
  </w:style>
  <w:style w:type="character" w:customStyle="1" w:styleId="rvts0">
    <w:name w:val="rvts0"/>
    <w:rsid w:val="00C42E25"/>
  </w:style>
  <w:style w:type="character" w:customStyle="1" w:styleId="rvts23">
    <w:name w:val="rvts23"/>
    <w:rsid w:val="00E56355"/>
  </w:style>
  <w:style w:type="paragraph" w:customStyle="1" w:styleId="rvps4">
    <w:name w:val="rvps4"/>
    <w:basedOn w:val="a0"/>
    <w:rsid w:val="00E56355"/>
    <w:pPr>
      <w:spacing w:before="100" w:beforeAutospacing="1" w:after="100" w:afterAutospacing="1"/>
    </w:pPr>
    <w:rPr>
      <w:lang w:val="uk-UA" w:eastAsia="uk-UA"/>
    </w:rPr>
  </w:style>
  <w:style w:type="paragraph" w:customStyle="1" w:styleId="rvps7">
    <w:name w:val="rvps7"/>
    <w:basedOn w:val="a0"/>
    <w:rsid w:val="00E56355"/>
    <w:pPr>
      <w:spacing w:before="100" w:beforeAutospacing="1" w:after="100" w:afterAutospacing="1"/>
    </w:pPr>
    <w:rPr>
      <w:lang w:val="uk-UA" w:eastAsia="uk-UA"/>
    </w:rPr>
  </w:style>
  <w:style w:type="character" w:customStyle="1" w:styleId="rvts9">
    <w:name w:val="rvts9"/>
    <w:rsid w:val="00E56355"/>
  </w:style>
  <w:style w:type="paragraph" w:customStyle="1" w:styleId="rvps14">
    <w:name w:val="rvps14"/>
    <w:basedOn w:val="a0"/>
    <w:rsid w:val="00E56355"/>
    <w:pPr>
      <w:spacing w:before="100" w:beforeAutospacing="1" w:after="100" w:afterAutospacing="1"/>
    </w:pPr>
    <w:rPr>
      <w:lang w:val="uk-UA" w:eastAsia="uk-UA"/>
    </w:rPr>
  </w:style>
  <w:style w:type="character" w:customStyle="1" w:styleId="rvts11">
    <w:name w:val="rvts11"/>
    <w:rsid w:val="005043B1"/>
  </w:style>
  <w:style w:type="character" w:customStyle="1" w:styleId="rvts46">
    <w:name w:val="rvts46"/>
    <w:rsid w:val="006E2692"/>
  </w:style>
  <w:style w:type="character" w:customStyle="1" w:styleId="ListParagraphChar">
    <w:name w:val="List Paragraph Char"/>
    <w:aliases w:val="#Listenabsatz Char,Normal mit Aufzählung a) Char"/>
    <w:locked/>
    <w:rsid w:val="006E2692"/>
    <w:rPr>
      <w:rFonts w:ascii="Times New Roman" w:hAnsi="Times New Roman"/>
      <w:sz w:val="24"/>
      <w:lang w:val="ru-RU" w:eastAsia="ar-SA" w:bidi="ar-SA"/>
    </w:rPr>
  </w:style>
  <w:style w:type="character" w:customStyle="1" w:styleId="rvts37">
    <w:name w:val="rvts37"/>
    <w:rsid w:val="006E2692"/>
  </w:style>
  <w:style w:type="character" w:styleId="aff9">
    <w:name w:val="Subtle Emphasis"/>
    <w:uiPriority w:val="19"/>
    <w:qFormat/>
    <w:rsid w:val="006E2692"/>
    <w:rPr>
      <w:i/>
      <w:iCs/>
      <w:color w:val="808080"/>
    </w:rPr>
  </w:style>
  <w:style w:type="paragraph" w:customStyle="1" w:styleId="rvps3">
    <w:name w:val="rvps3"/>
    <w:basedOn w:val="a0"/>
    <w:rsid w:val="006E2692"/>
    <w:pPr>
      <w:spacing w:before="100" w:beforeAutospacing="1" w:after="100" w:afterAutospacing="1"/>
    </w:pPr>
  </w:style>
  <w:style w:type="character" w:customStyle="1" w:styleId="rvts40">
    <w:name w:val="rvts40"/>
    <w:rsid w:val="006E2692"/>
  </w:style>
  <w:style w:type="character" w:customStyle="1" w:styleId="rvts80">
    <w:name w:val="rvts80"/>
    <w:rsid w:val="006E2692"/>
  </w:style>
  <w:style w:type="paragraph" w:customStyle="1" w:styleId="rvps12">
    <w:name w:val="rvps12"/>
    <w:basedOn w:val="a0"/>
    <w:rsid w:val="006E2692"/>
    <w:pPr>
      <w:spacing w:before="100" w:beforeAutospacing="1" w:after="100" w:afterAutospacing="1"/>
    </w:pPr>
  </w:style>
  <w:style w:type="paragraph" w:customStyle="1" w:styleId="rvps6">
    <w:name w:val="rvps6"/>
    <w:basedOn w:val="a0"/>
    <w:rsid w:val="006E2692"/>
    <w:pPr>
      <w:spacing w:before="100" w:beforeAutospacing="1" w:after="100" w:afterAutospacing="1"/>
    </w:pPr>
  </w:style>
  <w:style w:type="character" w:customStyle="1" w:styleId="10">
    <w:name w:val="Заголовок 1 Знак"/>
    <w:link w:val="1"/>
    <w:rsid w:val="00262106"/>
    <w:rPr>
      <w:b/>
      <w:sz w:val="24"/>
      <w:szCs w:val="24"/>
      <w:lang w:val="uk-UA"/>
    </w:rPr>
  </w:style>
  <w:style w:type="character" w:customStyle="1" w:styleId="20">
    <w:name w:val="Заголовок 2 Знак"/>
    <w:link w:val="2"/>
    <w:uiPriority w:val="9"/>
    <w:rsid w:val="00262106"/>
    <w:rPr>
      <w:b/>
      <w:sz w:val="24"/>
      <w:szCs w:val="24"/>
    </w:rPr>
  </w:style>
  <w:style w:type="character" w:customStyle="1" w:styleId="30">
    <w:name w:val="Заголовок 3 Знак"/>
    <w:link w:val="3"/>
    <w:rsid w:val="00262106"/>
    <w:rPr>
      <w:b/>
      <w:color w:val="FF0000"/>
      <w:lang w:val="uk-UA"/>
    </w:rPr>
  </w:style>
  <w:style w:type="character" w:customStyle="1" w:styleId="a8">
    <w:name w:val="Основной текст с отступом Знак"/>
    <w:link w:val="a7"/>
    <w:rsid w:val="00262106"/>
    <w:rPr>
      <w:sz w:val="24"/>
      <w:szCs w:val="24"/>
      <w:lang w:val="uk-UA"/>
    </w:rPr>
  </w:style>
  <w:style w:type="character" w:customStyle="1" w:styleId="aa">
    <w:name w:val="Текст выноски Знак"/>
    <w:link w:val="a9"/>
    <w:semiHidden/>
    <w:rsid w:val="00262106"/>
    <w:rPr>
      <w:rFonts w:ascii="Tahoma" w:hAnsi="Tahoma" w:cs="Tahoma"/>
      <w:sz w:val="16"/>
      <w:szCs w:val="16"/>
    </w:rPr>
  </w:style>
  <w:style w:type="character" w:customStyle="1" w:styleId="22">
    <w:name w:val="Основной текст 2 Знак"/>
    <w:link w:val="21"/>
    <w:rsid w:val="00262106"/>
    <w:rPr>
      <w:sz w:val="22"/>
      <w:szCs w:val="24"/>
      <w:lang w:val="uk-UA"/>
    </w:rPr>
  </w:style>
  <w:style w:type="character" w:customStyle="1" w:styleId="32">
    <w:name w:val="Основной текст с отступом 3 Знак"/>
    <w:link w:val="31"/>
    <w:rsid w:val="00262106"/>
    <w:rPr>
      <w:sz w:val="24"/>
      <w:szCs w:val="24"/>
      <w:lang w:val="uk-UA"/>
    </w:rPr>
  </w:style>
  <w:style w:type="character" w:customStyle="1" w:styleId="ac">
    <w:name w:val="Нижний колонтитул Знак"/>
    <w:link w:val="ab"/>
    <w:rsid w:val="00262106"/>
    <w:rPr>
      <w:sz w:val="24"/>
      <w:szCs w:val="24"/>
    </w:rPr>
  </w:style>
  <w:style w:type="character" w:customStyle="1" w:styleId="24">
    <w:name w:val="Основной текст с отступом 2 Знак"/>
    <w:link w:val="23"/>
    <w:rsid w:val="00262106"/>
    <w:rPr>
      <w:color w:val="FF0000"/>
      <w:sz w:val="24"/>
      <w:szCs w:val="24"/>
      <w:lang w:val="uk-UA"/>
    </w:rPr>
  </w:style>
  <w:style w:type="character" w:customStyle="1" w:styleId="ae">
    <w:name w:val="Основной текст Знак"/>
    <w:link w:val="ad"/>
    <w:rsid w:val="00262106"/>
    <w:rPr>
      <w:color w:val="FF0000"/>
      <w:lang w:val="uk-UA"/>
    </w:rPr>
  </w:style>
  <w:style w:type="character" w:customStyle="1" w:styleId="34">
    <w:name w:val="Основной текст 3 Знак"/>
    <w:link w:val="33"/>
    <w:rsid w:val="00262106"/>
    <w:rPr>
      <w:sz w:val="24"/>
      <w:lang w:val="uk-UA"/>
    </w:rPr>
  </w:style>
  <w:style w:type="numbering" w:customStyle="1" w:styleId="81">
    <w:name w:val="Импортированный стиль 81"/>
    <w:rsid w:val="00262106"/>
    <w:pPr>
      <w:numPr>
        <w:numId w:val="5"/>
      </w:numPr>
    </w:pPr>
  </w:style>
  <w:style w:type="numbering" w:customStyle="1" w:styleId="71">
    <w:name w:val="Импортированный стиль 71"/>
    <w:rsid w:val="00262106"/>
    <w:pPr>
      <w:numPr>
        <w:numId w:val="6"/>
      </w:numPr>
    </w:pPr>
  </w:style>
  <w:style w:type="character" w:styleId="affa">
    <w:name w:val="Emphasis"/>
    <w:uiPriority w:val="20"/>
    <w:qFormat/>
    <w:rsid w:val="003850B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caption" w:semiHidden="1" w:unhideWhenUsed="1" w:qFormat="1"/>
    <w:lsdException w:name="footnote reference" w:uiPriority="99" w:qFormat="1"/>
    <w:lsdException w:name="List Number"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708CF"/>
    <w:rPr>
      <w:sz w:val="24"/>
      <w:szCs w:val="24"/>
    </w:rPr>
  </w:style>
  <w:style w:type="paragraph" w:styleId="1">
    <w:name w:val="heading 1"/>
    <w:basedOn w:val="a0"/>
    <w:next w:val="a0"/>
    <w:link w:val="10"/>
    <w:qFormat/>
    <w:pPr>
      <w:keepNext/>
      <w:jc w:val="center"/>
      <w:outlineLvl w:val="0"/>
    </w:pPr>
    <w:rPr>
      <w:b/>
      <w:lang w:val="uk-UA"/>
    </w:rPr>
  </w:style>
  <w:style w:type="paragraph" w:styleId="2">
    <w:name w:val="heading 2"/>
    <w:aliases w:val="h2"/>
    <w:basedOn w:val="a0"/>
    <w:next w:val="a0"/>
    <w:link w:val="20"/>
    <w:uiPriority w:val="9"/>
    <w:qFormat/>
    <w:pPr>
      <w:keepNext/>
      <w:jc w:val="both"/>
      <w:outlineLvl w:val="1"/>
    </w:pPr>
    <w:rPr>
      <w:b/>
    </w:rPr>
  </w:style>
  <w:style w:type="paragraph" w:styleId="3">
    <w:name w:val="heading 3"/>
    <w:basedOn w:val="a0"/>
    <w:next w:val="a0"/>
    <w:link w:val="30"/>
    <w:qFormat/>
    <w:pPr>
      <w:keepNext/>
      <w:jc w:val="center"/>
      <w:outlineLvl w:val="2"/>
    </w:pPr>
    <w:rPr>
      <w:b/>
      <w:color w:val="FF0000"/>
      <w:sz w:val="20"/>
      <w:szCs w:val="20"/>
      <w:lang w:val="uk-UA"/>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aliases w:val="HeaderPort"/>
    <w:basedOn w:val="a0"/>
    <w:link w:val="a5"/>
    <w:qFormat/>
    <w:pPr>
      <w:tabs>
        <w:tab w:val="center" w:pos="4677"/>
        <w:tab w:val="right" w:pos="9355"/>
      </w:tabs>
    </w:pPr>
  </w:style>
  <w:style w:type="character" w:styleId="a6">
    <w:name w:val="page number"/>
    <w:basedOn w:val="a1"/>
  </w:style>
  <w:style w:type="paragraph" w:styleId="a7">
    <w:name w:val="Body Text Indent"/>
    <w:basedOn w:val="a0"/>
    <w:link w:val="a8"/>
    <w:pPr>
      <w:ind w:firstLine="720"/>
      <w:jc w:val="both"/>
    </w:pPr>
    <w:rPr>
      <w:lang w:val="uk-UA"/>
    </w:rPr>
  </w:style>
  <w:style w:type="paragraph" w:customStyle="1" w:styleId="BodyText2">
    <w:name w:val="Body Text 2"/>
    <w:basedOn w:val="a0"/>
    <w:pPr>
      <w:overflowPunct w:val="0"/>
      <w:autoSpaceDE w:val="0"/>
      <w:autoSpaceDN w:val="0"/>
      <w:adjustRightInd w:val="0"/>
      <w:ind w:firstLine="720"/>
      <w:jc w:val="both"/>
      <w:textAlignment w:val="baseline"/>
    </w:pPr>
    <w:rPr>
      <w:szCs w:val="20"/>
      <w:lang w:val="uk-UA"/>
    </w:rPr>
  </w:style>
  <w:style w:type="paragraph" w:styleId="a9">
    <w:name w:val="Balloon Text"/>
    <w:basedOn w:val="a0"/>
    <w:link w:val="aa"/>
    <w:semiHidden/>
    <w:rPr>
      <w:rFonts w:ascii="Tahoma" w:hAnsi="Tahoma" w:cs="Tahoma"/>
      <w:sz w:val="16"/>
      <w:szCs w:val="16"/>
    </w:rPr>
  </w:style>
  <w:style w:type="paragraph" w:customStyle="1" w:styleId="BodyTextIndent2">
    <w:name w:val="Body Text Indent 2"/>
    <w:basedOn w:val="a0"/>
    <w:pPr>
      <w:overflowPunct w:val="0"/>
      <w:autoSpaceDE w:val="0"/>
      <w:autoSpaceDN w:val="0"/>
      <w:adjustRightInd w:val="0"/>
      <w:ind w:firstLine="748"/>
      <w:jc w:val="both"/>
      <w:textAlignment w:val="baseline"/>
    </w:pPr>
    <w:rPr>
      <w:szCs w:val="20"/>
      <w:lang w:val="uk-UA"/>
    </w:rPr>
  </w:style>
  <w:style w:type="paragraph" w:styleId="21">
    <w:name w:val="Body Text 2"/>
    <w:basedOn w:val="a0"/>
    <w:link w:val="22"/>
    <w:pPr>
      <w:framePr w:hSpace="180" w:wrap="notBeside" w:vAnchor="text" w:hAnchor="margin" w:y="14"/>
      <w:jc w:val="center"/>
    </w:pPr>
    <w:rPr>
      <w:sz w:val="22"/>
      <w:lang w:val="uk-UA"/>
    </w:rPr>
  </w:style>
  <w:style w:type="paragraph" w:styleId="31">
    <w:name w:val="Body Text Indent 3"/>
    <w:basedOn w:val="a0"/>
    <w:link w:val="32"/>
    <w:pPr>
      <w:ind w:firstLine="1456"/>
      <w:jc w:val="both"/>
    </w:pPr>
    <w:rPr>
      <w:lang w:val="uk-UA"/>
    </w:rPr>
  </w:style>
  <w:style w:type="paragraph" w:styleId="ab">
    <w:name w:val="footer"/>
    <w:basedOn w:val="a0"/>
    <w:link w:val="ac"/>
    <w:pPr>
      <w:tabs>
        <w:tab w:val="center" w:pos="4677"/>
        <w:tab w:val="right" w:pos="9355"/>
      </w:tabs>
    </w:pPr>
  </w:style>
  <w:style w:type="paragraph" w:styleId="23">
    <w:name w:val="Body Text Indent 2"/>
    <w:basedOn w:val="a0"/>
    <w:link w:val="24"/>
    <w:pPr>
      <w:ind w:firstLine="708"/>
      <w:jc w:val="both"/>
    </w:pPr>
    <w:rPr>
      <w:color w:val="FF0000"/>
      <w:lang w:val="uk-UA"/>
    </w:rPr>
  </w:style>
  <w:style w:type="paragraph" w:styleId="ad">
    <w:name w:val="Body Text"/>
    <w:basedOn w:val="a0"/>
    <w:link w:val="ae"/>
    <w:pPr>
      <w:jc w:val="center"/>
    </w:pPr>
    <w:rPr>
      <w:color w:val="FF0000"/>
      <w:sz w:val="20"/>
      <w:szCs w:val="20"/>
      <w:lang w:val="uk-UA"/>
    </w:rPr>
  </w:style>
  <w:style w:type="paragraph" w:styleId="33">
    <w:name w:val="Body Text 3"/>
    <w:basedOn w:val="a0"/>
    <w:link w:val="34"/>
    <w:rPr>
      <w:szCs w:val="20"/>
      <w:lang w:val="uk-UA"/>
    </w:rPr>
  </w:style>
  <w:style w:type="paragraph" w:styleId="af">
    <w:name w:val="Normal (Web)"/>
    <w:basedOn w:val="a0"/>
    <w:uiPriority w:val="99"/>
    <w:rsid w:val="001E178A"/>
    <w:pPr>
      <w:spacing w:before="100" w:beforeAutospacing="1" w:after="100" w:afterAutospacing="1"/>
    </w:pPr>
  </w:style>
  <w:style w:type="paragraph" w:customStyle="1" w:styleId="western">
    <w:name w:val="western"/>
    <w:basedOn w:val="a0"/>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f0">
    <w:name w:val="Знак"/>
    <w:basedOn w:val="a0"/>
    <w:rsid w:val="00741B21"/>
    <w:pPr>
      <w:spacing w:after="160" w:line="240" w:lineRule="exact"/>
      <w:jc w:val="both"/>
    </w:pPr>
    <w:rPr>
      <w:sz w:val="20"/>
      <w:szCs w:val="20"/>
      <w:lang w:val="en-GB" w:eastAsia="uk-UA"/>
    </w:rPr>
  </w:style>
  <w:style w:type="paragraph" w:customStyle="1" w:styleId="BodyText22">
    <w:name w:val="Body Text 22"/>
    <w:basedOn w:val="a0"/>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0"/>
    <w:rsid w:val="00791DB4"/>
    <w:pPr>
      <w:spacing w:after="160" w:line="240" w:lineRule="exact"/>
    </w:pPr>
    <w:rPr>
      <w:noProof/>
      <w:sz w:val="20"/>
      <w:szCs w:val="20"/>
      <w:lang w:val="en-GB" w:eastAsia="ru-RU"/>
    </w:rPr>
  </w:style>
  <w:style w:type="paragraph" w:customStyle="1" w:styleId="ListParagraph">
    <w:name w:val="List Paragraph"/>
    <w:basedOn w:val="a0"/>
    <w:rsid w:val="00061BB0"/>
    <w:pPr>
      <w:spacing w:after="200" w:line="276" w:lineRule="auto"/>
      <w:ind w:left="720"/>
      <w:contextualSpacing/>
    </w:pPr>
    <w:rPr>
      <w:rFonts w:ascii="Calibri" w:hAnsi="Calibri"/>
      <w:sz w:val="22"/>
      <w:szCs w:val="22"/>
      <w:lang w:eastAsia="en-US"/>
    </w:rPr>
  </w:style>
  <w:style w:type="paragraph" w:styleId="af1">
    <w:name w:val="footnote text"/>
    <w:aliases w:val="Char Cha,Знак1, Знак1,ALTS FOOTNOTE,Car,Footnote Text Char Char Char1,Footnote Text Char1 Char Char Char,Footnote Text Char1 Char1 Char Char Char Char,Footnote Text Char2 Char,Footnote Text Char2 Char Char Char Char,fn,ft,Char Ch,Char Char,f"/>
    <w:basedOn w:val="a0"/>
    <w:link w:val="af2"/>
    <w:uiPriority w:val="99"/>
    <w:qFormat/>
    <w:rsid w:val="002726D8"/>
    <w:rPr>
      <w:sz w:val="20"/>
      <w:szCs w:val="20"/>
      <w:lang w:val="uk-UA" w:eastAsia="uk-UA"/>
    </w:rPr>
  </w:style>
  <w:style w:type="character" w:customStyle="1" w:styleId="af2">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1"/>
    <w:link w:val="af1"/>
    <w:uiPriority w:val="99"/>
    <w:rsid w:val="002726D8"/>
  </w:style>
  <w:style w:type="character" w:styleId="af3">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4">
    <w:name w:val="List Paragraph"/>
    <w:aliases w:val="#Listenabsatz,Normal mit Aufzählung a)"/>
    <w:basedOn w:val="a0"/>
    <w:link w:val="af5"/>
    <w:uiPriority w:val="34"/>
    <w:qFormat/>
    <w:rsid w:val="00F60F6B"/>
    <w:pPr>
      <w:overflowPunct w:val="0"/>
      <w:autoSpaceDE w:val="0"/>
      <w:autoSpaceDN w:val="0"/>
      <w:adjustRightInd w:val="0"/>
      <w:ind w:left="708"/>
    </w:pPr>
    <w:rPr>
      <w:szCs w:val="20"/>
      <w:lang w:val="x-none"/>
    </w:rPr>
  </w:style>
  <w:style w:type="character" w:customStyle="1" w:styleId="af5">
    <w:name w:val="Абзац списка Знак"/>
    <w:aliases w:val="#Listenabsatz Знак,Normal mit Aufzählung a) Знак"/>
    <w:link w:val="af4"/>
    <w:uiPriority w:val="34"/>
    <w:rsid w:val="00F60F6B"/>
    <w:rPr>
      <w:sz w:val="24"/>
      <w:lang w:eastAsia="ru-RU"/>
    </w:rPr>
  </w:style>
  <w:style w:type="paragraph" w:customStyle="1" w:styleId="af6">
    <w:name w:val=" Знак Знак Знак Знак"/>
    <w:basedOn w:val="a0"/>
    <w:rsid w:val="007B5A58"/>
    <w:pPr>
      <w:spacing w:after="160" w:line="240" w:lineRule="exact"/>
    </w:pPr>
    <w:rPr>
      <w:rFonts w:ascii="Verdana" w:hAnsi="Verdana" w:cs="Verdana"/>
      <w:sz w:val="20"/>
      <w:szCs w:val="20"/>
      <w:lang w:val="en-US" w:eastAsia="en-US"/>
    </w:rPr>
  </w:style>
  <w:style w:type="table" w:styleId="af7">
    <w:name w:val="Table Grid"/>
    <w:basedOn w:val="a2"/>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0"/>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x-none"/>
    </w:rPr>
  </w:style>
  <w:style w:type="character" w:customStyle="1" w:styleId="AMBodyTextL2Char">
    <w:name w:val="AMBodyText_L2 Char"/>
    <w:link w:val="AMBodyTextL2"/>
    <w:locked/>
    <w:rsid w:val="005B0120"/>
    <w:rPr>
      <w:sz w:val="24"/>
      <w:lang w:val="en-GB" w:eastAsia="x-none"/>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8">
    <w:name w:val="Hyperlink"/>
    <w:uiPriority w:val="99"/>
    <w:unhideWhenUsed/>
    <w:rsid w:val="006F51D3"/>
    <w:rPr>
      <w:color w:val="0000FF"/>
      <w:u w:val="single"/>
    </w:rPr>
  </w:style>
  <w:style w:type="paragraph" w:customStyle="1" w:styleId="Default">
    <w:name w:val="Default"/>
    <w:rsid w:val="005E041A"/>
    <w:pPr>
      <w:autoSpaceDE w:val="0"/>
      <w:autoSpaceDN w:val="0"/>
      <w:adjustRightInd w:val="0"/>
    </w:pPr>
    <w:rPr>
      <w:color w:val="000000"/>
      <w:sz w:val="24"/>
      <w:szCs w:val="24"/>
      <w:lang w:val="uk-UA" w:eastAsia="uk-UA"/>
    </w:rPr>
  </w:style>
  <w:style w:type="paragraph" w:customStyle="1" w:styleId="230">
    <w:name w:val="Основной текст 23"/>
    <w:basedOn w:val="a0"/>
    <w:rsid w:val="009142A9"/>
    <w:pPr>
      <w:overflowPunct w:val="0"/>
      <w:autoSpaceDE w:val="0"/>
      <w:autoSpaceDN w:val="0"/>
      <w:adjustRightInd w:val="0"/>
      <w:ind w:firstLine="720"/>
      <w:jc w:val="both"/>
      <w:textAlignment w:val="baseline"/>
    </w:pPr>
    <w:rPr>
      <w:szCs w:val="20"/>
      <w:lang w:val="uk-UA"/>
    </w:rPr>
  </w:style>
  <w:style w:type="paragraph" w:customStyle="1" w:styleId="ShortOutlineStyle1">
    <w:name w:val="ShortOutlineStyle1"/>
    <w:basedOn w:val="a0"/>
    <w:rsid w:val="006548FA"/>
    <w:pPr>
      <w:tabs>
        <w:tab w:val="num" w:pos="720"/>
      </w:tabs>
      <w:spacing w:before="240" w:after="240"/>
      <w:ind w:left="720" w:hanging="720"/>
      <w:jc w:val="both"/>
    </w:pPr>
    <w:rPr>
      <w:rFonts w:eastAsia="SimSun"/>
      <w:lang w:val="en-US" w:eastAsia="ar-SA"/>
    </w:rPr>
  </w:style>
  <w:style w:type="character" w:styleId="af9">
    <w:name w:val="Strong"/>
    <w:uiPriority w:val="22"/>
    <w:qFormat/>
    <w:rsid w:val="00EB5633"/>
    <w:rPr>
      <w:b/>
      <w:bCs/>
    </w:rPr>
  </w:style>
  <w:style w:type="character" w:customStyle="1" w:styleId="a5">
    <w:name w:val="Верхний колонтитул Знак"/>
    <w:aliases w:val="HeaderPort Знак"/>
    <w:link w:val="a4"/>
    <w:rsid w:val="00337980"/>
    <w:rPr>
      <w:sz w:val="24"/>
      <w:szCs w:val="24"/>
      <w:lang w:val="ru-RU" w:eastAsia="ru-RU"/>
    </w:rPr>
  </w:style>
  <w:style w:type="paragraph" w:styleId="HTML">
    <w:name w:val="HTML Preformatted"/>
    <w:basedOn w:val="a0"/>
    <w:link w:val="HTML0"/>
    <w:uiPriority w:val="99"/>
    <w:unhideWhenUsed/>
    <w:rsid w:val="00B6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650CE"/>
    <w:rPr>
      <w:rFonts w:ascii="Courier New" w:hAnsi="Courier New" w:cs="Courier New"/>
    </w:rPr>
  </w:style>
  <w:style w:type="character" w:customStyle="1" w:styleId="afa">
    <w:name w:val="Нумерованный список Знак"/>
    <w:link w:val="a"/>
    <w:rsid w:val="00915DDF"/>
    <w:rPr>
      <w:rFonts w:eastAsia="Arial"/>
      <w:lang w:val="en-GB" w:eastAsia="x-none"/>
    </w:rPr>
  </w:style>
  <w:style w:type="paragraph" w:styleId="a">
    <w:name w:val="List Number"/>
    <w:basedOn w:val="a0"/>
    <w:link w:val="afa"/>
    <w:qFormat/>
    <w:rsid w:val="00915DDF"/>
    <w:pPr>
      <w:numPr>
        <w:numId w:val="3"/>
      </w:numPr>
      <w:spacing w:before="180" w:after="180"/>
      <w:jc w:val="both"/>
    </w:pPr>
    <w:rPr>
      <w:rFonts w:eastAsia="Arial"/>
      <w:sz w:val="20"/>
      <w:szCs w:val="20"/>
      <w:lang w:val="en-GB" w:eastAsia="x-none"/>
    </w:rPr>
  </w:style>
  <w:style w:type="paragraph" w:customStyle="1" w:styleId="210">
    <w:name w:val="Основной текст 21"/>
    <w:basedOn w:val="a0"/>
    <w:rsid w:val="00B42218"/>
    <w:pPr>
      <w:overflowPunct w:val="0"/>
      <w:autoSpaceDE w:val="0"/>
      <w:autoSpaceDN w:val="0"/>
      <w:adjustRightInd w:val="0"/>
      <w:ind w:firstLine="720"/>
      <w:jc w:val="both"/>
      <w:textAlignment w:val="baseline"/>
    </w:pPr>
    <w:rPr>
      <w:szCs w:val="20"/>
      <w:lang w:val="uk-UA"/>
    </w:rPr>
  </w:style>
  <w:style w:type="paragraph" w:customStyle="1" w:styleId="PI-Text">
    <w:name w:val="PI-Text"/>
    <w:basedOn w:val="a0"/>
    <w:rsid w:val="00D65770"/>
    <w:pPr>
      <w:tabs>
        <w:tab w:val="left" w:pos="1418"/>
      </w:tabs>
      <w:spacing w:line="360" w:lineRule="exact"/>
    </w:pPr>
    <w:rPr>
      <w:sz w:val="26"/>
      <w:szCs w:val="22"/>
      <w:lang w:val="de-DE" w:eastAsia="de-DE"/>
    </w:rPr>
  </w:style>
  <w:style w:type="paragraph" w:customStyle="1" w:styleId="11">
    <w:name w:val="Обычный1"/>
    <w:uiPriority w:val="99"/>
    <w:rsid w:val="00C41EF9"/>
    <w:pPr>
      <w:spacing w:line="276" w:lineRule="auto"/>
    </w:pPr>
    <w:rPr>
      <w:rFonts w:ascii="Arial" w:eastAsia="Calibri" w:hAnsi="Arial" w:cs="Arial"/>
      <w:color w:val="000000"/>
      <w:sz w:val="22"/>
      <w:szCs w:val="22"/>
    </w:rPr>
  </w:style>
  <w:style w:type="paragraph" w:customStyle="1" w:styleId="StyleListParagraphAfter12pt">
    <w:name w:val="Style List Paragraph + After:  12 pt"/>
    <w:basedOn w:val="af4"/>
    <w:link w:val="StyleListParagraphAfter12ptChar"/>
    <w:rsid w:val="00F30331"/>
    <w:pPr>
      <w:numPr>
        <w:numId w:val="4"/>
      </w:numPr>
      <w:overflowPunct/>
      <w:autoSpaceDE/>
      <w:autoSpaceDN/>
      <w:adjustRightInd/>
      <w:spacing w:after="240"/>
    </w:pPr>
    <w:rPr>
      <w:rFonts w:ascii="Calibri" w:hAnsi="Calibri"/>
      <w:lang w:val="en-GB"/>
    </w:rPr>
  </w:style>
  <w:style w:type="character" w:customStyle="1" w:styleId="StyleListParagraphAfter12ptChar">
    <w:name w:val="Style List Paragraph + After:  12 pt Char"/>
    <w:link w:val="StyleListParagraphAfter12pt"/>
    <w:rsid w:val="00F30331"/>
    <w:rPr>
      <w:rFonts w:ascii="Calibri" w:hAnsi="Calibri"/>
      <w:sz w:val="24"/>
      <w:lang w:val="en-GB"/>
    </w:rPr>
  </w:style>
  <w:style w:type="character" w:customStyle="1" w:styleId="apple-converted-space">
    <w:name w:val="apple-converted-space"/>
    <w:rsid w:val="00875B09"/>
  </w:style>
  <w:style w:type="character" w:customStyle="1" w:styleId="FontStyle20">
    <w:name w:val="Font Style20"/>
    <w:uiPriority w:val="99"/>
    <w:rsid w:val="00E210DC"/>
    <w:rPr>
      <w:rFonts w:ascii="Cambria" w:hAnsi="Cambria" w:cs="Cambria"/>
      <w:sz w:val="24"/>
      <w:szCs w:val="24"/>
    </w:rPr>
  </w:style>
  <w:style w:type="numbering" w:customStyle="1" w:styleId="8">
    <w:name w:val="Импортированный стиль 8"/>
    <w:rsid w:val="005C0D6E"/>
    <w:pPr>
      <w:numPr>
        <w:numId w:val="5"/>
      </w:numPr>
    </w:pPr>
  </w:style>
  <w:style w:type="numbering" w:customStyle="1" w:styleId="7">
    <w:name w:val="Импортированный стиль 7"/>
    <w:rsid w:val="005C0D6E"/>
    <w:pPr>
      <w:numPr>
        <w:numId w:val="6"/>
      </w:numPr>
    </w:pPr>
  </w:style>
  <w:style w:type="paragraph" w:customStyle="1" w:styleId="4">
    <w:name w:val="Абзац списка4"/>
    <w:basedOn w:val="a0"/>
    <w:rsid w:val="00E77D70"/>
    <w:pPr>
      <w:ind w:left="720"/>
      <w:contextualSpacing/>
      <w:jc w:val="both"/>
    </w:pPr>
    <w:rPr>
      <w:szCs w:val="22"/>
      <w:lang w:eastAsia="en-US"/>
    </w:rPr>
  </w:style>
  <w:style w:type="paragraph" w:styleId="afb">
    <w:name w:val="Document Map"/>
    <w:basedOn w:val="a0"/>
    <w:link w:val="afc"/>
    <w:rsid w:val="00666FB1"/>
    <w:pPr>
      <w:overflowPunct w:val="0"/>
      <w:autoSpaceDE w:val="0"/>
      <w:autoSpaceDN w:val="0"/>
      <w:adjustRightInd w:val="0"/>
      <w:textAlignment w:val="baseline"/>
    </w:pPr>
    <w:rPr>
      <w:rFonts w:ascii="Tahoma" w:hAnsi="Tahoma" w:cs="Tahoma"/>
      <w:sz w:val="16"/>
      <w:szCs w:val="16"/>
      <w:lang w:val="uk-UA"/>
    </w:rPr>
  </w:style>
  <w:style w:type="character" w:customStyle="1" w:styleId="afc">
    <w:name w:val="Схема документа Знак"/>
    <w:link w:val="afb"/>
    <w:rsid w:val="00666FB1"/>
    <w:rPr>
      <w:rFonts w:ascii="Tahoma" w:hAnsi="Tahoma" w:cs="Tahoma"/>
      <w:sz w:val="16"/>
      <w:szCs w:val="16"/>
      <w:lang w:val="uk-UA"/>
    </w:rPr>
  </w:style>
  <w:style w:type="paragraph" w:customStyle="1" w:styleId="cef1edeee2edeee9f2e5eaf1f221">
    <w:name w:val="Оceсf1нedоeeвe2нedоeeйe9 тf2еe5кeaсf1тf2 21"/>
    <w:basedOn w:val="a0"/>
    <w:uiPriority w:val="99"/>
    <w:rsid w:val="00E05E52"/>
    <w:pPr>
      <w:autoSpaceDE w:val="0"/>
      <w:autoSpaceDN w:val="0"/>
      <w:adjustRightInd w:val="0"/>
      <w:ind w:firstLine="720"/>
      <w:jc w:val="both"/>
    </w:pPr>
    <w:rPr>
      <w:lang w:val="uk-UA" w:eastAsia="uk-UA"/>
    </w:rPr>
  </w:style>
  <w:style w:type="paragraph" w:customStyle="1" w:styleId="rvps2">
    <w:name w:val="rvps2"/>
    <w:basedOn w:val="a0"/>
    <w:rsid w:val="00E603B2"/>
    <w:pPr>
      <w:spacing w:before="100" w:beforeAutospacing="1" w:after="100" w:afterAutospacing="1"/>
    </w:pPr>
    <w:rPr>
      <w:lang w:val="en-US" w:eastAsia="en-US"/>
    </w:rPr>
  </w:style>
  <w:style w:type="paragraph" w:customStyle="1" w:styleId="Legal2L1">
    <w:name w:val="Legal2_L1"/>
    <w:basedOn w:val="a0"/>
    <w:next w:val="ad"/>
    <w:rsid w:val="002D468C"/>
    <w:pPr>
      <w:widowControl w:val="0"/>
      <w:numPr>
        <w:numId w:val="9"/>
      </w:numPr>
      <w:adjustRightInd w:val="0"/>
      <w:spacing w:after="240" w:line="240" w:lineRule="atLeast"/>
      <w:ind w:left="1440"/>
      <w:jc w:val="both"/>
      <w:outlineLvl w:val="0"/>
    </w:pPr>
    <w:rPr>
      <w:rFonts w:ascii="Calibri"/>
      <w:b/>
      <w:szCs w:val="20"/>
      <w:lang w:val="en-GB" w:eastAsia="ko-KR"/>
    </w:rPr>
  </w:style>
  <w:style w:type="paragraph" w:customStyle="1" w:styleId="Legal2L2">
    <w:name w:val="Legal2_L2"/>
    <w:basedOn w:val="Legal2L1"/>
    <w:next w:val="ad"/>
    <w:rsid w:val="002D468C"/>
    <w:pPr>
      <w:numPr>
        <w:ilvl w:val="1"/>
      </w:numPr>
      <w:tabs>
        <w:tab w:val="clear" w:pos="1440"/>
      </w:tabs>
      <w:ind w:left="2160"/>
      <w:outlineLvl w:val="1"/>
    </w:pPr>
  </w:style>
  <w:style w:type="paragraph" w:customStyle="1" w:styleId="Legal2L3">
    <w:name w:val="Legal2_L3"/>
    <w:basedOn w:val="Legal2L2"/>
    <w:next w:val="ad"/>
    <w:rsid w:val="002D468C"/>
    <w:pPr>
      <w:numPr>
        <w:ilvl w:val="2"/>
      </w:numPr>
      <w:tabs>
        <w:tab w:val="clear" w:pos="2160"/>
      </w:tabs>
      <w:ind w:left="2880"/>
      <w:outlineLvl w:val="2"/>
    </w:pPr>
  </w:style>
  <w:style w:type="paragraph" w:customStyle="1" w:styleId="Legal2L4">
    <w:name w:val="Legal2_L4"/>
    <w:basedOn w:val="Legal2L3"/>
    <w:next w:val="ad"/>
    <w:rsid w:val="002D468C"/>
    <w:pPr>
      <w:numPr>
        <w:ilvl w:val="3"/>
      </w:numPr>
      <w:tabs>
        <w:tab w:val="clear" w:pos="3240"/>
      </w:tabs>
      <w:ind w:left="3600"/>
      <w:outlineLvl w:val="3"/>
    </w:pPr>
  </w:style>
  <w:style w:type="paragraph" w:customStyle="1" w:styleId="Legal2L5">
    <w:name w:val="Legal2_L5"/>
    <w:basedOn w:val="Legal2L4"/>
    <w:rsid w:val="002D468C"/>
    <w:pPr>
      <w:numPr>
        <w:ilvl w:val="4"/>
      </w:numPr>
      <w:tabs>
        <w:tab w:val="clear" w:pos="3960"/>
      </w:tabs>
      <w:ind w:left="720"/>
      <w:jc w:val="left"/>
      <w:outlineLvl w:val="4"/>
    </w:pPr>
    <w:rPr>
      <w:b w:val="0"/>
    </w:rPr>
  </w:style>
  <w:style w:type="paragraph" w:customStyle="1" w:styleId="Legal2L6">
    <w:name w:val="Legal2_L6"/>
    <w:basedOn w:val="Legal2L5"/>
    <w:rsid w:val="002D468C"/>
    <w:pPr>
      <w:numPr>
        <w:ilvl w:val="5"/>
      </w:numPr>
      <w:outlineLvl w:val="5"/>
    </w:pPr>
  </w:style>
  <w:style w:type="paragraph" w:customStyle="1" w:styleId="Legal2L7">
    <w:name w:val="Legal2_L7"/>
    <w:basedOn w:val="Legal2L6"/>
    <w:rsid w:val="002D468C"/>
    <w:pPr>
      <w:numPr>
        <w:ilvl w:val="6"/>
      </w:numPr>
      <w:tabs>
        <w:tab w:val="clear" w:pos="720"/>
      </w:tabs>
      <w:ind w:left="1440"/>
      <w:outlineLvl w:val="6"/>
    </w:pPr>
  </w:style>
  <w:style w:type="paragraph" w:customStyle="1" w:styleId="Legal2L9">
    <w:name w:val="Legal2_L9"/>
    <w:basedOn w:val="a0"/>
    <w:next w:val="Legal2L7"/>
    <w:rsid w:val="002D468C"/>
    <w:pPr>
      <w:widowControl w:val="0"/>
      <w:numPr>
        <w:ilvl w:val="8"/>
        <w:numId w:val="9"/>
      </w:numPr>
      <w:adjustRightInd w:val="0"/>
      <w:spacing w:after="240" w:line="240" w:lineRule="atLeast"/>
      <w:ind w:left="720"/>
      <w:jc w:val="both"/>
      <w:outlineLvl w:val="8"/>
    </w:pPr>
    <w:rPr>
      <w:rFonts w:ascii="Calibri"/>
      <w:szCs w:val="20"/>
      <w:lang w:val="en-GB" w:eastAsia="ko-KR"/>
    </w:rPr>
  </w:style>
  <w:style w:type="paragraph" w:styleId="afd">
    <w:name w:val="Revision"/>
    <w:hidden/>
    <w:uiPriority w:val="99"/>
    <w:semiHidden/>
    <w:rsid w:val="00686E80"/>
    <w:rPr>
      <w:rFonts w:ascii="Calibri" w:eastAsia="Calibri" w:hAnsi="Calibri"/>
      <w:sz w:val="24"/>
      <w:szCs w:val="24"/>
      <w:lang w:val="en-US" w:eastAsia="en-US"/>
    </w:rPr>
  </w:style>
  <w:style w:type="character" w:styleId="afe">
    <w:name w:val="FollowedHyperlink"/>
    <w:rsid w:val="005D1B14"/>
    <w:rPr>
      <w:color w:val="800080"/>
      <w:u w:val="single"/>
    </w:rPr>
  </w:style>
  <w:style w:type="paragraph" w:styleId="aff">
    <w:name w:val="No Spacing"/>
    <w:basedOn w:val="a0"/>
    <w:link w:val="aff0"/>
    <w:uiPriority w:val="1"/>
    <w:qFormat/>
    <w:rsid w:val="00AA0826"/>
    <w:rPr>
      <w:rFonts w:ascii="Calibri" w:hAnsi="Calibri"/>
      <w:sz w:val="20"/>
      <w:szCs w:val="20"/>
      <w:lang w:val="x-none" w:eastAsia="x-none" w:bidi="en-US"/>
    </w:rPr>
  </w:style>
  <w:style w:type="character" w:customStyle="1" w:styleId="aff0">
    <w:name w:val="Без интервала Знак"/>
    <w:link w:val="aff"/>
    <w:uiPriority w:val="1"/>
    <w:rsid w:val="00AA0826"/>
    <w:rPr>
      <w:rFonts w:ascii="Calibri" w:hAnsi="Calibri"/>
      <w:lang w:val="x-none" w:eastAsia="x-none" w:bidi="en-US"/>
    </w:rPr>
  </w:style>
  <w:style w:type="paragraph" w:styleId="aff1">
    <w:name w:val="Title"/>
    <w:aliases w:val=" Знак, Знак Знак Знак Знак Знак, Знак Знак Знак Знак1,Знак Знак Знак Знак,Знак Знак Знак Знак Знак,Знак Знак Знак Знак1"/>
    <w:basedOn w:val="a0"/>
    <w:next w:val="ad"/>
    <w:link w:val="aff2"/>
    <w:qFormat/>
    <w:rsid w:val="00475344"/>
    <w:pPr>
      <w:keepNext/>
      <w:widowControl w:val="0"/>
      <w:adjustRightInd w:val="0"/>
      <w:spacing w:after="240" w:line="360" w:lineRule="atLeast"/>
      <w:jc w:val="center"/>
      <w:textAlignment w:val="baseline"/>
    </w:pPr>
    <w:rPr>
      <w:rFonts w:ascii="Times New Roman Bold" w:eastAsia="SimSun" w:hAnsi="Times New Roman Bold"/>
      <w:b/>
      <w:snapToGrid w:val="0"/>
      <w:szCs w:val="52"/>
      <w:u w:val="single"/>
      <w:lang w:val="en-US"/>
    </w:rPr>
  </w:style>
  <w:style w:type="character" w:customStyle="1" w:styleId="aff2">
    <w:name w:val="Название Знак"/>
    <w:aliases w:val=" Знак Знак, Знак Знак Знак Знак Знак Знак, Знак Знак Знак Знак1 Знак,Знак Знак Знак Знак Знак1,Знак Знак Знак Знак Знак Знак,Знак Знак Знак Знак1 Знак"/>
    <w:link w:val="aff1"/>
    <w:rsid w:val="00475344"/>
    <w:rPr>
      <w:rFonts w:ascii="Times New Roman Bold" w:eastAsia="SimSun" w:hAnsi="Times New Roman Bold"/>
      <w:b/>
      <w:snapToGrid w:val="0"/>
      <w:sz w:val="24"/>
      <w:szCs w:val="52"/>
      <w:u w:val="single"/>
      <w:lang w:val="en-US"/>
    </w:rPr>
  </w:style>
  <w:style w:type="paragraph" w:customStyle="1" w:styleId="Legal1L3">
    <w:name w:val="Legal1_L3"/>
    <w:basedOn w:val="a0"/>
    <w:next w:val="ad"/>
    <w:rsid w:val="00F01F2C"/>
    <w:pPr>
      <w:widowControl w:val="0"/>
      <w:numPr>
        <w:ilvl w:val="2"/>
        <w:numId w:val="8"/>
      </w:numPr>
      <w:tabs>
        <w:tab w:val="num" w:pos="1440"/>
      </w:tabs>
      <w:adjustRightInd w:val="0"/>
      <w:spacing w:after="240" w:line="360" w:lineRule="atLeast"/>
      <w:ind w:left="1440"/>
      <w:jc w:val="both"/>
      <w:textAlignment w:val="baseline"/>
      <w:outlineLvl w:val="2"/>
    </w:pPr>
    <w:rPr>
      <w:rFonts w:eastAsia="SimSun"/>
      <w:snapToGrid w:val="0"/>
      <w:szCs w:val="20"/>
      <w:lang w:val="en-US"/>
    </w:rPr>
  </w:style>
  <w:style w:type="character" w:styleId="aff3">
    <w:name w:val="annotation reference"/>
    <w:rsid w:val="009E3A97"/>
    <w:rPr>
      <w:sz w:val="16"/>
      <w:szCs w:val="16"/>
    </w:rPr>
  </w:style>
  <w:style w:type="paragraph" w:styleId="aff4">
    <w:name w:val="annotation text"/>
    <w:basedOn w:val="a0"/>
    <w:link w:val="aff5"/>
    <w:rsid w:val="009E3A97"/>
    <w:rPr>
      <w:sz w:val="20"/>
      <w:szCs w:val="20"/>
    </w:rPr>
  </w:style>
  <w:style w:type="character" w:customStyle="1" w:styleId="aff5">
    <w:name w:val="Текст примечания Знак"/>
    <w:basedOn w:val="a1"/>
    <w:link w:val="aff4"/>
    <w:rsid w:val="009E3A97"/>
  </w:style>
  <w:style w:type="paragraph" w:styleId="aff6">
    <w:name w:val="annotation subject"/>
    <w:basedOn w:val="aff4"/>
    <w:next w:val="aff4"/>
    <w:link w:val="aff7"/>
    <w:rsid w:val="009E3A97"/>
    <w:rPr>
      <w:b/>
      <w:bCs/>
    </w:rPr>
  </w:style>
  <w:style w:type="character" w:customStyle="1" w:styleId="aff7">
    <w:name w:val="Тема примечания Знак"/>
    <w:link w:val="aff6"/>
    <w:rsid w:val="009E3A97"/>
    <w:rPr>
      <w:b/>
      <w:bCs/>
    </w:rPr>
  </w:style>
  <w:style w:type="paragraph" w:customStyle="1" w:styleId="35">
    <w:name w:val=" Знак Знак3 Знак Знак Знак Знак"/>
    <w:basedOn w:val="a0"/>
    <w:rsid w:val="00EE4354"/>
    <w:rPr>
      <w:rFonts w:ascii="Verdana" w:hAnsi="Verdana" w:cs="Verdana"/>
      <w:sz w:val="20"/>
      <w:szCs w:val="20"/>
      <w:lang w:val="en-US" w:eastAsia="en-US"/>
    </w:rPr>
  </w:style>
  <w:style w:type="paragraph" w:styleId="aff8">
    <w:name w:val="List Paragraph"/>
    <w:basedOn w:val="a0"/>
    <w:uiPriority w:val="34"/>
    <w:qFormat/>
    <w:rsid w:val="00E36E12"/>
    <w:pPr>
      <w:ind w:left="708"/>
    </w:pPr>
  </w:style>
  <w:style w:type="character" w:customStyle="1" w:styleId="rvts0">
    <w:name w:val="rvts0"/>
    <w:rsid w:val="00C42E25"/>
  </w:style>
  <w:style w:type="character" w:customStyle="1" w:styleId="rvts23">
    <w:name w:val="rvts23"/>
    <w:rsid w:val="00E56355"/>
  </w:style>
  <w:style w:type="paragraph" w:customStyle="1" w:styleId="rvps4">
    <w:name w:val="rvps4"/>
    <w:basedOn w:val="a0"/>
    <w:rsid w:val="00E56355"/>
    <w:pPr>
      <w:spacing w:before="100" w:beforeAutospacing="1" w:after="100" w:afterAutospacing="1"/>
    </w:pPr>
    <w:rPr>
      <w:lang w:val="uk-UA" w:eastAsia="uk-UA"/>
    </w:rPr>
  </w:style>
  <w:style w:type="paragraph" w:customStyle="1" w:styleId="rvps7">
    <w:name w:val="rvps7"/>
    <w:basedOn w:val="a0"/>
    <w:rsid w:val="00E56355"/>
    <w:pPr>
      <w:spacing w:before="100" w:beforeAutospacing="1" w:after="100" w:afterAutospacing="1"/>
    </w:pPr>
    <w:rPr>
      <w:lang w:val="uk-UA" w:eastAsia="uk-UA"/>
    </w:rPr>
  </w:style>
  <w:style w:type="character" w:customStyle="1" w:styleId="rvts9">
    <w:name w:val="rvts9"/>
    <w:rsid w:val="00E56355"/>
  </w:style>
  <w:style w:type="paragraph" w:customStyle="1" w:styleId="rvps14">
    <w:name w:val="rvps14"/>
    <w:basedOn w:val="a0"/>
    <w:rsid w:val="00E56355"/>
    <w:pPr>
      <w:spacing w:before="100" w:beforeAutospacing="1" w:after="100" w:afterAutospacing="1"/>
    </w:pPr>
    <w:rPr>
      <w:lang w:val="uk-UA" w:eastAsia="uk-UA"/>
    </w:rPr>
  </w:style>
  <w:style w:type="character" w:customStyle="1" w:styleId="rvts11">
    <w:name w:val="rvts11"/>
    <w:rsid w:val="005043B1"/>
  </w:style>
  <w:style w:type="character" w:customStyle="1" w:styleId="rvts46">
    <w:name w:val="rvts46"/>
    <w:rsid w:val="006E2692"/>
  </w:style>
  <w:style w:type="character" w:customStyle="1" w:styleId="ListParagraphChar">
    <w:name w:val="List Paragraph Char"/>
    <w:aliases w:val="#Listenabsatz Char,Normal mit Aufzählung a) Char"/>
    <w:locked/>
    <w:rsid w:val="006E2692"/>
    <w:rPr>
      <w:rFonts w:ascii="Times New Roman" w:hAnsi="Times New Roman"/>
      <w:sz w:val="24"/>
      <w:lang w:val="ru-RU" w:eastAsia="ar-SA" w:bidi="ar-SA"/>
    </w:rPr>
  </w:style>
  <w:style w:type="character" w:customStyle="1" w:styleId="rvts37">
    <w:name w:val="rvts37"/>
    <w:rsid w:val="006E2692"/>
  </w:style>
  <w:style w:type="character" w:styleId="aff9">
    <w:name w:val="Subtle Emphasis"/>
    <w:uiPriority w:val="19"/>
    <w:qFormat/>
    <w:rsid w:val="006E2692"/>
    <w:rPr>
      <w:i/>
      <w:iCs/>
      <w:color w:val="808080"/>
    </w:rPr>
  </w:style>
  <w:style w:type="paragraph" w:customStyle="1" w:styleId="rvps3">
    <w:name w:val="rvps3"/>
    <w:basedOn w:val="a0"/>
    <w:rsid w:val="006E2692"/>
    <w:pPr>
      <w:spacing w:before="100" w:beforeAutospacing="1" w:after="100" w:afterAutospacing="1"/>
    </w:pPr>
  </w:style>
  <w:style w:type="character" w:customStyle="1" w:styleId="rvts40">
    <w:name w:val="rvts40"/>
    <w:rsid w:val="006E2692"/>
  </w:style>
  <w:style w:type="character" w:customStyle="1" w:styleId="rvts80">
    <w:name w:val="rvts80"/>
    <w:rsid w:val="006E2692"/>
  </w:style>
  <w:style w:type="paragraph" w:customStyle="1" w:styleId="rvps12">
    <w:name w:val="rvps12"/>
    <w:basedOn w:val="a0"/>
    <w:rsid w:val="006E2692"/>
    <w:pPr>
      <w:spacing w:before="100" w:beforeAutospacing="1" w:after="100" w:afterAutospacing="1"/>
    </w:pPr>
  </w:style>
  <w:style w:type="paragraph" w:customStyle="1" w:styleId="rvps6">
    <w:name w:val="rvps6"/>
    <w:basedOn w:val="a0"/>
    <w:rsid w:val="006E2692"/>
    <w:pPr>
      <w:spacing w:before="100" w:beforeAutospacing="1" w:after="100" w:afterAutospacing="1"/>
    </w:pPr>
  </w:style>
  <w:style w:type="character" w:customStyle="1" w:styleId="10">
    <w:name w:val="Заголовок 1 Знак"/>
    <w:link w:val="1"/>
    <w:rsid w:val="00262106"/>
    <w:rPr>
      <w:b/>
      <w:sz w:val="24"/>
      <w:szCs w:val="24"/>
      <w:lang w:val="uk-UA"/>
    </w:rPr>
  </w:style>
  <w:style w:type="character" w:customStyle="1" w:styleId="20">
    <w:name w:val="Заголовок 2 Знак"/>
    <w:link w:val="2"/>
    <w:uiPriority w:val="9"/>
    <w:rsid w:val="00262106"/>
    <w:rPr>
      <w:b/>
      <w:sz w:val="24"/>
      <w:szCs w:val="24"/>
    </w:rPr>
  </w:style>
  <w:style w:type="character" w:customStyle="1" w:styleId="30">
    <w:name w:val="Заголовок 3 Знак"/>
    <w:link w:val="3"/>
    <w:rsid w:val="00262106"/>
    <w:rPr>
      <w:b/>
      <w:color w:val="FF0000"/>
      <w:lang w:val="uk-UA"/>
    </w:rPr>
  </w:style>
  <w:style w:type="character" w:customStyle="1" w:styleId="a8">
    <w:name w:val="Основной текст с отступом Знак"/>
    <w:link w:val="a7"/>
    <w:rsid w:val="00262106"/>
    <w:rPr>
      <w:sz w:val="24"/>
      <w:szCs w:val="24"/>
      <w:lang w:val="uk-UA"/>
    </w:rPr>
  </w:style>
  <w:style w:type="character" w:customStyle="1" w:styleId="aa">
    <w:name w:val="Текст выноски Знак"/>
    <w:link w:val="a9"/>
    <w:semiHidden/>
    <w:rsid w:val="00262106"/>
    <w:rPr>
      <w:rFonts w:ascii="Tahoma" w:hAnsi="Tahoma" w:cs="Tahoma"/>
      <w:sz w:val="16"/>
      <w:szCs w:val="16"/>
    </w:rPr>
  </w:style>
  <w:style w:type="character" w:customStyle="1" w:styleId="22">
    <w:name w:val="Основной текст 2 Знак"/>
    <w:link w:val="21"/>
    <w:rsid w:val="00262106"/>
    <w:rPr>
      <w:sz w:val="22"/>
      <w:szCs w:val="24"/>
      <w:lang w:val="uk-UA"/>
    </w:rPr>
  </w:style>
  <w:style w:type="character" w:customStyle="1" w:styleId="32">
    <w:name w:val="Основной текст с отступом 3 Знак"/>
    <w:link w:val="31"/>
    <w:rsid w:val="00262106"/>
    <w:rPr>
      <w:sz w:val="24"/>
      <w:szCs w:val="24"/>
      <w:lang w:val="uk-UA"/>
    </w:rPr>
  </w:style>
  <w:style w:type="character" w:customStyle="1" w:styleId="ac">
    <w:name w:val="Нижний колонтитул Знак"/>
    <w:link w:val="ab"/>
    <w:rsid w:val="00262106"/>
    <w:rPr>
      <w:sz w:val="24"/>
      <w:szCs w:val="24"/>
    </w:rPr>
  </w:style>
  <w:style w:type="character" w:customStyle="1" w:styleId="24">
    <w:name w:val="Основной текст с отступом 2 Знак"/>
    <w:link w:val="23"/>
    <w:rsid w:val="00262106"/>
    <w:rPr>
      <w:color w:val="FF0000"/>
      <w:sz w:val="24"/>
      <w:szCs w:val="24"/>
      <w:lang w:val="uk-UA"/>
    </w:rPr>
  </w:style>
  <w:style w:type="character" w:customStyle="1" w:styleId="ae">
    <w:name w:val="Основной текст Знак"/>
    <w:link w:val="ad"/>
    <w:rsid w:val="00262106"/>
    <w:rPr>
      <w:color w:val="FF0000"/>
      <w:lang w:val="uk-UA"/>
    </w:rPr>
  </w:style>
  <w:style w:type="character" w:customStyle="1" w:styleId="34">
    <w:name w:val="Основной текст 3 Знак"/>
    <w:link w:val="33"/>
    <w:rsid w:val="00262106"/>
    <w:rPr>
      <w:sz w:val="24"/>
      <w:lang w:val="uk-UA"/>
    </w:rPr>
  </w:style>
  <w:style w:type="numbering" w:customStyle="1" w:styleId="81">
    <w:name w:val="Импортированный стиль 81"/>
    <w:rsid w:val="00262106"/>
    <w:pPr>
      <w:numPr>
        <w:numId w:val="5"/>
      </w:numPr>
    </w:pPr>
  </w:style>
  <w:style w:type="numbering" w:customStyle="1" w:styleId="71">
    <w:name w:val="Импортированный стиль 71"/>
    <w:rsid w:val="00262106"/>
    <w:pPr>
      <w:numPr>
        <w:numId w:val="6"/>
      </w:numPr>
    </w:pPr>
  </w:style>
  <w:style w:type="character" w:styleId="affa">
    <w:name w:val="Emphasis"/>
    <w:uiPriority w:val="20"/>
    <w:qFormat/>
    <w:rsid w:val="003850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438">
      <w:bodyDiv w:val="1"/>
      <w:marLeft w:val="0"/>
      <w:marRight w:val="0"/>
      <w:marTop w:val="0"/>
      <w:marBottom w:val="0"/>
      <w:divBdr>
        <w:top w:val="none" w:sz="0" w:space="0" w:color="auto"/>
        <w:left w:val="none" w:sz="0" w:space="0" w:color="auto"/>
        <w:bottom w:val="none" w:sz="0" w:space="0" w:color="auto"/>
        <w:right w:val="none" w:sz="0" w:space="0" w:color="auto"/>
      </w:divBdr>
    </w:div>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04546548">
      <w:bodyDiv w:val="1"/>
      <w:marLeft w:val="0"/>
      <w:marRight w:val="0"/>
      <w:marTop w:val="0"/>
      <w:marBottom w:val="0"/>
      <w:divBdr>
        <w:top w:val="none" w:sz="0" w:space="0" w:color="auto"/>
        <w:left w:val="none" w:sz="0" w:space="0" w:color="auto"/>
        <w:bottom w:val="none" w:sz="0" w:space="0" w:color="auto"/>
        <w:right w:val="none" w:sz="0" w:space="0" w:color="auto"/>
      </w:divBdr>
    </w:div>
    <w:div w:id="105854296">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239407648">
      <w:bodyDiv w:val="1"/>
      <w:marLeft w:val="0"/>
      <w:marRight w:val="0"/>
      <w:marTop w:val="0"/>
      <w:marBottom w:val="0"/>
      <w:divBdr>
        <w:top w:val="none" w:sz="0" w:space="0" w:color="auto"/>
        <w:left w:val="none" w:sz="0" w:space="0" w:color="auto"/>
        <w:bottom w:val="none" w:sz="0" w:space="0" w:color="auto"/>
        <w:right w:val="none" w:sz="0" w:space="0" w:color="auto"/>
      </w:divBdr>
    </w:div>
    <w:div w:id="245697727">
      <w:bodyDiv w:val="1"/>
      <w:marLeft w:val="0"/>
      <w:marRight w:val="0"/>
      <w:marTop w:val="0"/>
      <w:marBottom w:val="0"/>
      <w:divBdr>
        <w:top w:val="none" w:sz="0" w:space="0" w:color="auto"/>
        <w:left w:val="none" w:sz="0" w:space="0" w:color="auto"/>
        <w:bottom w:val="none" w:sz="0" w:space="0" w:color="auto"/>
        <w:right w:val="none" w:sz="0" w:space="0" w:color="auto"/>
      </w:divBdr>
    </w:div>
    <w:div w:id="248005698">
      <w:bodyDiv w:val="1"/>
      <w:marLeft w:val="0"/>
      <w:marRight w:val="0"/>
      <w:marTop w:val="0"/>
      <w:marBottom w:val="0"/>
      <w:divBdr>
        <w:top w:val="none" w:sz="0" w:space="0" w:color="auto"/>
        <w:left w:val="none" w:sz="0" w:space="0" w:color="auto"/>
        <w:bottom w:val="none" w:sz="0" w:space="0" w:color="auto"/>
        <w:right w:val="none" w:sz="0" w:space="0" w:color="auto"/>
      </w:divBdr>
    </w:div>
    <w:div w:id="320280350">
      <w:bodyDiv w:val="1"/>
      <w:marLeft w:val="0"/>
      <w:marRight w:val="0"/>
      <w:marTop w:val="0"/>
      <w:marBottom w:val="0"/>
      <w:divBdr>
        <w:top w:val="none" w:sz="0" w:space="0" w:color="auto"/>
        <w:left w:val="none" w:sz="0" w:space="0" w:color="auto"/>
        <w:bottom w:val="none" w:sz="0" w:space="0" w:color="auto"/>
        <w:right w:val="none" w:sz="0" w:space="0" w:color="auto"/>
      </w:divBdr>
    </w:div>
    <w:div w:id="324479127">
      <w:bodyDiv w:val="1"/>
      <w:marLeft w:val="0"/>
      <w:marRight w:val="0"/>
      <w:marTop w:val="0"/>
      <w:marBottom w:val="0"/>
      <w:divBdr>
        <w:top w:val="none" w:sz="0" w:space="0" w:color="auto"/>
        <w:left w:val="none" w:sz="0" w:space="0" w:color="auto"/>
        <w:bottom w:val="none" w:sz="0" w:space="0" w:color="auto"/>
        <w:right w:val="none" w:sz="0" w:space="0" w:color="auto"/>
      </w:divBdr>
    </w:div>
    <w:div w:id="334041396">
      <w:bodyDiv w:val="1"/>
      <w:marLeft w:val="0"/>
      <w:marRight w:val="0"/>
      <w:marTop w:val="0"/>
      <w:marBottom w:val="0"/>
      <w:divBdr>
        <w:top w:val="none" w:sz="0" w:space="0" w:color="auto"/>
        <w:left w:val="none" w:sz="0" w:space="0" w:color="auto"/>
        <w:bottom w:val="none" w:sz="0" w:space="0" w:color="auto"/>
        <w:right w:val="none" w:sz="0" w:space="0" w:color="auto"/>
      </w:divBdr>
    </w:div>
    <w:div w:id="433553158">
      <w:bodyDiv w:val="1"/>
      <w:marLeft w:val="0"/>
      <w:marRight w:val="0"/>
      <w:marTop w:val="0"/>
      <w:marBottom w:val="0"/>
      <w:divBdr>
        <w:top w:val="none" w:sz="0" w:space="0" w:color="auto"/>
        <w:left w:val="none" w:sz="0" w:space="0" w:color="auto"/>
        <w:bottom w:val="none" w:sz="0" w:space="0" w:color="auto"/>
        <w:right w:val="none" w:sz="0" w:space="0" w:color="auto"/>
      </w:divBdr>
    </w:div>
    <w:div w:id="476921848">
      <w:bodyDiv w:val="1"/>
      <w:marLeft w:val="0"/>
      <w:marRight w:val="0"/>
      <w:marTop w:val="0"/>
      <w:marBottom w:val="0"/>
      <w:divBdr>
        <w:top w:val="none" w:sz="0" w:space="0" w:color="auto"/>
        <w:left w:val="none" w:sz="0" w:space="0" w:color="auto"/>
        <w:bottom w:val="none" w:sz="0" w:space="0" w:color="auto"/>
        <w:right w:val="none" w:sz="0" w:space="0" w:color="auto"/>
      </w:divBdr>
    </w:div>
    <w:div w:id="644701249">
      <w:bodyDiv w:val="1"/>
      <w:marLeft w:val="0"/>
      <w:marRight w:val="0"/>
      <w:marTop w:val="0"/>
      <w:marBottom w:val="0"/>
      <w:divBdr>
        <w:top w:val="none" w:sz="0" w:space="0" w:color="auto"/>
        <w:left w:val="none" w:sz="0" w:space="0" w:color="auto"/>
        <w:bottom w:val="none" w:sz="0" w:space="0" w:color="auto"/>
        <w:right w:val="none" w:sz="0" w:space="0" w:color="auto"/>
      </w:divBdr>
    </w:div>
    <w:div w:id="725565882">
      <w:bodyDiv w:val="1"/>
      <w:marLeft w:val="0"/>
      <w:marRight w:val="0"/>
      <w:marTop w:val="0"/>
      <w:marBottom w:val="0"/>
      <w:divBdr>
        <w:top w:val="none" w:sz="0" w:space="0" w:color="auto"/>
        <w:left w:val="none" w:sz="0" w:space="0" w:color="auto"/>
        <w:bottom w:val="none" w:sz="0" w:space="0" w:color="auto"/>
        <w:right w:val="none" w:sz="0" w:space="0" w:color="auto"/>
      </w:divBdr>
    </w:div>
    <w:div w:id="733547394">
      <w:bodyDiv w:val="1"/>
      <w:marLeft w:val="0"/>
      <w:marRight w:val="0"/>
      <w:marTop w:val="0"/>
      <w:marBottom w:val="0"/>
      <w:divBdr>
        <w:top w:val="none" w:sz="0" w:space="0" w:color="auto"/>
        <w:left w:val="none" w:sz="0" w:space="0" w:color="auto"/>
        <w:bottom w:val="none" w:sz="0" w:space="0" w:color="auto"/>
        <w:right w:val="none" w:sz="0" w:space="0" w:color="auto"/>
      </w:divBdr>
    </w:div>
    <w:div w:id="735007728">
      <w:bodyDiv w:val="1"/>
      <w:marLeft w:val="0"/>
      <w:marRight w:val="0"/>
      <w:marTop w:val="0"/>
      <w:marBottom w:val="0"/>
      <w:divBdr>
        <w:top w:val="none" w:sz="0" w:space="0" w:color="auto"/>
        <w:left w:val="none" w:sz="0" w:space="0" w:color="auto"/>
        <w:bottom w:val="none" w:sz="0" w:space="0" w:color="auto"/>
        <w:right w:val="none" w:sz="0" w:space="0" w:color="auto"/>
      </w:divBdr>
    </w:div>
    <w:div w:id="764880919">
      <w:bodyDiv w:val="1"/>
      <w:marLeft w:val="0"/>
      <w:marRight w:val="0"/>
      <w:marTop w:val="0"/>
      <w:marBottom w:val="0"/>
      <w:divBdr>
        <w:top w:val="none" w:sz="0" w:space="0" w:color="auto"/>
        <w:left w:val="none" w:sz="0" w:space="0" w:color="auto"/>
        <w:bottom w:val="none" w:sz="0" w:space="0" w:color="auto"/>
        <w:right w:val="none" w:sz="0" w:space="0" w:color="auto"/>
      </w:divBdr>
    </w:div>
    <w:div w:id="816335930">
      <w:bodyDiv w:val="1"/>
      <w:marLeft w:val="0"/>
      <w:marRight w:val="0"/>
      <w:marTop w:val="0"/>
      <w:marBottom w:val="0"/>
      <w:divBdr>
        <w:top w:val="none" w:sz="0" w:space="0" w:color="auto"/>
        <w:left w:val="none" w:sz="0" w:space="0" w:color="auto"/>
        <w:bottom w:val="none" w:sz="0" w:space="0" w:color="auto"/>
        <w:right w:val="none" w:sz="0" w:space="0" w:color="auto"/>
      </w:divBdr>
    </w:div>
    <w:div w:id="859516312">
      <w:bodyDiv w:val="1"/>
      <w:marLeft w:val="0"/>
      <w:marRight w:val="0"/>
      <w:marTop w:val="0"/>
      <w:marBottom w:val="0"/>
      <w:divBdr>
        <w:top w:val="none" w:sz="0" w:space="0" w:color="auto"/>
        <w:left w:val="none" w:sz="0" w:space="0" w:color="auto"/>
        <w:bottom w:val="none" w:sz="0" w:space="0" w:color="auto"/>
        <w:right w:val="none" w:sz="0" w:space="0" w:color="auto"/>
      </w:divBdr>
    </w:div>
    <w:div w:id="906114183">
      <w:bodyDiv w:val="1"/>
      <w:marLeft w:val="0"/>
      <w:marRight w:val="0"/>
      <w:marTop w:val="0"/>
      <w:marBottom w:val="0"/>
      <w:divBdr>
        <w:top w:val="none" w:sz="0" w:space="0" w:color="auto"/>
        <w:left w:val="none" w:sz="0" w:space="0" w:color="auto"/>
        <w:bottom w:val="none" w:sz="0" w:space="0" w:color="auto"/>
        <w:right w:val="none" w:sz="0" w:space="0" w:color="auto"/>
      </w:divBdr>
    </w:div>
    <w:div w:id="917055730">
      <w:bodyDiv w:val="1"/>
      <w:marLeft w:val="0"/>
      <w:marRight w:val="0"/>
      <w:marTop w:val="0"/>
      <w:marBottom w:val="0"/>
      <w:divBdr>
        <w:top w:val="none" w:sz="0" w:space="0" w:color="auto"/>
        <w:left w:val="none" w:sz="0" w:space="0" w:color="auto"/>
        <w:bottom w:val="none" w:sz="0" w:space="0" w:color="auto"/>
        <w:right w:val="none" w:sz="0" w:space="0" w:color="auto"/>
      </w:divBdr>
    </w:div>
    <w:div w:id="931553676">
      <w:bodyDiv w:val="1"/>
      <w:marLeft w:val="0"/>
      <w:marRight w:val="0"/>
      <w:marTop w:val="0"/>
      <w:marBottom w:val="0"/>
      <w:divBdr>
        <w:top w:val="none" w:sz="0" w:space="0" w:color="auto"/>
        <w:left w:val="none" w:sz="0" w:space="0" w:color="auto"/>
        <w:bottom w:val="none" w:sz="0" w:space="0" w:color="auto"/>
        <w:right w:val="none" w:sz="0" w:space="0" w:color="auto"/>
      </w:divBdr>
    </w:div>
    <w:div w:id="948588171">
      <w:bodyDiv w:val="1"/>
      <w:marLeft w:val="0"/>
      <w:marRight w:val="0"/>
      <w:marTop w:val="0"/>
      <w:marBottom w:val="0"/>
      <w:divBdr>
        <w:top w:val="none" w:sz="0" w:space="0" w:color="auto"/>
        <w:left w:val="none" w:sz="0" w:space="0" w:color="auto"/>
        <w:bottom w:val="none" w:sz="0" w:space="0" w:color="auto"/>
        <w:right w:val="none" w:sz="0" w:space="0" w:color="auto"/>
      </w:divBdr>
    </w:div>
    <w:div w:id="950891528">
      <w:bodyDiv w:val="1"/>
      <w:marLeft w:val="0"/>
      <w:marRight w:val="0"/>
      <w:marTop w:val="0"/>
      <w:marBottom w:val="0"/>
      <w:divBdr>
        <w:top w:val="none" w:sz="0" w:space="0" w:color="auto"/>
        <w:left w:val="none" w:sz="0" w:space="0" w:color="auto"/>
        <w:bottom w:val="none" w:sz="0" w:space="0" w:color="auto"/>
        <w:right w:val="none" w:sz="0" w:space="0" w:color="auto"/>
      </w:divBdr>
    </w:div>
    <w:div w:id="1057969238">
      <w:bodyDiv w:val="1"/>
      <w:marLeft w:val="0"/>
      <w:marRight w:val="0"/>
      <w:marTop w:val="0"/>
      <w:marBottom w:val="0"/>
      <w:divBdr>
        <w:top w:val="none" w:sz="0" w:space="0" w:color="auto"/>
        <w:left w:val="none" w:sz="0" w:space="0" w:color="auto"/>
        <w:bottom w:val="none" w:sz="0" w:space="0" w:color="auto"/>
        <w:right w:val="none" w:sz="0" w:space="0" w:color="auto"/>
      </w:divBdr>
    </w:div>
    <w:div w:id="1088160159">
      <w:bodyDiv w:val="1"/>
      <w:marLeft w:val="0"/>
      <w:marRight w:val="0"/>
      <w:marTop w:val="0"/>
      <w:marBottom w:val="0"/>
      <w:divBdr>
        <w:top w:val="none" w:sz="0" w:space="0" w:color="auto"/>
        <w:left w:val="none" w:sz="0" w:space="0" w:color="auto"/>
        <w:bottom w:val="none" w:sz="0" w:space="0" w:color="auto"/>
        <w:right w:val="none" w:sz="0" w:space="0" w:color="auto"/>
      </w:divBdr>
    </w:div>
    <w:div w:id="1134255669">
      <w:bodyDiv w:val="1"/>
      <w:marLeft w:val="0"/>
      <w:marRight w:val="0"/>
      <w:marTop w:val="0"/>
      <w:marBottom w:val="0"/>
      <w:divBdr>
        <w:top w:val="none" w:sz="0" w:space="0" w:color="auto"/>
        <w:left w:val="none" w:sz="0" w:space="0" w:color="auto"/>
        <w:bottom w:val="none" w:sz="0" w:space="0" w:color="auto"/>
        <w:right w:val="none" w:sz="0" w:space="0" w:color="auto"/>
      </w:divBdr>
    </w:div>
    <w:div w:id="1151600983">
      <w:bodyDiv w:val="1"/>
      <w:marLeft w:val="0"/>
      <w:marRight w:val="0"/>
      <w:marTop w:val="0"/>
      <w:marBottom w:val="0"/>
      <w:divBdr>
        <w:top w:val="none" w:sz="0" w:space="0" w:color="auto"/>
        <w:left w:val="none" w:sz="0" w:space="0" w:color="auto"/>
        <w:bottom w:val="none" w:sz="0" w:space="0" w:color="auto"/>
        <w:right w:val="none" w:sz="0" w:space="0" w:color="auto"/>
      </w:divBdr>
    </w:div>
    <w:div w:id="1165318666">
      <w:bodyDiv w:val="1"/>
      <w:marLeft w:val="0"/>
      <w:marRight w:val="0"/>
      <w:marTop w:val="0"/>
      <w:marBottom w:val="0"/>
      <w:divBdr>
        <w:top w:val="none" w:sz="0" w:space="0" w:color="auto"/>
        <w:left w:val="none" w:sz="0" w:space="0" w:color="auto"/>
        <w:bottom w:val="none" w:sz="0" w:space="0" w:color="auto"/>
        <w:right w:val="none" w:sz="0" w:space="0" w:color="auto"/>
      </w:divBdr>
    </w:div>
    <w:div w:id="1231038037">
      <w:bodyDiv w:val="1"/>
      <w:marLeft w:val="0"/>
      <w:marRight w:val="0"/>
      <w:marTop w:val="0"/>
      <w:marBottom w:val="0"/>
      <w:divBdr>
        <w:top w:val="none" w:sz="0" w:space="0" w:color="auto"/>
        <w:left w:val="none" w:sz="0" w:space="0" w:color="auto"/>
        <w:bottom w:val="none" w:sz="0" w:space="0" w:color="auto"/>
        <w:right w:val="none" w:sz="0" w:space="0" w:color="auto"/>
      </w:divBdr>
    </w:div>
    <w:div w:id="1281717004">
      <w:bodyDiv w:val="1"/>
      <w:marLeft w:val="0"/>
      <w:marRight w:val="0"/>
      <w:marTop w:val="0"/>
      <w:marBottom w:val="0"/>
      <w:divBdr>
        <w:top w:val="none" w:sz="0" w:space="0" w:color="auto"/>
        <w:left w:val="none" w:sz="0" w:space="0" w:color="auto"/>
        <w:bottom w:val="none" w:sz="0" w:space="0" w:color="auto"/>
        <w:right w:val="none" w:sz="0" w:space="0" w:color="auto"/>
      </w:divBdr>
    </w:div>
    <w:div w:id="1302537835">
      <w:bodyDiv w:val="1"/>
      <w:marLeft w:val="0"/>
      <w:marRight w:val="0"/>
      <w:marTop w:val="0"/>
      <w:marBottom w:val="0"/>
      <w:divBdr>
        <w:top w:val="none" w:sz="0" w:space="0" w:color="auto"/>
        <w:left w:val="none" w:sz="0" w:space="0" w:color="auto"/>
        <w:bottom w:val="none" w:sz="0" w:space="0" w:color="auto"/>
        <w:right w:val="none" w:sz="0" w:space="0" w:color="auto"/>
      </w:divBdr>
    </w:div>
    <w:div w:id="1316959174">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334455782">
      <w:bodyDiv w:val="1"/>
      <w:marLeft w:val="0"/>
      <w:marRight w:val="0"/>
      <w:marTop w:val="0"/>
      <w:marBottom w:val="0"/>
      <w:divBdr>
        <w:top w:val="none" w:sz="0" w:space="0" w:color="auto"/>
        <w:left w:val="none" w:sz="0" w:space="0" w:color="auto"/>
        <w:bottom w:val="none" w:sz="0" w:space="0" w:color="auto"/>
        <w:right w:val="none" w:sz="0" w:space="0" w:color="auto"/>
      </w:divBdr>
      <w:divsChild>
        <w:div w:id="252321013">
          <w:marLeft w:val="0"/>
          <w:marRight w:val="0"/>
          <w:marTop w:val="0"/>
          <w:marBottom w:val="0"/>
          <w:divBdr>
            <w:top w:val="none" w:sz="0" w:space="0" w:color="auto"/>
            <w:left w:val="none" w:sz="0" w:space="0" w:color="auto"/>
            <w:bottom w:val="none" w:sz="0" w:space="0" w:color="auto"/>
            <w:right w:val="none" w:sz="0" w:space="0" w:color="auto"/>
          </w:divBdr>
        </w:div>
        <w:div w:id="326712352">
          <w:marLeft w:val="0"/>
          <w:marRight w:val="0"/>
          <w:marTop w:val="0"/>
          <w:marBottom w:val="0"/>
          <w:divBdr>
            <w:top w:val="none" w:sz="0" w:space="0" w:color="auto"/>
            <w:left w:val="none" w:sz="0" w:space="0" w:color="auto"/>
            <w:bottom w:val="none" w:sz="0" w:space="0" w:color="auto"/>
            <w:right w:val="none" w:sz="0" w:space="0" w:color="auto"/>
          </w:divBdr>
        </w:div>
        <w:div w:id="538929924">
          <w:marLeft w:val="0"/>
          <w:marRight w:val="0"/>
          <w:marTop w:val="0"/>
          <w:marBottom w:val="0"/>
          <w:divBdr>
            <w:top w:val="none" w:sz="0" w:space="0" w:color="auto"/>
            <w:left w:val="none" w:sz="0" w:space="0" w:color="auto"/>
            <w:bottom w:val="none" w:sz="0" w:space="0" w:color="auto"/>
            <w:right w:val="none" w:sz="0" w:space="0" w:color="auto"/>
          </w:divBdr>
        </w:div>
        <w:div w:id="672344201">
          <w:marLeft w:val="0"/>
          <w:marRight w:val="0"/>
          <w:marTop w:val="0"/>
          <w:marBottom w:val="0"/>
          <w:divBdr>
            <w:top w:val="none" w:sz="0" w:space="0" w:color="auto"/>
            <w:left w:val="none" w:sz="0" w:space="0" w:color="auto"/>
            <w:bottom w:val="none" w:sz="0" w:space="0" w:color="auto"/>
            <w:right w:val="none" w:sz="0" w:space="0" w:color="auto"/>
          </w:divBdr>
        </w:div>
        <w:div w:id="746074550">
          <w:marLeft w:val="0"/>
          <w:marRight w:val="0"/>
          <w:marTop w:val="0"/>
          <w:marBottom w:val="0"/>
          <w:divBdr>
            <w:top w:val="none" w:sz="0" w:space="0" w:color="auto"/>
            <w:left w:val="none" w:sz="0" w:space="0" w:color="auto"/>
            <w:bottom w:val="none" w:sz="0" w:space="0" w:color="auto"/>
            <w:right w:val="none" w:sz="0" w:space="0" w:color="auto"/>
          </w:divBdr>
        </w:div>
        <w:div w:id="809591059">
          <w:marLeft w:val="0"/>
          <w:marRight w:val="0"/>
          <w:marTop w:val="0"/>
          <w:marBottom w:val="0"/>
          <w:divBdr>
            <w:top w:val="none" w:sz="0" w:space="0" w:color="auto"/>
            <w:left w:val="none" w:sz="0" w:space="0" w:color="auto"/>
            <w:bottom w:val="none" w:sz="0" w:space="0" w:color="auto"/>
            <w:right w:val="none" w:sz="0" w:space="0" w:color="auto"/>
          </w:divBdr>
        </w:div>
        <w:div w:id="848788834">
          <w:marLeft w:val="0"/>
          <w:marRight w:val="0"/>
          <w:marTop w:val="0"/>
          <w:marBottom w:val="0"/>
          <w:divBdr>
            <w:top w:val="none" w:sz="0" w:space="0" w:color="auto"/>
            <w:left w:val="none" w:sz="0" w:space="0" w:color="auto"/>
            <w:bottom w:val="none" w:sz="0" w:space="0" w:color="auto"/>
            <w:right w:val="none" w:sz="0" w:space="0" w:color="auto"/>
          </w:divBdr>
        </w:div>
        <w:div w:id="850877147">
          <w:marLeft w:val="0"/>
          <w:marRight w:val="0"/>
          <w:marTop w:val="0"/>
          <w:marBottom w:val="0"/>
          <w:divBdr>
            <w:top w:val="none" w:sz="0" w:space="0" w:color="auto"/>
            <w:left w:val="none" w:sz="0" w:space="0" w:color="auto"/>
            <w:bottom w:val="none" w:sz="0" w:space="0" w:color="auto"/>
            <w:right w:val="none" w:sz="0" w:space="0" w:color="auto"/>
          </w:divBdr>
        </w:div>
        <w:div w:id="883252611">
          <w:marLeft w:val="0"/>
          <w:marRight w:val="0"/>
          <w:marTop w:val="0"/>
          <w:marBottom w:val="0"/>
          <w:divBdr>
            <w:top w:val="none" w:sz="0" w:space="0" w:color="auto"/>
            <w:left w:val="none" w:sz="0" w:space="0" w:color="auto"/>
            <w:bottom w:val="none" w:sz="0" w:space="0" w:color="auto"/>
            <w:right w:val="none" w:sz="0" w:space="0" w:color="auto"/>
          </w:divBdr>
        </w:div>
        <w:div w:id="961884505">
          <w:marLeft w:val="0"/>
          <w:marRight w:val="0"/>
          <w:marTop w:val="0"/>
          <w:marBottom w:val="0"/>
          <w:divBdr>
            <w:top w:val="none" w:sz="0" w:space="0" w:color="auto"/>
            <w:left w:val="none" w:sz="0" w:space="0" w:color="auto"/>
            <w:bottom w:val="none" w:sz="0" w:space="0" w:color="auto"/>
            <w:right w:val="none" w:sz="0" w:space="0" w:color="auto"/>
          </w:divBdr>
        </w:div>
        <w:div w:id="963996728">
          <w:marLeft w:val="0"/>
          <w:marRight w:val="0"/>
          <w:marTop w:val="0"/>
          <w:marBottom w:val="0"/>
          <w:divBdr>
            <w:top w:val="none" w:sz="0" w:space="0" w:color="auto"/>
            <w:left w:val="none" w:sz="0" w:space="0" w:color="auto"/>
            <w:bottom w:val="none" w:sz="0" w:space="0" w:color="auto"/>
            <w:right w:val="none" w:sz="0" w:space="0" w:color="auto"/>
          </w:divBdr>
        </w:div>
        <w:div w:id="995963239">
          <w:marLeft w:val="0"/>
          <w:marRight w:val="0"/>
          <w:marTop w:val="0"/>
          <w:marBottom w:val="0"/>
          <w:divBdr>
            <w:top w:val="none" w:sz="0" w:space="0" w:color="auto"/>
            <w:left w:val="none" w:sz="0" w:space="0" w:color="auto"/>
            <w:bottom w:val="none" w:sz="0" w:space="0" w:color="auto"/>
            <w:right w:val="none" w:sz="0" w:space="0" w:color="auto"/>
          </w:divBdr>
        </w:div>
        <w:div w:id="1025903168">
          <w:marLeft w:val="0"/>
          <w:marRight w:val="0"/>
          <w:marTop w:val="0"/>
          <w:marBottom w:val="0"/>
          <w:divBdr>
            <w:top w:val="none" w:sz="0" w:space="0" w:color="auto"/>
            <w:left w:val="none" w:sz="0" w:space="0" w:color="auto"/>
            <w:bottom w:val="none" w:sz="0" w:space="0" w:color="auto"/>
            <w:right w:val="none" w:sz="0" w:space="0" w:color="auto"/>
          </w:divBdr>
        </w:div>
        <w:div w:id="1069616941">
          <w:marLeft w:val="0"/>
          <w:marRight w:val="0"/>
          <w:marTop w:val="0"/>
          <w:marBottom w:val="0"/>
          <w:divBdr>
            <w:top w:val="none" w:sz="0" w:space="0" w:color="auto"/>
            <w:left w:val="none" w:sz="0" w:space="0" w:color="auto"/>
            <w:bottom w:val="none" w:sz="0" w:space="0" w:color="auto"/>
            <w:right w:val="none" w:sz="0" w:space="0" w:color="auto"/>
          </w:divBdr>
        </w:div>
        <w:div w:id="1404643541">
          <w:marLeft w:val="0"/>
          <w:marRight w:val="0"/>
          <w:marTop w:val="0"/>
          <w:marBottom w:val="0"/>
          <w:divBdr>
            <w:top w:val="none" w:sz="0" w:space="0" w:color="auto"/>
            <w:left w:val="none" w:sz="0" w:space="0" w:color="auto"/>
            <w:bottom w:val="none" w:sz="0" w:space="0" w:color="auto"/>
            <w:right w:val="none" w:sz="0" w:space="0" w:color="auto"/>
          </w:divBdr>
        </w:div>
        <w:div w:id="1469594136">
          <w:marLeft w:val="0"/>
          <w:marRight w:val="0"/>
          <w:marTop w:val="0"/>
          <w:marBottom w:val="0"/>
          <w:divBdr>
            <w:top w:val="none" w:sz="0" w:space="0" w:color="auto"/>
            <w:left w:val="none" w:sz="0" w:space="0" w:color="auto"/>
            <w:bottom w:val="none" w:sz="0" w:space="0" w:color="auto"/>
            <w:right w:val="none" w:sz="0" w:space="0" w:color="auto"/>
          </w:divBdr>
        </w:div>
        <w:div w:id="1582257898">
          <w:marLeft w:val="0"/>
          <w:marRight w:val="0"/>
          <w:marTop w:val="0"/>
          <w:marBottom w:val="0"/>
          <w:divBdr>
            <w:top w:val="none" w:sz="0" w:space="0" w:color="auto"/>
            <w:left w:val="none" w:sz="0" w:space="0" w:color="auto"/>
            <w:bottom w:val="none" w:sz="0" w:space="0" w:color="auto"/>
            <w:right w:val="none" w:sz="0" w:space="0" w:color="auto"/>
          </w:divBdr>
        </w:div>
        <w:div w:id="1661420171">
          <w:marLeft w:val="0"/>
          <w:marRight w:val="0"/>
          <w:marTop w:val="0"/>
          <w:marBottom w:val="0"/>
          <w:divBdr>
            <w:top w:val="none" w:sz="0" w:space="0" w:color="auto"/>
            <w:left w:val="none" w:sz="0" w:space="0" w:color="auto"/>
            <w:bottom w:val="none" w:sz="0" w:space="0" w:color="auto"/>
            <w:right w:val="none" w:sz="0" w:space="0" w:color="auto"/>
          </w:divBdr>
        </w:div>
        <w:div w:id="1755011043">
          <w:marLeft w:val="0"/>
          <w:marRight w:val="0"/>
          <w:marTop w:val="0"/>
          <w:marBottom w:val="0"/>
          <w:divBdr>
            <w:top w:val="none" w:sz="0" w:space="0" w:color="auto"/>
            <w:left w:val="none" w:sz="0" w:space="0" w:color="auto"/>
            <w:bottom w:val="none" w:sz="0" w:space="0" w:color="auto"/>
            <w:right w:val="none" w:sz="0" w:space="0" w:color="auto"/>
          </w:divBdr>
        </w:div>
        <w:div w:id="1974478583">
          <w:marLeft w:val="0"/>
          <w:marRight w:val="0"/>
          <w:marTop w:val="0"/>
          <w:marBottom w:val="0"/>
          <w:divBdr>
            <w:top w:val="none" w:sz="0" w:space="0" w:color="auto"/>
            <w:left w:val="none" w:sz="0" w:space="0" w:color="auto"/>
            <w:bottom w:val="none" w:sz="0" w:space="0" w:color="auto"/>
            <w:right w:val="none" w:sz="0" w:space="0" w:color="auto"/>
          </w:divBdr>
        </w:div>
        <w:div w:id="2099983742">
          <w:marLeft w:val="0"/>
          <w:marRight w:val="0"/>
          <w:marTop w:val="0"/>
          <w:marBottom w:val="0"/>
          <w:divBdr>
            <w:top w:val="none" w:sz="0" w:space="0" w:color="auto"/>
            <w:left w:val="none" w:sz="0" w:space="0" w:color="auto"/>
            <w:bottom w:val="none" w:sz="0" w:space="0" w:color="auto"/>
            <w:right w:val="none" w:sz="0" w:space="0" w:color="auto"/>
          </w:divBdr>
        </w:div>
      </w:divsChild>
    </w:div>
    <w:div w:id="1351026638">
      <w:bodyDiv w:val="1"/>
      <w:marLeft w:val="0"/>
      <w:marRight w:val="0"/>
      <w:marTop w:val="0"/>
      <w:marBottom w:val="0"/>
      <w:divBdr>
        <w:top w:val="none" w:sz="0" w:space="0" w:color="auto"/>
        <w:left w:val="none" w:sz="0" w:space="0" w:color="auto"/>
        <w:bottom w:val="none" w:sz="0" w:space="0" w:color="auto"/>
        <w:right w:val="none" w:sz="0" w:space="0" w:color="auto"/>
      </w:divBdr>
    </w:div>
    <w:div w:id="1408920282">
      <w:bodyDiv w:val="1"/>
      <w:marLeft w:val="0"/>
      <w:marRight w:val="0"/>
      <w:marTop w:val="0"/>
      <w:marBottom w:val="0"/>
      <w:divBdr>
        <w:top w:val="none" w:sz="0" w:space="0" w:color="auto"/>
        <w:left w:val="none" w:sz="0" w:space="0" w:color="auto"/>
        <w:bottom w:val="none" w:sz="0" w:space="0" w:color="auto"/>
        <w:right w:val="none" w:sz="0" w:space="0" w:color="auto"/>
      </w:divBdr>
      <w:divsChild>
        <w:div w:id="664825471">
          <w:marLeft w:val="0"/>
          <w:marRight w:val="0"/>
          <w:marTop w:val="0"/>
          <w:marBottom w:val="0"/>
          <w:divBdr>
            <w:top w:val="none" w:sz="0" w:space="0" w:color="auto"/>
            <w:left w:val="none" w:sz="0" w:space="0" w:color="auto"/>
            <w:bottom w:val="none" w:sz="0" w:space="0" w:color="auto"/>
            <w:right w:val="none" w:sz="0" w:space="0" w:color="auto"/>
          </w:divBdr>
        </w:div>
      </w:divsChild>
    </w:div>
    <w:div w:id="1467116665">
      <w:bodyDiv w:val="1"/>
      <w:marLeft w:val="0"/>
      <w:marRight w:val="0"/>
      <w:marTop w:val="0"/>
      <w:marBottom w:val="0"/>
      <w:divBdr>
        <w:top w:val="none" w:sz="0" w:space="0" w:color="auto"/>
        <w:left w:val="none" w:sz="0" w:space="0" w:color="auto"/>
        <w:bottom w:val="none" w:sz="0" w:space="0" w:color="auto"/>
        <w:right w:val="none" w:sz="0" w:space="0" w:color="auto"/>
      </w:divBdr>
    </w:div>
    <w:div w:id="1480881865">
      <w:bodyDiv w:val="1"/>
      <w:marLeft w:val="0"/>
      <w:marRight w:val="0"/>
      <w:marTop w:val="0"/>
      <w:marBottom w:val="0"/>
      <w:divBdr>
        <w:top w:val="none" w:sz="0" w:space="0" w:color="auto"/>
        <w:left w:val="none" w:sz="0" w:space="0" w:color="auto"/>
        <w:bottom w:val="none" w:sz="0" w:space="0" w:color="auto"/>
        <w:right w:val="none" w:sz="0" w:space="0" w:color="auto"/>
      </w:divBdr>
    </w:div>
    <w:div w:id="1550268315">
      <w:bodyDiv w:val="1"/>
      <w:marLeft w:val="0"/>
      <w:marRight w:val="0"/>
      <w:marTop w:val="0"/>
      <w:marBottom w:val="0"/>
      <w:divBdr>
        <w:top w:val="none" w:sz="0" w:space="0" w:color="auto"/>
        <w:left w:val="none" w:sz="0" w:space="0" w:color="auto"/>
        <w:bottom w:val="none" w:sz="0" w:space="0" w:color="auto"/>
        <w:right w:val="none" w:sz="0" w:space="0" w:color="auto"/>
      </w:divBdr>
    </w:div>
    <w:div w:id="1578513359">
      <w:bodyDiv w:val="1"/>
      <w:marLeft w:val="0"/>
      <w:marRight w:val="0"/>
      <w:marTop w:val="0"/>
      <w:marBottom w:val="0"/>
      <w:divBdr>
        <w:top w:val="none" w:sz="0" w:space="0" w:color="auto"/>
        <w:left w:val="none" w:sz="0" w:space="0" w:color="auto"/>
        <w:bottom w:val="none" w:sz="0" w:space="0" w:color="auto"/>
        <w:right w:val="none" w:sz="0" w:space="0" w:color="auto"/>
      </w:divBdr>
    </w:div>
    <w:div w:id="1579290962">
      <w:bodyDiv w:val="1"/>
      <w:marLeft w:val="0"/>
      <w:marRight w:val="0"/>
      <w:marTop w:val="0"/>
      <w:marBottom w:val="0"/>
      <w:divBdr>
        <w:top w:val="none" w:sz="0" w:space="0" w:color="auto"/>
        <w:left w:val="none" w:sz="0" w:space="0" w:color="auto"/>
        <w:bottom w:val="none" w:sz="0" w:space="0" w:color="auto"/>
        <w:right w:val="none" w:sz="0" w:space="0" w:color="auto"/>
      </w:divBdr>
    </w:div>
    <w:div w:id="1580943397">
      <w:bodyDiv w:val="1"/>
      <w:marLeft w:val="0"/>
      <w:marRight w:val="0"/>
      <w:marTop w:val="0"/>
      <w:marBottom w:val="0"/>
      <w:divBdr>
        <w:top w:val="none" w:sz="0" w:space="0" w:color="auto"/>
        <w:left w:val="none" w:sz="0" w:space="0" w:color="auto"/>
        <w:bottom w:val="none" w:sz="0" w:space="0" w:color="auto"/>
        <w:right w:val="none" w:sz="0" w:space="0" w:color="auto"/>
      </w:divBdr>
    </w:div>
    <w:div w:id="1635478557">
      <w:bodyDiv w:val="1"/>
      <w:marLeft w:val="0"/>
      <w:marRight w:val="0"/>
      <w:marTop w:val="0"/>
      <w:marBottom w:val="0"/>
      <w:divBdr>
        <w:top w:val="none" w:sz="0" w:space="0" w:color="auto"/>
        <w:left w:val="none" w:sz="0" w:space="0" w:color="auto"/>
        <w:bottom w:val="none" w:sz="0" w:space="0" w:color="auto"/>
        <w:right w:val="none" w:sz="0" w:space="0" w:color="auto"/>
      </w:divBdr>
    </w:div>
    <w:div w:id="1660764827">
      <w:bodyDiv w:val="1"/>
      <w:marLeft w:val="0"/>
      <w:marRight w:val="0"/>
      <w:marTop w:val="0"/>
      <w:marBottom w:val="0"/>
      <w:divBdr>
        <w:top w:val="none" w:sz="0" w:space="0" w:color="auto"/>
        <w:left w:val="none" w:sz="0" w:space="0" w:color="auto"/>
        <w:bottom w:val="none" w:sz="0" w:space="0" w:color="auto"/>
        <w:right w:val="none" w:sz="0" w:space="0" w:color="auto"/>
      </w:divBdr>
    </w:div>
    <w:div w:id="1719821933">
      <w:bodyDiv w:val="1"/>
      <w:marLeft w:val="0"/>
      <w:marRight w:val="0"/>
      <w:marTop w:val="0"/>
      <w:marBottom w:val="0"/>
      <w:divBdr>
        <w:top w:val="none" w:sz="0" w:space="0" w:color="auto"/>
        <w:left w:val="none" w:sz="0" w:space="0" w:color="auto"/>
        <w:bottom w:val="none" w:sz="0" w:space="0" w:color="auto"/>
        <w:right w:val="none" w:sz="0" w:space="0" w:color="auto"/>
      </w:divBdr>
    </w:div>
    <w:div w:id="1825121280">
      <w:bodyDiv w:val="1"/>
      <w:marLeft w:val="0"/>
      <w:marRight w:val="0"/>
      <w:marTop w:val="0"/>
      <w:marBottom w:val="0"/>
      <w:divBdr>
        <w:top w:val="none" w:sz="0" w:space="0" w:color="auto"/>
        <w:left w:val="none" w:sz="0" w:space="0" w:color="auto"/>
        <w:bottom w:val="none" w:sz="0" w:space="0" w:color="auto"/>
        <w:right w:val="none" w:sz="0" w:space="0" w:color="auto"/>
      </w:divBdr>
    </w:div>
    <w:div w:id="1827741022">
      <w:bodyDiv w:val="1"/>
      <w:marLeft w:val="0"/>
      <w:marRight w:val="0"/>
      <w:marTop w:val="0"/>
      <w:marBottom w:val="0"/>
      <w:divBdr>
        <w:top w:val="none" w:sz="0" w:space="0" w:color="auto"/>
        <w:left w:val="none" w:sz="0" w:space="0" w:color="auto"/>
        <w:bottom w:val="none" w:sz="0" w:space="0" w:color="auto"/>
        <w:right w:val="none" w:sz="0" w:space="0" w:color="auto"/>
      </w:divBdr>
    </w:div>
    <w:div w:id="1949578504">
      <w:bodyDiv w:val="1"/>
      <w:marLeft w:val="0"/>
      <w:marRight w:val="0"/>
      <w:marTop w:val="0"/>
      <w:marBottom w:val="0"/>
      <w:divBdr>
        <w:top w:val="none" w:sz="0" w:space="0" w:color="auto"/>
        <w:left w:val="none" w:sz="0" w:space="0" w:color="auto"/>
        <w:bottom w:val="none" w:sz="0" w:space="0" w:color="auto"/>
        <w:right w:val="none" w:sz="0" w:space="0" w:color="auto"/>
      </w:divBdr>
    </w:div>
    <w:div w:id="211663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436-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435-1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z1386-1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bi.customs.gov.ua/trade/" TargetMode="External"/><Relationship Id="rId1" Type="http://schemas.openxmlformats.org/officeDocument/2006/relationships/hyperlink" Target="http://www.ukrstat.gov.ua/operativ/menu/menu_u/zed.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E585A-847C-4C79-AD3B-67BBC48A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4455</Words>
  <Characters>29624</Characters>
  <Application>Microsoft Office Word</Application>
  <DocSecurity>4</DocSecurity>
  <Lines>246</Lines>
  <Paragraphs>68</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34011</CharactersWithSpaces>
  <SharedDoc>false</SharedDoc>
  <HLinks>
    <vt:vector size="30" baseType="variant">
      <vt:variant>
        <vt:i4>7340095</vt:i4>
      </vt:variant>
      <vt:variant>
        <vt:i4>6</vt:i4>
      </vt:variant>
      <vt:variant>
        <vt:i4>0</vt:i4>
      </vt:variant>
      <vt:variant>
        <vt:i4>5</vt:i4>
      </vt:variant>
      <vt:variant>
        <vt:lpwstr>https://zakon.rada.gov.ua/laws/show/436-15</vt:lpwstr>
      </vt:variant>
      <vt:variant>
        <vt:lpwstr/>
      </vt:variant>
      <vt:variant>
        <vt:i4>7340092</vt:i4>
      </vt:variant>
      <vt:variant>
        <vt:i4>3</vt:i4>
      </vt:variant>
      <vt:variant>
        <vt:i4>0</vt:i4>
      </vt:variant>
      <vt:variant>
        <vt:i4>5</vt:i4>
      </vt:variant>
      <vt:variant>
        <vt:lpwstr>https://zakon.rada.gov.ua/laws/show/435-15</vt:lpwstr>
      </vt:variant>
      <vt:variant>
        <vt:lpwstr/>
      </vt:variant>
      <vt:variant>
        <vt:i4>8060972</vt:i4>
      </vt:variant>
      <vt:variant>
        <vt:i4>0</vt:i4>
      </vt:variant>
      <vt:variant>
        <vt:i4>0</vt:i4>
      </vt:variant>
      <vt:variant>
        <vt:i4>5</vt:i4>
      </vt:variant>
      <vt:variant>
        <vt:lpwstr>https://zakon.rada.gov.ua/laws/show/z1386-15</vt:lpwstr>
      </vt:variant>
      <vt:variant>
        <vt:lpwstr>n13</vt:lpwstr>
      </vt:variant>
      <vt:variant>
        <vt:i4>6422574</vt:i4>
      </vt:variant>
      <vt:variant>
        <vt:i4>3</vt:i4>
      </vt:variant>
      <vt:variant>
        <vt:i4>0</vt:i4>
      </vt:variant>
      <vt:variant>
        <vt:i4>5</vt:i4>
      </vt:variant>
      <vt:variant>
        <vt:lpwstr>https://bi.customs.gov.ua/trade/</vt:lpwstr>
      </vt:variant>
      <vt:variant>
        <vt:lpwstr>/turnoverhs</vt:lpwstr>
      </vt:variant>
      <vt:variant>
        <vt:i4>3473494</vt:i4>
      </vt:variant>
      <vt:variant>
        <vt:i4>0</vt:i4>
      </vt:variant>
      <vt:variant>
        <vt:i4>0</vt:i4>
      </vt:variant>
      <vt:variant>
        <vt:i4>5</vt:i4>
      </vt:variant>
      <vt:variant>
        <vt:lpwstr>http://www.ukrstat.gov.ua/operativ/menu/menu_u/zed.htm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2020-12-22T14:34:00Z</cp:lastPrinted>
  <dcterms:created xsi:type="dcterms:W3CDTF">2021-01-11T13:30:00Z</dcterms:created>
  <dcterms:modified xsi:type="dcterms:W3CDTF">2021-01-11T13:30:00Z</dcterms:modified>
</cp:coreProperties>
</file>