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B85" w:rsidRPr="00F67580" w:rsidRDefault="00171B85" w:rsidP="00171B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34BE465" wp14:editId="0185C884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171B85" w:rsidRPr="00F67580" w:rsidRDefault="00171B85" w:rsidP="00171B8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171B85" w:rsidRPr="00F67580" w:rsidRDefault="00171B85" w:rsidP="00171B8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171B85" w:rsidRPr="00F67580" w:rsidRDefault="00171B85" w:rsidP="00171B8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171B85" w:rsidRPr="00F67580" w:rsidRDefault="00171B85" w:rsidP="00171B8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171B85" w:rsidRPr="0088344C" w:rsidRDefault="007137E5" w:rsidP="00171B85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</w:t>
      </w:r>
      <w:r w:rsidR="00171B8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8344C" w:rsidRPr="008834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червня</w:t>
      </w:r>
      <w:r w:rsidR="00171B85" w:rsidRPr="008834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2021 р.</w:t>
      </w:r>
      <w:r w:rsidR="00171B85"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Київ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363</w:t>
      </w:r>
      <w:r w:rsidR="00171B85"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B85" w:rsidRPr="0088344C" w:rsidRDefault="00171B85" w:rsidP="00171B85">
      <w:pPr>
        <w:pStyle w:val="Clause3Sub"/>
        <w:numPr>
          <w:ilvl w:val="0"/>
          <w:numId w:val="0"/>
        </w:numPr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88344C">
        <w:rPr>
          <w:rFonts w:ascii="Times New Roman" w:hAnsi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88344C">
        <w:rPr>
          <w:rFonts w:ascii="Times New Roman" w:eastAsia="Calibri" w:hAnsi="Times New Roman"/>
          <w:sz w:val="24"/>
          <w:szCs w:val="24"/>
          <w:lang w:val="uk-UA"/>
        </w:rPr>
        <w:t>заяву уповноважен</w:t>
      </w:r>
      <w:r w:rsidR="0088344C" w:rsidRPr="0088344C">
        <w:rPr>
          <w:rFonts w:ascii="Times New Roman" w:eastAsia="Calibri" w:hAnsi="Times New Roman"/>
          <w:sz w:val="24"/>
          <w:szCs w:val="24"/>
          <w:lang w:val="uk-UA"/>
        </w:rPr>
        <w:t>ого</w:t>
      </w:r>
      <w:r w:rsidRPr="0088344C">
        <w:rPr>
          <w:rFonts w:ascii="Times New Roman" w:eastAsia="Calibri" w:hAnsi="Times New Roman"/>
          <w:sz w:val="24"/>
          <w:szCs w:val="24"/>
          <w:lang w:val="uk-UA"/>
        </w:rPr>
        <w:t xml:space="preserve"> представник</w:t>
      </w:r>
      <w:r w:rsidR="0088344C" w:rsidRPr="0088344C">
        <w:rPr>
          <w:rFonts w:ascii="Times New Roman" w:eastAsia="Calibri" w:hAnsi="Times New Roman"/>
          <w:sz w:val="24"/>
          <w:szCs w:val="24"/>
          <w:lang w:val="uk-UA"/>
        </w:rPr>
        <w:t>а</w:t>
      </w:r>
      <w:r w:rsidRPr="0088344C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/>
          <w:sz w:val="24"/>
          <w:szCs w:val="24"/>
          <w:lang w:val="uk-UA"/>
        </w:rPr>
        <w:t>компаній</w:t>
      </w:r>
      <w:r w:rsidRPr="008834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/>
          <w:sz w:val="24"/>
          <w:szCs w:val="24"/>
          <w:lang w:val="uk-UA" w:eastAsia="en-US"/>
        </w:rPr>
        <w:t>«</w:t>
      </w:r>
      <w:r w:rsidR="0088344C" w:rsidRPr="0088344C">
        <w:rPr>
          <w:rFonts w:ascii="Times New Roman" w:hAnsi="Times New Roman"/>
          <w:sz w:val="24"/>
          <w:szCs w:val="24"/>
          <w:lang w:val="fr-FR"/>
        </w:rPr>
        <w:t xml:space="preserve">Nobel </w:t>
      </w:r>
      <w:proofErr w:type="spellStart"/>
      <w:r w:rsidR="0088344C" w:rsidRPr="0088344C">
        <w:rPr>
          <w:rFonts w:ascii="Times New Roman" w:hAnsi="Times New Roman"/>
          <w:sz w:val="24"/>
          <w:szCs w:val="24"/>
          <w:lang w:val="fr-FR"/>
        </w:rPr>
        <w:t>Bidco</w:t>
      </w:r>
      <w:proofErr w:type="spellEnd"/>
      <w:r w:rsidR="0088344C" w:rsidRPr="0088344C">
        <w:rPr>
          <w:rFonts w:ascii="Times New Roman" w:hAnsi="Times New Roman"/>
          <w:sz w:val="24"/>
          <w:szCs w:val="24"/>
          <w:lang w:val="fr-FR"/>
        </w:rPr>
        <w:t xml:space="preserve"> B.V.</w:t>
      </w:r>
      <w:r w:rsidR="0088344C" w:rsidRPr="0088344C">
        <w:rPr>
          <w:rFonts w:ascii="Times New Roman" w:hAnsi="Times New Roman"/>
          <w:sz w:val="24"/>
          <w:szCs w:val="24"/>
          <w:lang w:val="uk-UA" w:eastAsia="en-US"/>
        </w:rPr>
        <w:t>» (</w:t>
      </w:r>
      <w:r w:rsidR="0088344C" w:rsidRPr="0088344C">
        <w:rPr>
          <w:rFonts w:ascii="Times New Roman" w:eastAsia="Arial Unicode MS" w:hAnsi="Times New Roman"/>
          <w:spacing w:val="-2"/>
          <w:sz w:val="24"/>
          <w:szCs w:val="24"/>
          <w:lang w:val="uk-UA"/>
        </w:rPr>
        <w:t>м. Амстердам</w:t>
      </w:r>
      <w:r w:rsidR="0088344C" w:rsidRPr="0088344C">
        <w:rPr>
          <w:rFonts w:ascii="Times New Roman" w:eastAsia="Arial Unicode MS" w:hAnsi="Times New Roman"/>
          <w:spacing w:val="-2"/>
          <w:sz w:val="24"/>
          <w:szCs w:val="24"/>
          <w:lang w:val="fr-FR"/>
        </w:rPr>
        <w:t xml:space="preserve">, </w:t>
      </w:r>
      <w:r w:rsidR="0088344C" w:rsidRPr="0088344C">
        <w:rPr>
          <w:rFonts w:ascii="Times New Roman" w:eastAsia="Arial Unicode MS" w:hAnsi="Times New Roman"/>
          <w:spacing w:val="-2"/>
          <w:sz w:val="24"/>
          <w:szCs w:val="24"/>
          <w:lang w:val="uk-UA"/>
        </w:rPr>
        <w:t>Нідерланди</w:t>
      </w:r>
      <w:r w:rsidR="0088344C" w:rsidRPr="0088344C">
        <w:rPr>
          <w:rFonts w:ascii="Times New Roman" w:hAnsi="Times New Roman"/>
          <w:sz w:val="24"/>
          <w:szCs w:val="24"/>
          <w:lang w:val="uk-UA" w:eastAsia="en-US"/>
        </w:rPr>
        <w:t xml:space="preserve">) </w:t>
      </w:r>
      <w:r w:rsidRPr="0088344C">
        <w:rPr>
          <w:rFonts w:ascii="Times New Roman" w:hAnsi="Times New Roman"/>
          <w:sz w:val="24"/>
          <w:szCs w:val="24"/>
          <w:lang w:val="uk-UA"/>
        </w:rPr>
        <w:t>та «</w:t>
      </w:r>
      <w:r w:rsidR="0088344C" w:rsidRPr="0088344C">
        <w:rPr>
          <w:rFonts w:ascii="Times New Roman" w:hAnsi="Times New Roman"/>
          <w:sz w:val="24"/>
          <w:szCs w:val="24"/>
          <w:lang w:val="fr-FR"/>
        </w:rPr>
        <w:t>Koninklijke Philips N.V.</w:t>
      </w:r>
      <w:r w:rsidRPr="0088344C">
        <w:rPr>
          <w:rFonts w:ascii="Times New Roman" w:hAnsi="Times New Roman"/>
          <w:sz w:val="24"/>
          <w:szCs w:val="24"/>
          <w:lang w:val="uk-UA"/>
        </w:rPr>
        <w:t>» (</w:t>
      </w:r>
      <w:r w:rsidR="0088344C" w:rsidRPr="0088344C">
        <w:rPr>
          <w:rFonts w:ascii="Times New Roman" w:eastAsia="Arial Unicode MS" w:hAnsi="Times New Roman"/>
          <w:spacing w:val="-2"/>
          <w:sz w:val="24"/>
          <w:szCs w:val="24"/>
          <w:lang w:val="uk-UA"/>
        </w:rPr>
        <w:t xml:space="preserve">м. </w:t>
      </w:r>
      <w:proofErr w:type="spellStart"/>
      <w:r w:rsidR="0088344C" w:rsidRPr="0088344C">
        <w:rPr>
          <w:rFonts w:ascii="Times New Roman" w:eastAsia="Arial Unicode MS" w:hAnsi="Times New Roman"/>
          <w:spacing w:val="-2"/>
          <w:sz w:val="24"/>
          <w:szCs w:val="24"/>
          <w:lang w:val="uk-UA"/>
        </w:rPr>
        <w:t>Ейндховен</w:t>
      </w:r>
      <w:proofErr w:type="spellEnd"/>
      <w:r w:rsidR="0088344C" w:rsidRPr="0088344C">
        <w:rPr>
          <w:rFonts w:ascii="Times New Roman" w:eastAsia="Arial Unicode MS" w:hAnsi="Times New Roman"/>
          <w:spacing w:val="-2"/>
          <w:sz w:val="24"/>
          <w:szCs w:val="24"/>
          <w:lang w:val="fr-FR"/>
        </w:rPr>
        <w:t xml:space="preserve">, </w:t>
      </w:r>
      <w:r w:rsidR="0088344C" w:rsidRPr="0088344C">
        <w:rPr>
          <w:rFonts w:ascii="Times New Roman" w:eastAsia="Arial Unicode MS" w:hAnsi="Times New Roman"/>
          <w:spacing w:val="-2"/>
          <w:sz w:val="24"/>
          <w:szCs w:val="24"/>
          <w:lang w:val="uk-UA"/>
        </w:rPr>
        <w:t>Нідерланди</w:t>
      </w:r>
      <w:r w:rsidRPr="0088344C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88344C">
        <w:rPr>
          <w:rFonts w:ascii="Times New Roman" w:hAnsi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171B85" w:rsidRPr="00FB7538" w:rsidRDefault="00171B85" w:rsidP="00171B8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val="uk-UA" w:eastAsia="ru-RU"/>
        </w:rPr>
      </w:pP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171B85" w:rsidRPr="00FB7538" w:rsidRDefault="00171B85" w:rsidP="00171B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uk-UA" w:eastAsia="ru-RU"/>
        </w:rPr>
      </w:pPr>
    </w:p>
    <w:p w:rsidR="00171B85" w:rsidRPr="0088344C" w:rsidRDefault="00171B85" w:rsidP="00171B8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344C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 w:rsidR="0088344C" w:rsidRPr="0088344C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</w:t>
      </w:r>
      <w:r w:rsidRPr="0088344C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="0088344C"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компанією</w:t>
      </w:r>
      <w:r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8344C" w:rsidRPr="0088344C">
        <w:rPr>
          <w:rFonts w:ascii="Times New Roman" w:hAnsi="Times New Roman" w:cs="Times New Roman"/>
          <w:sz w:val="24"/>
          <w:szCs w:val="24"/>
          <w:lang w:val="fr-FR"/>
        </w:rPr>
        <w:t xml:space="preserve">Nobel </w:t>
      </w:r>
      <w:proofErr w:type="spellStart"/>
      <w:r w:rsidR="0088344C" w:rsidRPr="0088344C">
        <w:rPr>
          <w:rFonts w:ascii="Times New Roman" w:hAnsi="Times New Roman" w:cs="Times New Roman"/>
          <w:sz w:val="24"/>
          <w:szCs w:val="24"/>
          <w:lang w:val="fr-FR"/>
        </w:rPr>
        <w:t>Bidco</w:t>
      </w:r>
      <w:proofErr w:type="spellEnd"/>
      <w:r w:rsidR="0088344C" w:rsidRPr="0088344C">
        <w:rPr>
          <w:rFonts w:ascii="Times New Roman" w:hAnsi="Times New Roman" w:cs="Times New Roman"/>
          <w:sz w:val="24"/>
          <w:szCs w:val="24"/>
          <w:lang w:val="fr-FR"/>
        </w:rPr>
        <w:t xml:space="preserve"> B.V.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88344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акцій </w:t>
      </w:r>
      <w:r w:rsidR="0088344C" w:rsidRPr="0088344C">
        <w:rPr>
          <w:rFonts w:ascii="Times New Roman" w:hAnsi="Times New Roman" w:cs="Times New Roman"/>
          <w:bCs/>
          <w:sz w:val="24"/>
          <w:szCs w:val="24"/>
          <w:lang w:val="uk-UA"/>
        </w:rPr>
        <w:t>компанії «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Philips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Appliances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Holding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.» (м. </w:t>
      </w:r>
      <w:proofErr w:type="spellStart"/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Ейндховен</w:t>
      </w:r>
      <w:proofErr w:type="spellEnd"/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, Нідерланди)</w:t>
      </w:r>
      <w:r w:rsidR="0088344C" w:rsidRPr="0088344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що забезпечить перевищення 50 відсотків голосів у вищому органі управління компанії.</w:t>
      </w:r>
    </w:p>
    <w:p w:rsidR="00171B85" w:rsidRPr="00FB7538" w:rsidRDefault="00171B85" w:rsidP="00171B8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highlight w:val="green"/>
          <w:lang w:val="uk-UA"/>
        </w:rPr>
      </w:pPr>
    </w:p>
    <w:p w:rsidR="00171B85" w:rsidRPr="00FB7538" w:rsidRDefault="00171B85" w:rsidP="00171B8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uk-UA" w:eastAsia="ru-RU"/>
        </w:rPr>
      </w:pP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88344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344C" w:rsidRPr="0088344C" w:rsidRDefault="0088344C" w:rsidP="0088344C">
      <w:pPr>
        <w:pStyle w:val="TableL1"/>
        <w:spacing w:after="0"/>
        <w:ind w:firstLine="851"/>
        <w:rPr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>компанія «</w:t>
      </w:r>
      <w:r w:rsidRPr="0088344C">
        <w:rPr>
          <w:sz w:val="24"/>
          <w:szCs w:val="24"/>
          <w:lang w:val="en-GB"/>
        </w:rPr>
        <w:t>Philips</w:t>
      </w:r>
      <w:r w:rsidRPr="0088344C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en-GB"/>
        </w:rPr>
        <w:t>Domestic</w:t>
      </w:r>
      <w:r w:rsidRPr="0088344C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en-GB"/>
        </w:rPr>
        <w:t>Appliances</w:t>
      </w:r>
      <w:r w:rsidRPr="0088344C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en-GB"/>
        </w:rPr>
        <w:t>Holding</w:t>
      </w:r>
      <w:r w:rsidRPr="0088344C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en-GB"/>
        </w:rPr>
        <w:t>B</w:t>
      </w:r>
      <w:r w:rsidRPr="0088344C">
        <w:rPr>
          <w:sz w:val="24"/>
          <w:szCs w:val="24"/>
          <w:lang w:val="uk-UA"/>
        </w:rPr>
        <w:t>.</w:t>
      </w:r>
      <w:r w:rsidRPr="0088344C">
        <w:rPr>
          <w:sz w:val="24"/>
          <w:szCs w:val="24"/>
          <w:lang w:val="en-GB"/>
        </w:rPr>
        <w:t>V</w:t>
      </w:r>
      <w:r w:rsidRPr="0088344C">
        <w:rPr>
          <w:sz w:val="24"/>
          <w:szCs w:val="24"/>
          <w:lang w:val="uk-UA"/>
        </w:rPr>
        <w:t>.» (далі</w:t>
      </w:r>
      <w:r w:rsidR="00AF6DAA">
        <w:rPr>
          <w:sz w:val="24"/>
          <w:szCs w:val="24"/>
          <w:lang w:val="uk-UA"/>
        </w:rPr>
        <w:t xml:space="preserve"> </w:t>
      </w:r>
      <w:r w:rsidR="00AF6DAA" w:rsidRPr="0088344C">
        <w:rPr>
          <w:sz w:val="24"/>
          <w:szCs w:val="24"/>
          <w:lang w:val="uk-UA"/>
        </w:rPr>
        <w:t>–</w:t>
      </w:r>
      <w:r w:rsidRPr="0088344C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uk-UA"/>
        </w:rPr>
        <w:softHyphen/>
        <w:t>Об'єкт придбання) є юридичною особою, створеною відповідно до законодавства Нідерландів;</w:t>
      </w:r>
    </w:p>
    <w:p w:rsidR="0088344C" w:rsidRPr="0088344C" w:rsidRDefault="0088344C" w:rsidP="0088344C">
      <w:pPr>
        <w:pStyle w:val="TableL1"/>
        <w:spacing w:after="0"/>
        <w:ind w:firstLine="851"/>
        <w:rPr>
          <w:b/>
          <w:bCs/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>Об'єкт придбання та його підконтрольні компанії (далі разом – Група об'єкта придбання)</w:t>
      </w:r>
      <w:r w:rsidR="00A16EA3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uk-UA"/>
        </w:rPr>
        <w:t>підконтрольн</w:t>
      </w:r>
      <w:r w:rsidR="00A16EA3">
        <w:rPr>
          <w:sz w:val="24"/>
          <w:szCs w:val="24"/>
          <w:lang w:val="uk-UA"/>
        </w:rPr>
        <w:t>і</w:t>
      </w:r>
      <w:r w:rsidRPr="0088344C">
        <w:rPr>
          <w:sz w:val="24"/>
          <w:szCs w:val="24"/>
          <w:lang w:val="uk-UA"/>
        </w:rPr>
        <w:t xml:space="preserve"> (опосередковано) Групі </w:t>
      </w:r>
      <w:proofErr w:type="spellStart"/>
      <w:r w:rsidRPr="0088344C">
        <w:rPr>
          <w:sz w:val="24"/>
          <w:szCs w:val="24"/>
          <w:lang w:val="uk-UA"/>
        </w:rPr>
        <w:t>Philips</w:t>
      </w:r>
      <w:proofErr w:type="spellEnd"/>
      <w:r w:rsidRPr="0088344C">
        <w:rPr>
          <w:sz w:val="24"/>
          <w:szCs w:val="24"/>
          <w:lang w:val="uk-UA"/>
        </w:rPr>
        <w:t>;</w:t>
      </w:r>
    </w:p>
    <w:p w:rsidR="0088344C" w:rsidRDefault="0088344C" w:rsidP="0088344C">
      <w:pPr>
        <w:pStyle w:val="TableL1"/>
        <w:spacing w:after="0"/>
        <w:ind w:firstLine="851"/>
        <w:rPr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>в Україні, Група об'єкта придбання здійснює діяльність</w:t>
      </w:r>
      <w:bookmarkStart w:id="0" w:name="_GoBack"/>
      <w:bookmarkEnd w:id="0"/>
      <w:r w:rsidRPr="0088344C">
        <w:rPr>
          <w:sz w:val="24"/>
          <w:szCs w:val="24"/>
          <w:lang w:val="uk-UA"/>
        </w:rPr>
        <w:t xml:space="preserve"> з продажу побутової техніки, виробленої за кордоном, включаючи товари для приготування їжі (</w:t>
      </w:r>
      <w:proofErr w:type="spellStart"/>
      <w:r w:rsidRPr="0088344C">
        <w:rPr>
          <w:sz w:val="24"/>
          <w:szCs w:val="24"/>
          <w:lang w:val="uk-UA"/>
        </w:rPr>
        <w:t>блендери</w:t>
      </w:r>
      <w:proofErr w:type="spellEnd"/>
      <w:r w:rsidRPr="0088344C">
        <w:rPr>
          <w:sz w:val="24"/>
          <w:szCs w:val="24"/>
          <w:lang w:val="uk-UA"/>
        </w:rPr>
        <w:t xml:space="preserve"> та кухонні комбайни), дрібні кухонні прилади (фритюрниці та пароварки), кавові машини, пристосування для догляду за одягом (</w:t>
      </w:r>
      <w:proofErr w:type="spellStart"/>
      <w:r w:rsidRPr="0088344C">
        <w:rPr>
          <w:sz w:val="24"/>
          <w:szCs w:val="24"/>
          <w:lang w:val="uk-UA"/>
        </w:rPr>
        <w:t>відпарювачі</w:t>
      </w:r>
      <w:proofErr w:type="spellEnd"/>
      <w:r w:rsidRPr="0088344C">
        <w:rPr>
          <w:sz w:val="24"/>
          <w:szCs w:val="24"/>
          <w:lang w:val="uk-UA"/>
        </w:rPr>
        <w:t xml:space="preserve"> та праски), прилади для догляду за підлогою (пилососи), прилади для обробки повітря (осушувачі/зволожувачі повітря та очищувачі повітря).</w:t>
      </w:r>
    </w:p>
    <w:p w:rsidR="0088344C" w:rsidRPr="0088344C" w:rsidRDefault="0088344C" w:rsidP="0088344C">
      <w:pPr>
        <w:pStyle w:val="TableL1"/>
        <w:spacing w:after="0"/>
        <w:ind w:firstLine="851"/>
        <w:rPr>
          <w:sz w:val="24"/>
          <w:szCs w:val="24"/>
          <w:lang w:val="uk-UA"/>
        </w:rPr>
      </w:pPr>
    </w:p>
    <w:p w:rsidR="0088344C" w:rsidRPr="0088344C" w:rsidRDefault="0088344C" w:rsidP="0088344C">
      <w:pPr>
        <w:pStyle w:val="TableL1"/>
        <w:keepNext/>
        <w:spacing w:after="0"/>
        <w:ind w:firstLine="851"/>
        <w:rPr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>Компанія «</w:t>
      </w:r>
      <w:proofErr w:type="spellStart"/>
      <w:r w:rsidRPr="0088344C">
        <w:rPr>
          <w:sz w:val="24"/>
          <w:szCs w:val="24"/>
          <w:lang w:val="en-GB"/>
        </w:rPr>
        <w:t>Koninklijke</w:t>
      </w:r>
      <w:proofErr w:type="spellEnd"/>
      <w:r w:rsidRPr="0088344C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en-GB"/>
        </w:rPr>
        <w:t>Philips</w:t>
      </w:r>
      <w:r w:rsidRPr="0088344C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en-GB"/>
        </w:rPr>
        <w:t>N</w:t>
      </w:r>
      <w:r w:rsidRPr="0088344C">
        <w:rPr>
          <w:sz w:val="24"/>
          <w:szCs w:val="24"/>
          <w:lang w:val="uk-UA"/>
        </w:rPr>
        <w:t>.</w:t>
      </w:r>
      <w:r w:rsidRPr="0088344C">
        <w:rPr>
          <w:sz w:val="24"/>
          <w:szCs w:val="24"/>
          <w:lang w:val="en-GB"/>
        </w:rPr>
        <w:t>V</w:t>
      </w:r>
      <w:r w:rsidRPr="0088344C">
        <w:rPr>
          <w:sz w:val="24"/>
          <w:szCs w:val="24"/>
          <w:lang w:val="uk-UA"/>
        </w:rPr>
        <w:t>.» (далі – «</w:t>
      </w:r>
      <w:r w:rsidRPr="0088344C">
        <w:rPr>
          <w:sz w:val="24"/>
          <w:szCs w:val="24"/>
          <w:lang w:val="en-GB"/>
        </w:rPr>
        <w:t>Philips</w:t>
      </w:r>
      <w:r w:rsidRPr="0088344C">
        <w:rPr>
          <w:sz w:val="24"/>
          <w:szCs w:val="24"/>
          <w:lang w:val="uk-UA"/>
        </w:rPr>
        <w:t>»), є юридичною особою, створеною відповідно до законодавства Нідерландів, та здійснює діяльність у сфері цифрової рентгенографії, терапії з візуальним контролем, моніторингу пацієнтів та медичної інформатики, а також у сфері охорони здоров’я споживачів та товарів для догляду за будинком;</w:t>
      </w:r>
    </w:p>
    <w:p w:rsidR="0088344C" w:rsidRPr="0088344C" w:rsidRDefault="0088344C" w:rsidP="0088344C">
      <w:pPr>
        <w:pStyle w:val="TableL1"/>
        <w:keepNext/>
        <w:spacing w:after="0"/>
        <w:ind w:firstLine="851"/>
        <w:rPr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 xml:space="preserve">компанія </w:t>
      </w:r>
      <w:r w:rsidRPr="0088344C">
        <w:rPr>
          <w:sz w:val="24"/>
          <w:szCs w:val="24"/>
          <w:lang w:val="en-GB"/>
        </w:rPr>
        <w:t>Philips</w:t>
      </w:r>
      <w:r w:rsidRPr="0088344C">
        <w:rPr>
          <w:sz w:val="24"/>
          <w:szCs w:val="24"/>
          <w:lang w:val="uk-UA"/>
        </w:rPr>
        <w:t xml:space="preserve"> та компанії, пов'язані з нею відносинами контролю (за виключенням Групи об'єкта придбання) утворюють Групу </w:t>
      </w:r>
      <w:r w:rsidRPr="0088344C">
        <w:rPr>
          <w:sz w:val="24"/>
          <w:szCs w:val="24"/>
          <w:lang w:val="en-GB"/>
        </w:rPr>
        <w:t>Philips</w:t>
      </w:r>
      <w:r w:rsidRPr="0088344C">
        <w:rPr>
          <w:sz w:val="24"/>
          <w:szCs w:val="24"/>
          <w:lang w:val="uk-UA"/>
        </w:rPr>
        <w:t xml:space="preserve">; </w:t>
      </w:r>
    </w:p>
    <w:p w:rsidR="0088344C" w:rsidRPr="0088344C" w:rsidRDefault="0088344C" w:rsidP="0088344C">
      <w:pPr>
        <w:pStyle w:val="TableL1"/>
        <w:keepNext/>
        <w:spacing w:after="0"/>
        <w:ind w:firstLine="851"/>
        <w:rPr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 xml:space="preserve">Група </w:t>
      </w:r>
      <w:r w:rsidRPr="0088344C">
        <w:rPr>
          <w:sz w:val="24"/>
          <w:szCs w:val="24"/>
          <w:lang w:val="en-GB"/>
        </w:rPr>
        <w:t>Philips</w:t>
      </w:r>
      <w:r w:rsidRPr="0088344C">
        <w:rPr>
          <w:sz w:val="24"/>
          <w:szCs w:val="24"/>
          <w:lang w:val="uk-UA"/>
        </w:rPr>
        <w:t xml:space="preserve"> є багатонаціональною групою, яка спеціалізується на покращенні здоров’я людей від здорового способу життя та профілактики до діагностики та лікування</w:t>
      </w:r>
      <w:r>
        <w:rPr>
          <w:sz w:val="24"/>
          <w:szCs w:val="24"/>
          <w:lang w:val="uk-UA"/>
        </w:rPr>
        <w:t>;</w:t>
      </w:r>
      <w:r w:rsidRPr="0088344C">
        <w:rPr>
          <w:sz w:val="24"/>
          <w:szCs w:val="24"/>
          <w:lang w:val="uk-UA"/>
        </w:rPr>
        <w:t xml:space="preserve"> </w:t>
      </w:r>
    </w:p>
    <w:p w:rsidR="0088344C" w:rsidRPr="0088344C" w:rsidRDefault="0088344C" w:rsidP="0088344C">
      <w:pPr>
        <w:pStyle w:val="TableL1"/>
        <w:spacing w:after="0"/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Pr="0088344C">
        <w:rPr>
          <w:sz w:val="24"/>
          <w:szCs w:val="24"/>
          <w:lang w:val="uk-UA"/>
        </w:rPr>
        <w:t xml:space="preserve"> Україні, Група </w:t>
      </w:r>
      <w:r w:rsidRPr="0088344C">
        <w:rPr>
          <w:sz w:val="24"/>
          <w:szCs w:val="24"/>
          <w:lang w:val="en-GB"/>
        </w:rPr>
        <w:t>Philips</w:t>
      </w:r>
      <w:r w:rsidRPr="0088344C">
        <w:rPr>
          <w:sz w:val="24"/>
          <w:szCs w:val="24"/>
          <w:lang w:val="uk-UA"/>
        </w:rPr>
        <w:t xml:space="preserve"> здійснює торгову діяльність, включаючи оптовий продаж, роздрібний продаж побутового електричного та електронного обладнання; імпорт, придбання й продаж непродовольчих товарів; виробництво опромінюючого, </w:t>
      </w:r>
      <w:proofErr w:type="spellStart"/>
      <w:r w:rsidRPr="0088344C">
        <w:rPr>
          <w:sz w:val="24"/>
          <w:szCs w:val="24"/>
          <w:lang w:val="uk-UA"/>
        </w:rPr>
        <w:t>електромедичного</w:t>
      </w:r>
      <w:proofErr w:type="spellEnd"/>
      <w:r w:rsidRPr="0088344C">
        <w:rPr>
          <w:sz w:val="24"/>
          <w:szCs w:val="24"/>
          <w:lang w:val="uk-UA"/>
        </w:rPr>
        <w:t xml:space="preserve"> та </w:t>
      </w:r>
      <w:r w:rsidRPr="0088344C">
        <w:rPr>
          <w:sz w:val="24"/>
          <w:szCs w:val="24"/>
          <w:lang w:val="uk-UA"/>
        </w:rPr>
        <w:lastRenderedPageBreak/>
        <w:t>електротерапевтичного обладнання; оптовий продаж медичних та стоматологічних інструментів, сестринських та ортопедичних виробів та лабораторного обладнання; оптовий продаж медичного респіраторного обладнання та інструментів</w:t>
      </w:r>
      <w:r>
        <w:rPr>
          <w:sz w:val="24"/>
          <w:szCs w:val="24"/>
          <w:lang w:val="uk-UA"/>
        </w:rPr>
        <w:t>;</w:t>
      </w:r>
    </w:p>
    <w:p w:rsidR="0088344C" w:rsidRPr="0088344C" w:rsidRDefault="0088344C" w:rsidP="0088344C">
      <w:pPr>
        <w:pStyle w:val="TableL1"/>
        <w:spacing w:after="0"/>
        <w:ind w:firstLine="851"/>
        <w:rPr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 xml:space="preserve">Група </w:t>
      </w:r>
      <w:proofErr w:type="spellStart"/>
      <w:r w:rsidRPr="0088344C">
        <w:rPr>
          <w:sz w:val="24"/>
          <w:szCs w:val="24"/>
          <w:lang w:val="uk-UA"/>
        </w:rPr>
        <w:t>Philips</w:t>
      </w:r>
      <w:proofErr w:type="spellEnd"/>
      <w:r w:rsidRPr="0088344C">
        <w:rPr>
          <w:sz w:val="24"/>
          <w:szCs w:val="24"/>
          <w:lang w:val="uk-UA"/>
        </w:rPr>
        <w:t xml:space="preserve"> не має кінцевих </w:t>
      </w:r>
      <w:proofErr w:type="spellStart"/>
      <w:r w:rsidRPr="0088344C">
        <w:rPr>
          <w:sz w:val="24"/>
          <w:szCs w:val="24"/>
          <w:lang w:val="uk-UA"/>
        </w:rPr>
        <w:t>бенефіціарних</w:t>
      </w:r>
      <w:proofErr w:type="spellEnd"/>
      <w:r w:rsidRPr="0088344C">
        <w:rPr>
          <w:sz w:val="24"/>
          <w:szCs w:val="24"/>
          <w:lang w:val="uk-UA"/>
        </w:rPr>
        <w:t xml:space="preserve"> власників.</w:t>
      </w:r>
    </w:p>
    <w:p w:rsidR="00171B85" w:rsidRPr="00FB7538" w:rsidRDefault="00171B85" w:rsidP="00171B85">
      <w:pPr>
        <w:pStyle w:val="TableL1"/>
        <w:tabs>
          <w:tab w:val="left" w:pos="1590"/>
        </w:tabs>
        <w:spacing w:after="0"/>
        <w:ind w:firstLine="709"/>
        <w:rPr>
          <w:color w:val="000000" w:themeColor="text1"/>
          <w:sz w:val="24"/>
          <w:szCs w:val="24"/>
          <w:highlight w:val="green"/>
          <w:lang w:val="uk-UA"/>
        </w:rPr>
      </w:pPr>
    </w:p>
    <w:p w:rsidR="0088344C" w:rsidRPr="0088344C" w:rsidRDefault="0088344C" w:rsidP="0088344C">
      <w:pPr>
        <w:pStyle w:val="TableL1"/>
        <w:tabs>
          <w:tab w:val="left" w:pos="2772"/>
        </w:tabs>
        <w:spacing w:after="0"/>
        <w:ind w:firstLine="851"/>
        <w:rPr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>Компанія «</w:t>
      </w:r>
      <w:proofErr w:type="spellStart"/>
      <w:r w:rsidRPr="0088344C">
        <w:rPr>
          <w:sz w:val="24"/>
          <w:szCs w:val="24"/>
          <w:lang w:val="uk-UA"/>
        </w:rPr>
        <w:t>Nobel</w:t>
      </w:r>
      <w:proofErr w:type="spellEnd"/>
      <w:r w:rsidRPr="0088344C">
        <w:rPr>
          <w:sz w:val="24"/>
          <w:szCs w:val="24"/>
          <w:lang w:val="uk-UA"/>
        </w:rPr>
        <w:t xml:space="preserve"> </w:t>
      </w:r>
      <w:proofErr w:type="spellStart"/>
      <w:r w:rsidRPr="0088344C">
        <w:rPr>
          <w:sz w:val="24"/>
          <w:szCs w:val="24"/>
          <w:lang w:val="uk-UA"/>
        </w:rPr>
        <w:t>Bidco</w:t>
      </w:r>
      <w:proofErr w:type="spellEnd"/>
      <w:r w:rsidRPr="0088344C">
        <w:rPr>
          <w:sz w:val="24"/>
          <w:szCs w:val="24"/>
          <w:lang w:val="uk-UA"/>
        </w:rPr>
        <w:t xml:space="preserve"> B.V.» (далі – «</w:t>
      </w:r>
      <w:proofErr w:type="spellStart"/>
      <w:r w:rsidRPr="0088344C">
        <w:rPr>
          <w:sz w:val="24"/>
          <w:szCs w:val="24"/>
          <w:lang w:val="uk-UA"/>
        </w:rPr>
        <w:t>Nobel</w:t>
      </w:r>
      <w:proofErr w:type="spellEnd"/>
      <w:r w:rsidRPr="0088344C">
        <w:rPr>
          <w:sz w:val="24"/>
          <w:szCs w:val="24"/>
          <w:lang w:val="uk-UA"/>
        </w:rPr>
        <w:t>») є юридичною особою, створеною відповідно до законодавства Нідерландів. Компанія «</w:t>
      </w:r>
      <w:proofErr w:type="spellStart"/>
      <w:r w:rsidRPr="0088344C">
        <w:rPr>
          <w:sz w:val="24"/>
          <w:szCs w:val="24"/>
          <w:lang w:val="uk-UA"/>
        </w:rPr>
        <w:t>Nobel</w:t>
      </w:r>
      <w:proofErr w:type="spellEnd"/>
      <w:r w:rsidRPr="0088344C">
        <w:rPr>
          <w:sz w:val="24"/>
          <w:szCs w:val="24"/>
          <w:lang w:val="uk-UA"/>
        </w:rPr>
        <w:t xml:space="preserve">» є спеціальною компанією, створеною для придбання. Фонд 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 xml:space="preserve"> </w:t>
      </w:r>
      <w:proofErr w:type="spellStart"/>
      <w:r w:rsidRPr="0088344C">
        <w:rPr>
          <w:sz w:val="24"/>
          <w:szCs w:val="24"/>
          <w:lang w:val="uk-UA"/>
        </w:rPr>
        <w:t>Fund</w:t>
      </w:r>
      <w:proofErr w:type="spellEnd"/>
      <w:r w:rsidRPr="0088344C">
        <w:rPr>
          <w:sz w:val="24"/>
          <w:szCs w:val="24"/>
          <w:lang w:val="uk-UA"/>
        </w:rPr>
        <w:t xml:space="preserve"> V, L.P. (далі – «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 xml:space="preserve"> </w:t>
      </w:r>
      <w:proofErr w:type="spellStart"/>
      <w:r w:rsidRPr="0088344C">
        <w:rPr>
          <w:sz w:val="24"/>
          <w:szCs w:val="24"/>
          <w:lang w:val="uk-UA"/>
        </w:rPr>
        <w:t>Fund</w:t>
      </w:r>
      <w:proofErr w:type="spellEnd"/>
      <w:r w:rsidRPr="0088344C">
        <w:rPr>
          <w:sz w:val="24"/>
          <w:szCs w:val="24"/>
          <w:lang w:val="uk-UA"/>
        </w:rPr>
        <w:t xml:space="preserve"> V») опосередковано володіє акціями компанії «</w:t>
      </w:r>
      <w:proofErr w:type="spellStart"/>
      <w:r w:rsidRPr="0088344C">
        <w:rPr>
          <w:sz w:val="24"/>
          <w:szCs w:val="24"/>
          <w:lang w:val="uk-UA"/>
        </w:rPr>
        <w:t>Nobel</w:t>
      </w:r>
      <w:proofErr w:type="spellEnd"/>
      <w:r w:rsidRPr="0088344C">
        <w:rPr>
          <w:sz w:val="24"/>
          <w:szCs w:val="24"/>
          <w:lang w:val="uk-UA"/>
        </w:rPr>
        <w:t>». Компанія «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 xml:space="preserve"> </w:t>
      </w:r>
      <w:proofErr w:type="spellStart"/>
      <w:r w:rsidRPr="0088344C">
        <w:rPr>
          <w:sz w:val="24"/>
          <w:szCs w:val="24"/>
          <w:lang w:val="uk-UA"/>
        </w:rPr>
        <w:t>Capital</w:t>
      </w:r>
      <w:proofErr w:type="spellEnd"/>
      <w:r w:rsidRPr="0088344C">
        <w:rPr>
          <w:sz w:val="24"/>
          <w:szCs w:val="24"/>
          <w:lang w:val="uk-UA"/>
        </w:rPr>
        <w:t xml:space="preserve"> Management, </w:t>
      </w:r>
      <w:proofErr w:type="spellStart"/>
      <w:r w:rsidRPr="0088344C">
        <w:rPr>
          <w:sz w:val="24"/>
          <w:szCs w:val="24"/>
          <w:lang w:val="uk-UA"/>
        </w:rPr>
        <w:t>Ltd</w:t>
      </w:r>
      <w:proofErr w:type="spellEnd"/>
      <w:r w:rsidRPr="0088344C">
        <w:rPr>
          <w:sz w:val="24"/>
          <w:szCs w:val="24"/>
          <w:lang w:val="uk-UA"/>
        </w:rPr>
        <w:t>.» (далі – «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>») діє в якості одноосібної керуючої компанії фонд</w:t>
      </w:r>
      <w:r w:rsidR="009C0F91">
        <w:rPr>
          <w:sz w:val="24"/>
          <w:szCs w:val="24"/>
          <w:lang w:val="uk-UA"/>
        </w:rPr>
        <w:t>у</w:t>
      </w:r>
      <w:r w:rsidRPr="0088344C">
        <w:rPr>
          <w:sz w:val="24"/>
          <w:szCs w:val="24"/>
          <w:lang w:val="uk-UA"/>
        </w:rPr>
        <w:t xml:space="preserve"> 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 xml:space="preserve"> </w:t>
      </w:r>
      <w:proofErr w:type="spellStart"/>
      <w:r w:rsidRPr="0088344C">
        <w:rPr>
          <w:sz w:val="24"/>
          <w:szCs w:val="24"/>
          <w:lang w:val="uk-UA"/>
        </w:rPr>
        <w:t>Fund</w:t>
      </w:r>
      <w:proofErr w:type="spellEnd"/>
      <w:r w:rsidRPr="0088344C">
        <w:rPr>
          <w:sz w:val="24"/>
          <w:szCs w:val="24"/>
          <w:lang w:val="uk-UA"/>
        </w:rPr>
        <w:t xml:space="preserve"> V. Компанія «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 xml:space="preserve">» остаточно контролюється фізичною особою. Ця фізична особа та підконтрольні їй компанії, </w:t>
      </w:r>
      <w:r w:rsidR="009C0F91">
        <w:rPr>
          <w:sz w:val="24"/>
          <w:szCs w:val="24"/>
          <w:lang w:val="uk-UA"/>
        </w:rPr>
        <w:t>у заявленій концентрації</w:t>
      </w:r>
      <w:r w:rsidRPr="0088344C">
        <w:rPr>
          <w:sz w:val="24"/>
          <w:szCs w:val="24"/>
          <w:lang w:val="uk-UA"/>
        </w:rPr>
        <w:t xml:space="preserve"> утворюють Групу 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>
        <w:rPr>
          <w:sz w:val="24"/>
          <w:szCs w:val="24"/>
          <w:lang w:val="uk-UA"/>
        </w:rPr>
        <w:t>;</w:t>
      </w:r>
    </w:p>
    <w:p w:rsidR="0088344C" w:rsidRPr="0088344C" w:rsidRDefault="0088344C" w:rsidP="0088344C">
      <w:pPr>
        <w:pStyle w:val="TableL1"/>
        <w:tabs>
          <w:tab w:val="left" w:pos="2772"/>
        </w:tabs>
        <w:spacing w:after="0"/>
        <w:ind w:firstLine="851"/>
        <w:rPr>
          <w:sz w:val="24"/>
          <w:szCs w:val="24"/>
          <w:lang w:val="uk-UA"/>
        </w:rPr>
      </w:pPr>
      <w:r w:rsidRPr="0088344C">
        <w:rPr>
          <w:sz w:val="24"/>
          <w:szCs w:val="24"/>
          <w:lang w:val="uk-UA"/>
        </w:rPr>
        <w:t xml:space="preserve">Група 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 xml:space="preserve"> </w:t>
      </w:r>
      <w:r w:rsidR="009C0F91">
        <w:rPr>
          <w:sz w:val="24"/>
          <w:szCs w:val="24"/>
          <w:lang w:val="uk-UA"/>
        </w:rPr>
        <w:t>здійснює діяльність у</w:t>
      </w:r>
      <w:r w:rsidRPr="0088344C">
        <w:rPr>
          <w:sz w:val="24"/>
          <w:szCs w:val="24"/>
          <w:lang w:val="uk-UA"/>
        </w:rPr>
        <w:t xml:space="preserve"> сферах споживчих послуг, охорони здоров'я, технологій, медіа та телекомунікацій, фінансів та бізнес-послуг</w:t>
      </w:r>
      <w:r>
        <w:rPr>
          <w:sz w:val="24"/>
          <w:szCs w:val="24"/>
          <w:lang w:val="uk-UA"/>
        </w:rPr>
        <w:t>;</w:t>
      </w:r>
    </w:p>
    <w:p w:rsidR="0088344C" w:rsidRPr="0088344C" w:rsidRDefault="0088344C" w:rsidP="0088344C">
      <w:pPr>
        <w:pStyle w:val="TableL1"/>
        <w:tabs>
          <w:tab w:val="left" w:pos="2772"/>
        </w:tabs>
        <w:spacing w:after="0"/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Pr="0088344C">
        <w:rPr>
          <w:sz w:val="24"/>
          <w:szCs w:val="24"/>
          <w:lang w:val="uk-UA"/>
        </w:rPr>
        <w:t xml:space="preserve"> Україні, Група 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 xml:space="preserve"> здійснювала діяльність з продажу </w:t>
      </w:r>
      <w:proofErr w:type="spellStart"/>
      <w:r w:rsidRPr="0088344C">
        <w:rPr>
          <w:sz w:val="24"/>
          <w:szCs w:val="24"/>
          <w:lang w:val="uk-UA"/>
        </w:rPr>
        <w:t>зоотоварів</w:t>
      </w:r>
      <w:proofErr w:type="spellEnd"/>
      <w:r w:rsidRPr="0088344C">
        <w:rPr>
          <w:sz w:val="24"/>
          <w:szCs w:val="24"/>
          <w:lang w:val="uk-UA"/>
        </w:rPr>
        <w:t xml:space="preserve"> у 2019 р.,</w:t>
      </w:r>
      <w:r w:rsidR="009C0F91">
        <w:rPr>
          <w:sz w:val="24"/>
          <w:szCs w:val="24"/>
          <w:lang w:val="uk-UA"/>
        </w:rPr>
        <w:t xml:space="preserve"> </w:t>
      </w:r>
      <w:r w:rsidRPr="0088344C">
        <w:rPr>
          <w:sz w:val="24"/>
          <w:szCs w:val="24"/>
          <w:lang w:val="uk-UA"/>
        </w:rPr>
        <w:t>та не здійснювала діяльності у 2020 р</w:t>
      </w:r>
      <w:r>
        <w:rPr>
          <w:sz w:val="24"/>
          <w:szCs w:val="24"/>
          <w:lang w:val="uk-UA"/>
        </w:rPr>
        <w:t>оці;</w:t>
      </w:r>
    </w:p>
    <w:p w:rsidR="0088344C" w:rsidRPr="0088344C" w:rsidRDefault="0088344C" w:rsidP="0088344C">
      <w:pPr>
        <w:pStyle w:val="TableL1"/>
        <w:tabs>
          <w:tab w:val="left" w:pos="2772"/>
        </w:tabs>
        <w:spacing w:after="0"/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Pr="0088344C">
        <w:rPr>
          <w:sz w:val="24"/>
          <w:szCs w:val="24"/>
          <w:lang w:val="uk-UA"/>
        </w:rPr>
        <w:t xml:space="preserve">інцевим </w:t>
      </w:r>
      <w:proofErr w:type="spellStart"/>
      <w:r w:rsidRPr="0088344C">
        <w:rPr>
          <w:sz w:val="24"/>
          <w:szCs w:val="24"/>
          <w:lang w:val="uk-UA"/>
        </w:rPr>
        <w:t>бенефіціарним</w:t>
      </w:r>
      <w:proofErr w:type="spellEnd"/>
      <w:r w:rsidRPr="0088344C">
        <w:rPr>
          <w:sz w:val="24"/>
          <w:szCs w:val="24"/>
          <w:lang w:val="uk-UA"/>
        </w:rPr>
        <w:t xml:space="preserve"> власником Групи </w:t>
      </w:r>
      <w:proofErr w:type="spellStart"/>
      <w:r w:rsidRPr="0088344C">
        <w:rPr>
          <w:sz w:val="24"/>
          <w:szCs w:val="24"/>
          <w:lang w:val="uk-UA"/>
        </w:rPr>
        <w:t>Hillhouse</w:t>
      </w:r>
      <w:proofErr w:type="spellEnd"/>
      <w:r w:rsidRPr="0088344C">
        <w:rPr>
          <w:sz w:val="24"/>
          <w:szCs w:val="24"/>
          <w:lang w:val="uk-UA"/>
        </w:rPr>
        <w:t xml:space="preserve"> є </w:t>
      </w:r>
      <w:r>
        <w:rPr>
          <w:sz w:val="24"/>
          <w:szCs w:val="24"/>
          <w:lang w:val="uk-UA"/>
        </w:rPr>
        <w:t>нерезидент України.</w:t>
      </w:r>
    </w:p>
    <w:p w:rsidR="00171B85" w:rsidRPr="00FB7538" w:rsidRDefault="00171B85" w:rsidP="00171B85">
      <w:pPr>
        <w:spacing w:after="24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green"/>
          <w:lang w:val="uk-UA" w:eastAsia="zh-CN"/>
        </w:rPr>
      </w:pPr>
    </w:p>
    <w:p w:rsidR="00171B85" w:rsidRPr="0088344C" w:rsidRDefault="00171B85" w:rsidP="0088344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88344C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71B85" w:rsidRPr="0088344C" w:rsidRDefault="00171B85" w:rsidP="0088344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171B85" w:rsidRPr="0088344C" w:rsidRDefault="00171B85" w:rsidP="0088344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88344C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834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171B85" w:rsidRPr="00FB7538" w:rsidRDefault="00171B85" w:rsidP="00171B8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  <w:lang w:val="uk-UA" w:eastAsia="ru-RU"/>
        </w:rPr>
      </w:pPr>
    </w:p>
    <w:p w:rsidR="00171B85" w:rsidRPr="0088344C" w:rsidRDefault="00171B85" w:rsidP="008834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ru-RU"/>
        </w:rPr>
      </w:pPr>
      <w:r w:rsidRPr="0088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bookmarkStart w:id="1" w:name="_Hlk72933949"/>
      <w:r w:rsidR="0088344C" w:rsidRPr="0088344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компанії</w:t>
      </w:r>
      <w:r w:rsidRPr="0088344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8344C" w:rsidRPr="0088344C">
        <w:rPr>
          <w:rFonts w:ascii="Times New Roman" w:hAnsi="Times New Roman" w:cs="Times New Roman"/>
          <w:sz w:val="24"/>
          <w:szCs w:val="24"/>
          <w:lang w:val="fr-FR"/>
        </w:rPr>
        <w:t xml:space="preserve">Nobel </w:t>
      </w:r>
      <w:proofErr w:type="spellStart"/>
      <w:r w:rsidR="0088344C" w:rsidRPr="0088344C">
        <w:rPr>
          <w:rFonts w:ascii="Times New Roman" w:hAnsi="Times New Roman" w:cs="Times New Roman"/>
          <w:sz w:val="24"/>
          <w:szCs w:val="24"/>
          <w:lang w:val="fr-FR"/>
        </w:rPr>
        <w:t>Bidco</w:t>
      </w:r>
      <w:proofErr w:type="spellEnd"/>
      <w:r w:rsidR="0088344C" w:rsidRPr="0088344C">
        <w:rPr>
          <w:rFonts w:ascii="Times New Roman" w:hAnsi="Times New Roman" w:cs="Times New Roman"/>
          <w:sz w:val="24"/>
          <w:szCs w:val="24"/>
          <w:lang w:val="fr-FR"/>
        </w:rPr>
        <w:t xml:space="preserve"> B.V.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» (</w:t>
      </w:r>
      <w:r w:rsidR="0088344C" w:rsidRPr="0088344C">
        <w:rPr>
          <w:rFonts w:ascii="Times New Roman" w:eastAsia="Arial Unicode MS" w:hAnsi="Times New Roman" w:cs="Times New Roman"/>
          <w:spacing w:val="-2"/>
          <w:sz w:val="24"/>
          <w:szCs w:val="24"/>
          <w:lang w:val="uk-UA"/>
        </w:rPr>
        <w:t>м. Амстердам</w:t>
      </w:r>
      <w:r w:rsidR="0088344C" w:rsidRPr="0088344C">
        <w:rPr>
          <w:rFonts w:ascii="Times New Roman" w:eastAsia="Arial Unicode MS" w:hAnsi="Times New Roman" w:cs="Times New Roman"/>
          <w:spacing w:val="-2"/>
          <w:sz w:val="24"/>
          <w:szCs w:val="24"/>
          <w:lang w:val="fr-FR"/>
        </w:rPr>
        <w:t xml:space="preserve">, </w:t>
      </w:r>
      <w:r w:rsidR="0088344C" w:rsidRPr="0088344C">
        <w:rPr>
          <w:rFonts w:ascii="Times New Roman" w:eastAsia="Arial Unicode MS" w:hAnsi="Times New Roman" w:cs="Times New Roman"/>
          <w:spacing w:val="-2"/>
          <w:sz w:val="24"/>
          <w:szCs w:val="24"/>
          <w:lang w:val="uk-UA"/>
        </w:rPr>
        <w:t>Нідерланди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88344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на придбання </w:t>
      </w:r>
      <w:r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акцій компанії </w:t>
      </w:r>
      <w:r w:rsidR="0088344C" w:rsidRPr="0088344C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Philips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Appliances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Holding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8344C" w:rsidRPr="0088344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.»</w:t>
      </w:r>
      <w:r w:rsidR="002F51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 xml:space="preserve">(м. </w:t>
      </w:r>
      <w:proofErr w:type="spellStart"/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Ейндховен</w:t>
      </w:r>
      <w:proofErr w:type="spellEnd"/>
      <w:r w:rsidR="0088344C" w:rsidRPr="0088344C">
        <w:rPr>
          <w:rFonts w:ascii="Times New Roman" w:hAnsi="Times New Roman" w:cs="Times New Roman"/>
          <w:sz w:val="24"/>
          <w:szCs w:val="24"/>
          <w:lang w:val="uk-UA"/>
        </w:rPr>
        <w:t>, Нідерланди)</w:t>
      </w:r>
      <w:r w:rsidRPr="0088344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Pr="0088344C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забезпечує перевищення 50 відсотків голосів у вищому органі управління компанії</w:t>
      </w:r>
      <w:bookmarkEnd w:id="1"/>
      <w:r w:rsidRPr="0088344C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88344C" w:rsidRPr="0088344C" w:rsidRDefault="0088344C" w:rsidP="00171B8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1B85" w:rsidRPr="0088344C" w:rsidRDefault="00171B85" w:rsidP="00171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69CC" w:rsidRPr="00B369CC" w:rsidRDefault="00B369CC" w:rsidP="00B369CC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uk-UA"/>
        </w:rPr>
      </w:pPr>
      <w:r w:rsidRPr="00B369CC">
        <w:rPr>
          <w:rFonts w:ascii="Times New Roman" w:hAnsi="Times New Roman" w:cs="Times New Roman"/>
          <w:sz w:val="24"/>
          <w:szCs w:val="24"/>
        </w:rPr>
        <w:t xml:space="preserve">В. о. </w:t>
      </w:r>
      <w:proofErr w:type="spellStart"/>
      <w:r w:rsidRPr="00B369CC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369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9CC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B369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Н. БУРОМЕНСЬКА</w:t>
      </w:r>
    </w:p>
    <w:p w:rsidR="00F830FA" w:rsidRPr="00B369CC" w:rsidRDefault="00F830FA">
      <w:pPr>
        <w:rPr>
          <w:lang w:val="uk-UA"/>
        </w:rPr>
      </w:pPr>
    </w:p>
    <w:sectPr w:rsidR="00F830FA" w:rsidRPr="00B369CC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6C0" w:rsidRDefault="0088344C">
      <w:pPr>
        <w:spacing w:after="0" w:line="240" w:lineRule="auto"/>
      </w:pPr>
      <w:r>
        <w:separator/>
      </w:r>
    </w:p>
  </w:endnote>
  <w:endnote w:type="continuationSeparator" w:id="0">
    <w:p w:rsidR="00D926C0" w:rsidRDefault="00883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6C0" w:rsidRDefault="0088344C">
      <w:pPr>
        <w:spacing w:after="0" w:line="240" w:lineRule="auto"/>
      </w:pPr>
      <w:r>
        <w:separator/>
      </w:r>
    </w:p>
  </w:footnote>
  <w:footnote w:type="continuationSeparator" w:id="0">
    <w:p w:rsidR="00D926C0" w:rsidRDefault="00883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9E47AD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FB7538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  <w:p w:rsidR="00FD15D3" w:rsidRPr="008330EC" w:rsidRDefault="009E47AD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5D3" w:rsidRPr="003A036E" w:rsidRDefault="00FB7538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9E47AD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562A"/>
    <w:multiLevelType w:val="multilevel"/>
    <w:tmpl w:val="F5E013F2"/>
    <w:lvl w:ilvl="0">
      <w:start w:val="1"/>
      <w:numFmt w:val="none"/>
      <w:pStyle w:val="TableL1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lowerLetter"/>
      <w:pStyle w:val="TableL2"/>
      <w:lvlText w:val="(%2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lowerRoman"/>
      <w:pStyle w:val="Tabl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upperLetter"/>
      <w:pStyle w:val="Tabl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4">
      <w:start w:val="1"/>
      <w:numFmt w:val="decimal"/>
      <w:pStyle w:val="Table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5">
      <w:start w:val="1"/>
      <w:numFmt w:val="none"/>
      <w:lvlRestart w:val="0"/>
      <w:pStyle w:val="TableL6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6">
      <w:start w:val="1"/>
      <w:numFmt w:val="none"/>
      <w:lvlRestart w:val="0"/>
      <w:pStyle w:val="TableL7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7">
      <w:start w:val="1"/>
      <w:numFmt w:val="none"/>
      <w:lvlRestart w:val="0"/>
      <w:pStyle w:val="TableL8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8">
      <w:start w:val="1"/>
      <w:numFmt w:val="none"/>
      <w:lvlRestart w:val="0"/>
      <w:pStyle w:val="TableL9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1" w15:restartNumberingAfterBreak="0">
    <w:nsid w:val="5D8A4921"/>
    <w:multiLevelType w:val="multilevel"/>
    <w:tmpl w:val="3104CE9A"/>
    <w:lvl w:ilvl="0">
      <w:start w:val="1"/>
      <w:numFmt w:val="decimal"/>
      <w:pStyle w:val="Clause1Head"/>
      <w:isLgl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pStyle w:val="Clause2Sub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Clause3Sub"/>
      <w:lvlText w:val="%1.%2.%3."/>
      <w:lvlJc w:val="left"/>
      <w:pPr>
        <w:tabs>
          <w:tab w:val="num" w:pos="2552"/>
        </w:tabs>
        <w:ind w:left="2552" w:hanging="1112"/>
      </w:pPr>
      <w:rPr>
        <w:rFonts w:hint="default"/>
        <w:b w:val="0"/>
      </w:rPr>
    </w:lvl>
    <w:lvl w:ilvl="3">
      <w:start w:val="1"/>
      <w:numFmt w:val="decimal"/>
      <w:pStyle w:val="Clause4Sub"/>
      <w:lvlText w:val="%1.%2.%3.%4."/>
      <w:lvlJc w:val="left"/>
      <w:pPr>
        <w:tabs>
          <w:tab w:val="num" w:pos="3600"/>
        </w:tabs>
        <w:ind w:left="3600" w:hanging="1048"/>
      </w:pPr>
      <w:rPr>
        <w:rFonts w:hint="default"/>
      </w:rPr>
    </w:lvl>
    <w:lvl w:ilvl="4">
      <w:start w:val="1"/>
      <w:numFmt w:val="decimal"/>
      <w:pStyle w:val="Clause5Sub"/>
      <w:lvlText w:val="%1.%2.%3.%4.%5."/>
      <w:lvlJc w:val="left"/>
      <w:pPr>
        <w:tabs>
          <w:tab w:val="num" w:pos="5041"/>
        </w:tabs>
        <w:ind w:left="5041" w:hanging="1441"/>
      </w:pPr>
      <w:rPr>
        <w:rFonts w:hint="default"/>
      </w:rPr>
    </w:lvl>
    <w:lvl w:ilvl="5">
      <w:start w:val="1"/>
      <w:numFmt w:val="decimal"/>
      <w:pStyle w:val="Clause6Sub"/>
      <w:lvlText w:val="%1.%2.%3.%4.%5.%6."/>
      <w:lvlJc w:val="left"/>
      <w:pPr>
        <w:tabs>
          <w:tab w:val="num" w:pos="6481"/>
        </w:tabs>
        <w:ind w:left="6481" w:hanging="1440"/>
      </w:pPr>
      <w:rPr>
        <w:rFonts w:hint="default"/>
      </w:rPr>
    </w:lvl>
    <w:lvl w:ilvl="6">
      <w:start w:val="1"/>
      <w:numFmt w:val="decimal"/>
      <w:pStyle w:val="Clause7Sub"/>
      <w:lvlText w:val="%1.%2.%3.%4.%5.%6.%7."/>
      <w:lvlJc w:val="left"/>
      <w:pPr>
        <w:tabs>
          <w:tab w:val="num" w:pos="7201"/>
        </w:tabs>
        <w:ind w:left="7201" w:hanging="1871"/>
      </w:pPr>
      <w:rPr>
        <w:rFonts w:hint="default"/>
      </w:rPr>
    </w:lvl>
    <w:lvl w:ilvl="7">
      <w:start w:val="1"/>
      <w:numFmt w:val="decimal"/>
      <w:pStyle w:val="Clause8Sub"/>
      <w:lvlText w:val="%1.%2.%3.%4.%5.%6.%7.%8."/>
      <w:lvlJc w:val="left"/>
      <w:pPr>
        <w:tabs>
          <w:tab w:val="num" w:pos="7921"/>
        </w:tabs>
        <w:ind w:left="7921" w:hanging="1967"/>
      </w:pPr>
      <w:rPr>
        <w:rFonts w:hint="default"/>
      </w:rPr>
    </w:lvl>
    <w:lvl w:ilvl="8">
      <w:start w:val="1"/>
      <w:numFmt w:val="decimal"/>
      <w:pStyle w:val="Clause9Sub"/>
      <w:isLgl/>
      <w:lvlText w:val="%1.%2.%3.%4.%5.%6.%7.%8.%9."/>
      <w:lvlJc w:val="left"/>
      <w:pPr>
        <w:tabs>
          <w:tab w:val="num" w:pos="8222"/>
        </w:tabs>
        <w:ind w:left="8222" w:hanging="1741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85"/>
    <w:rsid w:val="0012762B"/>
    <w:rsid w:val="00171B85"/>
    <w:rsid w:val="00244B57"/>
    <w:rsid w:val="002F5100"/>
    <w:rsid w:val="004A2BCC"/>
    <w:rsid w:val="007137E5"/>
    <w:rsid w:val="0088344C"/>
    <w:rsid w:val="009C0F91"/>
    <w:rsid w:val="00A16EA3"/>
    <w:rsid w:val="00AF6DAA"/>
    <w:rsid w:val="00B369CC"/>
    <w:rsid w:val="00D926C0"/>
    <w:rsid w:val="00F830FA"/>
    <w:rsid w:val="00FB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74B6"/>
  <w15:chartTrackingRefBased/>
  <w15:docId w15:val="{18DD089B-A59C-4AE4-8FF6-34FC3D5C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1B8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1B85"/>
    <w:rPr>
      <w:lang w:val="ru-RU"/>
    </w:rPr>
  </w:style>
  <w:style w:type="paragraph" w:customStyle="1" w:styleId="Clause2Sub">
    <w:name w:val="Clause2Sub"/>
    <w:basedOn w:val="a"/>
    <w:uiPriority w:val="99"/>
    <w:qFormat/>
    <w:rsid w:val="00171B85"/>
    <w:pPr>
      <w:numPr>
        <w:ilvl w:val="1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1Head">
    <w:name w:val="Clause1Head"/>
    <w:basedOn w:val="a"/>
    <w:next w:val="a"/>
    <w:uiPriority w:val="99"/>
    <w:qFormat/>
    <w:rsid w:val="00171B85"/>
    <w:pPr>
      <w:keepNext/>
      <w:numPr>
        <w:numId w:val="1"/>
      </w:numPr>
      <w:spacing w:after="240" w:line="360" w:lineRule="atLeast"/>
      <w:jc w:val="both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customStyle="1" w:styleId="Clause3Sub">
    <w:name w:val="Clause3Sub"/>
    <w:basedOn w:val="a"/>
    <w:link w:val="Clause3SubChar"/>
    <w:qFormat/>
    <w:rsid w:val="00171B85"/>
    <w:pPr>
      <w:numPr>
        <w:ilvl w:val="2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4Sub">
    <w:name w:val="Clause4Sub"/>
    <w:basedOn w:val="a"/>
    <w:uiPriority w:val="99"/>
    <w:qFormat/>
    <w:rsid w:val="00171B85"/>
    <w:pPr>
      <w:numPr>
        <w:ilvl w:val="3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5Sub">
    <w:name w:val="Clause5Sub"/>
    <w:basedOn w:val="a"/>
    <w:uiPriority w:val="99"/>
    <w:qFormat/>
    <w:rsid w:val="00171B85"/>
    <w:pPr>
      <w:numPr>
        <w:ilvl w:val="4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6Sub">
    <w:name w:val="Clause6Sub"/>
    <w:basedOn w:val="a"/>
    <w:uiPriority w:val="99"/>
    <w:qFormat/>
    <w:rsid w:val="00171B85"/>
    <w:pPr>
      <w:numPr>
        <w:ilvl w:val="5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7Sub">
    <w:name w:val="Clause7Sub"/>
    <w:basedOn w:val="a"/>
    <w:uiPriority w:val="99"/>
    <w:qFormat/>
    <w:rsid w:val="00171B85"/>
    <w:pPr>
      <w:numPr>
        <w:ilvl w:val="6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8Sub">
    <w:name w:val="Clause8Sub"/>
    <w:basedOn w:val="a"/>
    <w:uiPriority w:val="99"/>
    <w:qFormat/>
    <w:rsid w:val="00171B85"/>
    <w:pPr>
      <w:numPr>
        <w:ilvl w:val="7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9Sub">
    <w:name w:val="Clause9Sub"/>
    <w:basedOn w:val="a"/>
    <w:uiPriority w:val="99"/>
    <w:qFormat/>
    <w:rsid w:val="00171B85"/>
    <w:pPr>
      <w:numPr>
        <w:ilvl w:val="8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Clause3SubChar">
    <w:name w:val="Clause3Sub Char"/>
    <w:link w:val="Clause3Sub"/>
    <w:rsid w:val="00171B85"/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TableL9">
    <w:name w:val="Table L9"/>
    <w:basedOn w:val="a"/>
    <w:rsid w:val="00171B85"/>
    <w:pPr>
      <w:numPr>
        <w:ilvl w:val="8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8">
    <w:name w:val="Table L8"/>
    <w:basedOn w:val="a"/>
    <w:rsid w:val="00171B85"/>
    <w:pPr>
      <w:numPr>
        <w:ilvl w:val="7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7">
    <w:name w:val="Table L7"/>
    <w:basedOn w:val="a"/>
    <w:rsid w:val="00171B85"/>
    <w:pPr>
      <w:numPr>
        <w:ilvl w:val="6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6">
    <w:name w:val="Table L6"/>
    <w:basedOn w:val="a"/>
    <w:rsid w:val="00171B85"/>
    <w:pPr>
      <w:numPr>
        <w:ilvl w:val="5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5">
    <w:name w:val="Table L5"/>
    <w:basedOn w:val="a"/>
    <w:rsid w:val="00171B85"/>
    <w:pPr>
      <w:numPr>
        <w:ilvl w:val="4"/>
        <w:numId w:val="2"/>
      </w:numPr>
      <w:tabs>
        <w:tab w:val="clear" w:pos="2880"/>
      </w:tabs>
      <w:spacing w:after="240" w:line="240" w:lineRule="auto"/>
      <w:ind w:left="3600" w:hanging="360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4">
    <w:name w:val="Table L4"/>
    <w:basedOn w:val="a"/>
    <w:rsid w:val="00171B85"/>
    <w:pPr>
      <w:numPr>
        <w:ilvl w:val="3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3">
    <w:name w:val="Table L3"/>
    <w:basedOn w:val="a"/>
    <w:rsid w:val="00171B85"/>
    <w:pPr>
      <w:numPr>
        <w:ilvl w:val="2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2">
    <w:name w:val="Table L2"/>
    <w:basedOn w:val="a"/>
    <w:rsid w:val="00171B85"/>
    <w:pPr>
      <w:numPr>
        <w:ilvl w:val="1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1">
    <w:name w:val="Table L1"/>
    <w:basedOn w:val="a"/>
    <w:rsid w:val="00171B85"/>
    <w:pPr>
      <w:numPr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styleId="a5">
    <w:name w:val="footer"/>
    <w:basedOn w:val="a"/>
    <w:link w:val="a6"/>
    <w:uiPriority w:val="99"/>
    <w:unhideWhenUsed/>
    <w:rsid w:val="00713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7E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Сударенко Даря Володимірівна</dc:creator>
  <cp:keywords/>
  <dc:description/>
  <cp:lastModifiedBy>Сударенко Даря Володимірівна</cp:lastModifiedBy>
  <cp:revision>4</cp:revision>
  <cp:lastPrinted>2021-06-03T12:20:00Z</cp:lastPrinted>
  <dcterms:created xsi:type="dcterms:W3CDTF">2021-06-14T07:22:00Z</dcterms:created>
  <dcterms:modified xsi:type="dcterms:W3CDTF">2021-06-15T07:07:00Z</dcterms:modified>
</cp:coreProperties>
</file>