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60C" w:rsidRPr="00CD6876" w:rsidRDefault="00F22741" w:rsidP="00C6660C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0C" w:rsidRPr="00CD6876" w:rsidRDefault="00C6660C" w:rsidP="00C6660C">
      <w:pPr>
        <w:jc w:val="center"/>
        <w:rPr>
          <w:b/>
          <w:sz w:val="32"/>
          <w:szCs w:val="32"/>
          <w:lang w:val="ru-RU"/>
        </w:rPr>
      </w:pPr>
      <w:r w:rsidRPr="00CD6876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D6876">
        <w:rPr>
          <w:b/>
          <w:sz w:val="32"/>
          <w:szCs w:val="32"/>
        </w:rPr>
        <w:t>РІШЕННЯ</w:t>
      </w:r>
    </w:p>
    <w:p w:rsidR="007517AE" w:rsidRPr="007517AE" w:rsidRDefault="007517AE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Pr="00211F19" w:rsidRDefault="004741F5" w:rsidP="00BE7B77">
      <w:pPr>
        <w:tabs>
          <w:tab w:val="left" w:leader="hyphen" w:pos="10206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15 грудня </w:t>
      </w:r>
      <w:r w:rsidR="00FE0280" w:rsidRPr="00211F19">
        <w:rPr>
          <w:bCs/>
          <w:sz w:val="24"/>
          <w:szCs w:val="24"/>
        </w:rPr>
        <w:t>202</w:t>
      </w:r>
      <w:r w:rsidR="0058178B">
        <w:rPr>
          <w:bCs/>
          <w:sz w:val="24"/>
          <w:szCs w:val="24"/>
        </w:rPr>
        <w:t>1</w:t>
      </w:r>
      <w:r w:rsidR="00692180" w:rsidRPr="00211F19">
        <w:rPr>
          <w:bCs/>
          <w:sz w:val="24"/>
          <w:szCs w:val="24"/>
        </w:rPr>
        <w:t xml:space="preserve"> </w:t>
      </w:r>
      <w:r w:rsidR="00C6660C" w:rsidRPr="00211F19">
        <w:rPr>
          <w:bCs/>
          <w:sz w:val="24"/>
          <w:szCs w:val="24"/>
        </w:rPr>
        <w:t>р.</w:t>
      </w:r>
      <w:r w:rsidR="00BE7B77" w:rsidRPr="00211F19">
        <w:rPr>
          <w:bCs/>
          <w:sz w:val="24"/>
          <w:szCs w:val="24"/>
        </w:rPr>
        <w:t xml:space="preserve">   </w:t>
      </w:r>
      <w:r w:rsidR="00D34416" w:rsidRPr="00211F19">
        <w:rPr>
          <w:bCs/>
          <w:sz w:val="24"/>
          <w:szCs w:val="24"/>
        </w:rPr>
        <w:t xml:space="preserve">  </w:t>
      </w:r>
      <w:r w:rsidR="00C6660C" w:rsidRPr="00211F19">
        <w:rPr>
          <w:sz w:val="24"/>
          <w:szCs w:val="24"/>
        </w:rPr>
        <w:t xml:space="preserve">           </w:t>
      </w:r>
      <w:r w:rsidR="00537E85" w:rsidRPr="00211F19">
        <w:rPr>
          <w:sz w:val="24"/>
          <w:szCs w:val="24"/>
        </w:rPr>
        <w:t xml:space="preserve"> </w:t>
      </w:r>
      <w:r w:rsidR="00C6660C" w:rsidRPr="00211F19">
        <w:rPr>
          <w:sz w:val="24"/>
          <w:szCs w:val="24"/>
        </w:rPr>
        <w:t xml:space="preserve">  </w:t>
      </w:r>
      <w:r w:rsidR="00305F33" w:rsidRPr="00211F19">
        <w:rPr>
          <w:sz w:val="24"/>
          <w:szCs w:val="24"/>
        </w:rPr>
        <w:t xml:space="preserve">                </w:t>
      </w:r>
      <w:r w:rsidR="004A7652" w:rsidRPr="00211F19">
        <w:rPr>
          <w:sz w:val="24"/>
          <w:szCs w:val="24"/>
        </w:rPr>
        <w:t xml:space="preserve">   </w:t>
      </w:r>
      <w:r w:rsidR="00FE0280" w:rsidRPr="00211F19">
        <w:rPr>
          <w:sz w:val="24"/>
          <w:szCs w:val="24"/>
        </w:rPr>
        <w:t xml:space="preserve"> </w:t>
      </w:r>
      <w:r w:rsidR="009948C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C6660C" w:rsidRPr="00211F19">
        <w:rPr>
          <w:sz w:val="24"/>
          <w:szCs w:val="24"/>
        </w:rPr>
        <w:t xml:space="preserve">Київ              </w:t>
      </w:r>
      <w:r w:rsidR="00305F33" w:rsidRPr="00211F19">
        <w:rPr>
          <w:sz w:val="24"/>
          <w:szCs w:val="24"/>
        </w:rPr>
        <w:t xml:space="preserve">    </w:t>
      </w:r>
      <w:r w:rsidR="00C6660C" w:rsidRPr="00211F19">
        <w:rPr>
          <w:sz w:val="24"/>
          <w:szCs w:val="24"/>
        </w:rPr>
        <w:t xml:space="preserve">                                          </w:t>
      </w:r>
      <w:r w:rsidR="006C01A2">
        <w:rPr>
          <w:sz w:val="24"/>
          <w:szCs w:val="24"/>
        </w:rPr>
        <w:t xml:space="preserve">  </w:t>
      </w:r>
      <w:r w:rsidR="00C6660C" w:rsidRPr="00211F19">
        <w:rPr>
          <w:sz w:val="24"/>
          <w:szCs w:val="24"/>
        </w:rPr>
        <w:t>№</w:t>
      </w:r>
      <w:r w:rsidR="001D6DAC" w:rsidRPr="00211F19">
        <w:rPr>
          <w:sz w:val="24"/>
          <w:szCs w:val="24"/>
        </w:rPr>
        <w:t xml:space="preserve"> </w:t>
      </w:r>
      <w:r w:rsidR="00537E85" w:rsidRPr="00211F19">
        <w:rPr>
          <w:sz w:val="24"/>
          <w:szCs w:val="24"/>
        </w:rPr>
        <w:t xml:space="preserve"> </w:t>
      </w:r>
      <w:r w:rsidR="006E4619">
        <w:rPr>
          <w:sz w:val="24"/>
          <w:szCs w:val="24"/>
          <w:lang w:val="ru-RU"/>
        </w:rPr>
        <w:t>665</w:t>
      </w:r>
      <w:r w:rsidR="00B90CF0" w:rsidRPr="00211F19">
        <w:rPr>
          <w:sz w:val="24"/>
          <w:szCs w:val="24"/>
        </w:rPr>
        <w:t>-р</w:t>
      </w:r>
    </w:p>
    <w:p w:rsidR="00F90E6B" w:rsidRPr="00211F19" w:rsidRDefault="00F90E6B">
      <w:pPr>
        <w:rPr>
          <w:sz w:val="24"/>
          <w:szCs w:val="24"/>
        </w:rPr>
      </w:pP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Про порушення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законодавства про захист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економічної конкуренції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та накладення штрафу </w:t>
      </w:r>
    </w:p>
    <w:p w:rsidR="003D4460" w:rsidRPr="00C950CD" w:rsidRDefault="003D4460">
      <w:pPr>
        <w:jc w:val="both"/>
        <w:rPr>
          <w:sz w:val="16"/>
          <w:szCs w:val="16"/>
        </w:rPr>
      </w:pPr>
    </w:p>
    <w:p w:rsidR="00396490" w:rsidRPr="00211F19" w:rsidRDefault="0094773B" w:rsidP="00DB24ED">
      <w:pPr>
        <w:pStyle w:val="a7"/>
        <w:textAlignment w:val="baseline"/>
        <w:rPr>
          <w:spacing w:val="-2"/>
          <w:szCs w:val="24"/>
        </w:rPr>
      </w:pPr>
      <w:r w:rsidRPr="00211F19">
        <w:rPr>
          <w:spacing w:val="-2"/>
          <w:szCs w:val="24"/>
        </w:rPr>
        <w:t xml:space="preserve">Антимонопольний комітет України, розглянувши </w:t>
      </w:r>
      <w:r w:rsidR="00C17D8E" w:rsidRPr="00211F19">
        <w:rPr>
          <w:spacing w:val="-2"/>
          <w:szCs w:val="24"/>
        </w:rPr>
        <w:t xml:space="preserve">подання </w:t>
      </w:r>
      <w:r w:rsidR="00711743" w:rsidRPr="00211F19">
        <w:rPr>
          <w:spacing w:val="-2"/>
          <w:szCs w:val="24"/>
        </w:rPr>
        <w:t>Департаменту</w:t>
      </w:r>
      <w:r w:rsidR="00B20ACA" w:rsidRPr="00211F19">
        <w:rPr>
          <w:spacing w:val="-2"/>
          <w:szCs w:val="24"/>
        </w:rPr>
        <w:t xml:space="preserve"> </w:t>
      </w:r>
      <w:r w:rsidR="00BE7B77" w:rsidRPr="00211F19">
        <w:rPr>
          <w:szCs w:val="24"/>
        </w:rPr>
        <w:t>досліджень і розслідувань ринків виробничої сфери, фармацевтики та рітейлу</w:t>
      </w:r>
      <w:r w:rsidR="00C17D8E" w:rsidRPr="00211F19">
        <w:rPr>
          <w:spacing w:val="-2"/>
          <w:szCs w:val="24"/>
        </w:rPr>
        <w:t xml:space="preserve"> від</w:t>
      </w:r>
      <w:r w:rsidR="00C50D58" w:rsidRPr="00211F19">
        <w:rPr>
          <w:spacing w:val="-2"/>
          <w:szCs w:val="24"/>
        </w:rPr>
        <w:t xml:space="preserve"> </w:t>
      </w:r>
      <w:r w:rsidR="00474841">
        <w:t>03.12.2021</w:t>
      </w:r>
      <w:r w:rsidR="00BD2AF6">
        <w:t xml:space="preserve">                                      </w:t>
      </w:r>
      <w:r w:rsidR="00BD2AF6" w:rsidRPr="003A396E">
        <w:t xml:space="preserve">№ </w:t>
      </w:r>
      <w:r w:rsidR="00BD2AF6">
        <w:t>126-26.13/</w:t>
      </w:r>
      <w:r w:rsidR="00474841">
        <w:t>79</w:t>
      </w:r>
      <w:r w:rsidR="00BD2AF6">
        <w:t>-21/</w:t>
      </w:r>
      <w:r w:rsidR="00474841">
        <w:t>557</w:t>
      </w:r>
      <w:r w:rsidR="00BD2AF6">
        <w:t>-спр</w:t>
      </w:r>
      <w:r w:rsidR="00C50D58" w:rsidRPr="00211F19">
        <w:rPr>
          <w:spacing w:val="-2"/>
          <w:szCs w:val="24"/>
        </w:rPr>
        <w:t xml:space="preserve"> </w:t>
      </w:r>
      <w:r w:rsidR="00B20ACA" w:rsidRPr="00211F19">
        <w:rPr>
          <w:spacing w:val="-2"/>
          <w:szCs w:val="24"/>
        </w:rPr>
        <w:t xml:space="preserve">з попередніми висновками у справі </w:t>
      </w:r>
      <w:r w:rsidR="00C12EB6" w:rsidRPr="00211F19">
        <w:rPr>
          <w:szCs w:val="24"/>
        </w:rPr>
        <w:t xml:space="preserve">№ </w:t>
      </w:r>
      <w:r w:rsidR="0058178B">
        <w:t>126</w:t>
      </w:r>
      <w:r w:rsidR="0058178B" w:rsidRPr="00895DB1">
        <w:t>-26.13/</w:t>
      </w:r>
      <w:r w:rsidR="00474841">
        <w:t>79</w:t>
      </w:r>
      <w:r w:rsidR="0058178B">
        <w:t>-21</w:t>
      </w:r>
      <w:r w:rsidR="00C53E5A" w:rsidRPr="00211F19">
        <w:rPr>
          <w:szCs w:val="24"/>
        </w:rPr>
        <w:t>,</w:t>
      </w:r>
      <w:r w:rsidR="00B20ACA" w:rsidRPr="00211F19">
        <w:rPr>
          <w:spacing w:val="-2"/>
          <w:szCs w:val="24"/>
        </w:rPr>
        <w:t xml:space="preserve"> </w:t>
      </w:r>
    </w:p>
    <w:p w:rsidR="0094773B" w:rsidRDefault="0094773B" w:rsidP="00C950CD">
      <w:pPr>
        <w:pStyle w:val="1"/>
        <w:numPr>
          <w:ilvl w:val="0"/>
          <w:numId w:val="0"/>
        </w:numPr>
        <w:spacing w:before="360"/>
        <w:rPr>
          <w:sz w:val="24"/>
          <w:szCs w:val="24"/>
        </w:rPr>
      </w:pPr>
      <w:r w:rsidRPr="00211F19">
        <w:rPr>
          <w:sz w:val="24"/>
          <w:szCs w:val="24"/>
        </w:rPr>
        <w:t>ВСТАНОВИВ:</w:t>
      </w:r>
    </w:p>
    <w:p w:rsidR="00A51C53" w:rsidRPr="00A51C53" w:rsidRDefault="00A51C53" w:rsidP="00A51C53"/>
    <w:p w:rsidR="00FB546B" w:rsidRPr="00211F19" w:rsidRDefault="007B38A7" w:rsidP="003C2F71">
      <w:pPr>
        <w:pStyle w:val="1"/>
        <w:spacing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П</w:t>
      </w:r>
      <w:r w:rsidR="00A51C53">
        <w:rPr>
          <w:sz w:val="24"/>
          <w:szCs w:val="24"/>
        </w:rPr>
        <w:t>РЕДМЕТ СПРАВИ</w:t>
      </w:r>
    </w:p>
    <w:p w:rsidR="00BD2AF6" w:rsidRPr="003C4C25" w:rsidRDefault="00BD2AF6" w:rsidP="00BD2AF6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t xml:space="preserve">Вчинення </w:t>
      </w:r>
      <w:r w:rsidR="00474841">
        <w:t>компанією «</w:t>
      </w:r>
      <w:r w:rsidR="00474841" w:rsidRPr="00946885">
        <w:rPr>
          <w:szCs w:val="24"/>
        </w:rPr>
        <w:t>ARMPITCH HOLDINGS LIMITED</w:t>
      </w:r>
      <w:r w:rsidR="00474841">
        <w:rPr>
          <w:szCs w:val="24"/>
        </w:rPr>
        <w:t>»</w:t>
      </w:r>
      <w:r w:rsidR="00474841" w:rsidRPr="00452C93">
        <w:t xml:space="preserve"> </w:t>
      </w:r>
      <w:r w:rsidR="00474841">
        <w:t>(</w:t>
      </w:r>
      <w:r w:rsidR="00474841" w:rsidRPr="00946885">
        <w:t>м. Лімасол, Кіпр</w:t>
      </w:r>
      <w:r w:rsidR="00474841">
        <w:t xml:space="preserve">) </w:t>
      </w:r>
      <w:r w:rsidR="00474841" w:rsidRPr="00452C93">
        <w:rPr>
          <w:szCs w:val="24"/>
        </w:rPr>
        <w:t xml:space="preserve">порушення, передбаченого пунктом 12 статті 50 Закону України «Про захист економічної конкуренції», </w:t>
      </w:r>
      <w:r w:rsidR="00474841" w:rsidRPr="00CD418D">
        <w:t xml:space="preserve">у вигляді здійснення </w:t>
      </w:r>
      <w:r w:rsidR="00474841" w:rsidRPr="00AA384F">
        <w:t xml:space="preserve">концентрації шляхом </w:t>
      </w:r>
      <w:r w:rsidR="00474841" w:rsidRPr="002A07CE">
        <w:t>набуття у власність акцій компанії «</w:t>
      </w:r>
      <w:r w:rsidR="00474841" w:rsidRPr="00C7245F">
        <w:rPr>
          <w:lang w:val="en-US"/>
        </w:rPr>
        <w:t>AGRICOM</w:t>
      </w:r>
      <w:r w:rsidR="00474841" w:rsidRPr="002A07CE">
        <w:t xml:space="preserve"> </w:t>
      </w:r>
      <w:r w:rsidR="00474841" w:rsidRPr="00C7245F">
        <w:rPr>
          <w:lang w:val="en-US"/>
        </w:rPr>
        <w:t>GROUP</w:t>
      </w:r>
      <w:r w:rsidR="00474841" w:rsidRPr="002A07CE">
        <w:t xml:space="preserve"> </w:t>
      </w:r>
      <w:r w:rsidR="00474841" w:rsidRPr="00C7245F">
        <w:rPr>
          <w:lang w:val="en-US"/>
        </w:rPr>
        <w:t>LIMITED</w:t>
      </w:r>
      <w:r w:rsidR="00474841">
        <w:t xml:space="preserve">» </w:t>
      </w:r>
      <w:r w:rsidR="00474841" w:rsidRPr="002A07CE">
        <w:t>(м. Нікосія, Кіпр), що забезпечило перевищення 25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</w:t>
      </w:r>
      <w:r w:rsidRPr="003C4C25">
        <w:rPr>
          <w:szCs w:val="24"/>
        </w:rPr>
        <w:t>.</w:t>
      </w:r>
    </w:p>
    <w:p w:rsidR="00653799" w:rsidRPr="00653799" w:rsidRDefault="00653799" w:rsidP="00653799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653799">
        <w:rPr>
          <w:sz w:val="24"/>
          <w:szCs w:val="24"/>
        </w:rPr>
        <w:t>ВІДПОВІДАЧ</w:t>
      </w:r>
    </w:p>
    <w:p w:rsidR="001E258D" w:rsidRPr="00DC68AA" w:rsidRDefault="00474841" w:rsidP="00EC142D">
      <w:pPr>
        <w:pStyle w:val="210"/>
        <w:numPr>
          <w:ilvl w:val="1"/>
          <w:numId w:val="23"/>
        </w:numPr>
        <w:ind w:left="709" w:hanging="709"/>
        <w:textAlignment w:val="baseline"/>
      </w:pPr>
      <w:r>
        <w:t>Компанія «</w:t>
      </w:r>
      <w:r w:rsidRPr="003B170C">
        <w:rPr>
          <w:szCs w:val="24"/>
        </w:rPr>
        <w:t>ARMPITCH HOLDINGS LIMITED</w:t>
      </w:r>
      <w:r>
        <w:t xml:space="preserve">», </w:t>
      </w:r>
      <w:r w:rsidRPr="00DC68AA">
        <w:t>яка знаходиться за адресою:</w:t>
      </w:r>
      <w:r w:rsidRPr="00703FF2">
        <w:t xml:space="preserve"> </w:t>
      </w:r>
      <w:r>
        <w:t xml:space="preserve">                           </w:t>
      </w:r>
      <w:r w:rsidRPr="002A07CE">
        <w:t>м. Лімасол, Кіпр</w:t>
      </w:r>
      <w:r>
        <w:t>.</w:t>
      </w:r>
    </w:p>
    <w:p w:rsidR="001E258D" w:rsidRPr="00A51C53" w:rsidRDefault="001E258D" w:rsidP="00A51C53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A51C53">
        <w:rPr>
          <w:sz w:val="24"/>
          <w:szCs w:val="24"/>
        </w:rPr>
        <w:t>ПРОЦЕСУАЛЬНІ ДІЇ</w:t>
      </w:r>
    </w:p>
    <w:p w:rsidR="008E707A" w:rsidRDefault="001E258D" w:rsidP="008E707A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876DF">
        <w:rPr>
          <w:szCs w:val="24"/>
        </w:rPr>
        <w:t xml:space="preserve">Розпорядженням державного уповноваженого Антимонопольного комітету України </w:t>
      </w:r>
      <w:r>
        <w:rPr>
          <w:szCs w:val="24"/>
        </w:rPr>
        <w:t xml:space="preserve">                          </w:t>
      </w:r>
      <w:r w:rsidRPr="004876DF">
        <w:rPr>
          <w:szCs w:val="24"/>
        </w:rPr>
        <w:t xml:space="preserve">від  </w:t>
      </w:r>
      <w:r>
        <w:rPr>
          <w:szCs w:val="24"/>
        </w:rPr>
        <w:t xml:space="preserve">29 червня </w:t>
      </w:r>
      <w:r w:rsidRPr="004876DF">
        <w:rPr>
          <w:szCs w:val="24"/>
        </w:rPr>
        <w:t xml:space="preserve">2021 року </w:t>
      </w:r>
      <w:r w:rsidRPr="004817D3">
        <w:t xml:space="preserve">№ </w:t>
      </w:r>
      <w:r>
        <w:t>03/156</w:t>
      </w:r>
      <w:r w:rsidRPr="004817D3">
        <w:t>-р</w:t>
      </w:r>
      <w:r w:rsidRPr="004876DF">
        <w:rPr>
          <w:szCs w:val="24"/>
        </w:rPr>
        <w:t xml:space="preserve"> розпочато розгляд справи № </w:t>
      </w:r>
      <w:r>
        <w:t xml:space="preserve">126-26.13/79-21 </w:t>
      </w:r>
      <w:r w:rsidRPr="004876DF">
        <w:rPr>
          <w:szCs w:val="24"/>
        </w:rPr>
        <w:t>про порушення законодавства про захист економічної конкуренції</w:t>
      </w:r>
      <w:r w:rsidR="008E707A">
        <w:rPr>
          <w:szCs w:val="24"/>
        </w:rPr>
        <w:t>.</w:t>
      </w:r>
    </w:p>
    <w:p w:rsidR="008E707A" w:rsidRPr="004817D3" w:rsidRDefault="008E707A" w:rsidP="00E51A34">
      <w:pPr>
        <w:pStyle w:val="210"/>
        <w:ind w:firstLine="0"/>
        <w:rPr>
          <w:szCs w:val="24"/>
        </w:rPr>
      </w:pPr>
    </w:p>
    <w:p w:rsidR="008E707A" w:rsidRPr="004817D3" w:rsidRDefault="006471F3" w:rsidP="008E707A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817D3">
        <w:rPr>
          <w:szCs w:val="24"/>
        </w:rPr>
        <w:t xml:space="preserve">Листом Антимонопольного комітету України від </w:t>
      </w:r>
      <w:r>
        <w:rPr>
          <w:szCs w:val="24"/>
        </w:rPr>
        <w:t xml:space="preserve">29.06.2021 </w:t>
      </w:r>
      <w:r w:rsidRPr="004817D3">
        <w:rPr>
          <w:szCs w:val="24"/>
        </w:rPr>
        <w:t xml:space="preserve">№ </w:t>
      </w:r>
      <w:r>
        <w:rPr>
          <w:szCs w:val="24"/>
        </w:rPr>
        <w:t xml:space="preserve">126-26.13/09-9774 </w:t>
      </w:r>
      <w:r w:rsidRPr="004817D3">
        <w:rPr>
          <w:szCs w:val="24"/>
        </w:rPr>
        <w:t xml:space="preserve">було повідомлено </w:t>
      </w:r>
      <w:r w:rsidRPr="00173EB1">
        <w:rPr>
          <w:szCs w:val="24"/>
        </w:rPr>
        <w:t xml:space="preserve">уповноваженого представника </w:t>
      </w:r>
      <w:r>
        <w:rPr>
          <w:szCs w:val="24"/>
        </w:rPr>
        <w:t>компанії «</w:t>
      </w:r>
      <w:r w:rsidRPr="00C7245F">
        <w:rPr>
          <w:lang w:val="en-US"/>
        </w:rPr>
        <w:t>AGRICOM</w:t>
      </w:r>
      <w:r w:rsidRPr="002A07CE">
        <w:t xml:space="preserve"> </w:t>
      </w:r>
      <w:r w:rsidRPr="00C7245F">
        <w:rPr>
          <w:lang w:val="en-US"/>
        </w:rPr>
        <w:t>GROUP</w:t>
      </w:r>
      <w:r w:rsidRPr="002A07CE">
        <w:t xml:space="preserve"> </w:t>
      </w:r>
      <w:r w:rsidRPr="00C7245F">
        <w:rPr>
          <w:lang w:val="en-US"/>
        </w:rPr>
        <w:t>LIMITED</w:t>
      </w:r>
      <w:r>
        <w:rPr>
          <w:szCs w:val="24"/>
        </w:rPr>
        <w:t xml:space="preserve">» </w:t>
      </w:r>
      <w:r w:rsidRPr="00173EB1">
        <w:rPr>
          <w:szCs w:val="24"/>
        </w:rPr>
        <w:t xml:space="preserve"> про початок розгляду</w:t>
      </w:r>
      <w:r w:rsidRPr="004817D3">
        <w:rPr>
          <w:szCs w:val="24"/>
        </w:rPr>
        <w:t xml:space="preserve"> справи про порушення законодавства про захист економічної конкуренції та запропоновано надати інформацію, необхідну для її розгляду</w:t>
      </w:r>
      <w:r w:rsidR="008E707A" w:rsidRPr="004817D3">
        <w:rPr>
          <w:szCs w:val="24"/>
        </w:rPr>
        <w:t>.</w:t>
      </w:r>
    </w:p>
    <w:p w:rsidR="00865C3A" w:rsidRPr="003A3D9D" w:rsidRDefault="00865C3A" w:rsidP="00865C3A">
      <w:pPr>
        <w:pStyle w:val="210"/>
        <w:ind w:firstLine="0"/>
        <w:textAlignment w:val="baseline"/>
      </w:pPr>
    </w:p>
    <w:p w:rsidR="00B36219" w:rsidRDefault="00B36219" w:rsidP="006C61C5">
      <w:pPr>
        <w:pStyle w:val="210"/>
        <w:numPr>
          <w:ilvl w:val="1"/>
          <w:numId w:val="23"/>
        </w:numPr>
        <w:ind w:left="709" w:hanging="709"/>
        <w:textAlignment w:val="baseline"/>
      </w:pPr>
      <w:r w:rsidRPr="003A3D9D">
        <w:t xml:space="preserve">За результатами збирання та аналізу доказів у справі № </w:t>
      </w:r>
      <w:r w:rsidR="00BD2AF6">
        <w:t>126</w:t>
      </w:r>
      <w:r w:rsidR="00BD2AF6" w:rsidRPr="00895DB1">
        <w:t>-26.13/</w:t>
      </w:r>
      <w:r w:rsidR="005E336A">
        <w:t>79</w:t>
      </w:r>
      <w:r w:rsidR="00BD2AF6">
        <w:t>-21</w:t>
      </w:r>
      <w:r w:rsidR="00C97F0B" w:rsidRPr="003A3D9D">
        <w:t xml:space="preserve">                            </w:t>
      </w:r>
      <w:r w:rsidR="00120C5D" w:rsidRPr="003A3D9D">
        <w:t xml:space="preserve"> </w:t>
      </w:r>
      <w:r w:rsidRPr="003A3D9D">
        <w:t xml:space="preserve">було складено подання з попередніми висновками від </w:t>
      </w:r>
      <w:r w:rsidR="006471F3">
        <w:t xml:space="preserve">03.12.2021                                      </w:t>
      </w:r>
      <w:r w:rsidR="006471F3" w:rsidRPr="003A396E">
        <w:t xml:space="preserve">№ </w:t>
      </w:r>
      <w:r w:rsidR="006471F3">
        <w:t>126-26.13/79-21/557-спр</w:t>
      </w:r>
      <w:r w:rsidR="00D44202" w:rsidRPr="003A3D9D">
        <w:t xml:space="preserve"> </w:t>
      </w:r>
      <w:r w:rsidRPr="003A3D9D">
        <w:t>та надіслано відповідач</w:t>
      </w:r>
      <w:r w:rsidR="001C15EE" w:rsidRPr="003A3D9D">
        <w:t>у</w:t>
      </w:r>
      <w:r w:rsidRPr="003A3D9D">
        <w:t xml:space="preserve"> листом </w:t>
      </w:r>
      <w:r w:rsidR="00120C5D" w:rsidRPr="003A3D9D">
        <w:t xml:space="preserve"> </w:t>
      </w:r>
      <w:r w:rsidRPr="003A3D9D">
        <w:t xml:space="preserve">від </w:t>
      </w:r>
      <w:r w:rsidR="006471F3">
        <w:t>03.12.2021</w:t>
      </w:r>
      <w:r w:rsidR="000456EA" w:rsidRPr="003A3D9D">
        <w:t xml:space="preserve">                           </w:t>
      </w:r>
      <w:r w:rsidR="001C5CA7" w:rsidRPr="003A3D9D">
        <w:t xml:space="preserve"> </w:t>
      </w:r>
      <w:r w:rsidR="00D44202" w:rsidRPr="003A3D9D">
        <w:t xml:space="preserve"> № </w:t>
      </w:r>
      <w:r w:rsidR="008E707A">
        <w:t>126-26.13/</w:t>
      </w:r>
      <w:r w:rsidR="006471F3">
        <w:t xml:space="preserve">9-17385 </w:t>
      </w:r>
      <w:r w:rsidR="008E707A">
        <w:t xml:space="preserve"> </w:t>
      </w:r>
      <w:r w:rsidRPr="003A3D9D">
        <w:t>для</w:t>
      </w:r>
      <w:r w:rsidRPr="00AD67CB">
        <w:t xml:space="preserve"> надання своїх міркувань і заперечень, викладених у поданні.</w:t>
      </w:r>
    </w:p>
    <w:p w:rsidR="00865C3A" w:rsidRPr="00AD67CB" w:rsidRDefault="00865C3A" w:rsidP="000A7CCE">
      <w:pPr>
        <w:pStyle w:val="210"/>
        <w:ind w:firstLine="0"/>
        <w:textAlignment w:val="baseline"/>
      </w:pPr>
    </w:p>
    <w:p w:rsidR="00747648" w:rsidRDefault="006471F3" w:rsidP="000C18B3">
      <w:pPr>
        <w:pStyle w:val="210"/>
        <w:numPr>
          <w:ilvl w:val="1"/>
          <w:numId w:val="23"/>
        </w:numPr>
        <w:ind w:left="709" w:hanging="709"/>
        <w:textAlignment w:val="baseline"/>
        <w:rPr>
          <w:rFonts w:eastAsia="Calibri"/>
          <w:bCs/>
        </w:rPr>
      </w:pPr>
      <w:r>
        <w:rPr>
          <w:szCs w:val="24"/>
        </w:rPr>
        <w:lastRenderedPageBreak/>
        <w:t>Компанія «</w:t>
      </w:r>
      <w:r w:rsidRPr="00946885">
        <w:rPr>
          <w:szCs w:val="24"/>
        </w:rPr>
        <w:t>ARMPITCH HOLDINGS LIMITED</w:t>
      </w:r>
      <w:r>
        <w:rPr>
          <w:szCs w:val="24"/>
        </w:rPr>
        <w:t>»</w:t>
      </w:r>
      <w:r w:rsidR="00BD2AF6">
        <w:rPr>
          <w:szCs w:val="24"/>
        </w:rPr>
        <w:t xml:space="preserve"> </w:t>
      </w:r>
      <w:r w:rsidR="00BD2AF6" w:rsidRPr="00173EB1">
        <w:rPr>
          <w:szCs w:val="24"/>
        </w:rPr>
        <w:t xml:space="preserve"> </w:t>
      </w:r>
      <w:r w:rsidR="00B36219" w:rsidRPr="007A11FA">
        <w:t>листом</w:t>
      </w:r>
      <w:r w:rsidR="00C21232" w:rsidRPr="007A11FA">
        <w:t xml:space="preserve"> </w:t>
      </w:r>
      <w:r w:rsidR="00B36219" w:rsidRPr="007A11FA">
        <w:t xml:space="preserve"> </w:t>
      </w:r>
      <w:r>
        <w:t>від 06.12.2021</w:t>
      </w:r>
      <w:r w:rsidR="00C21232" w:rsidRPr="007A11FA">
        <w:t xml:space="preserve"> </w:t>
      </w:r>
      <w:r w:rsidR="00BD2AF6">
        <w:t>б/н</w:t>
      </w:r>
      <w:r w:rsidR="00415593" w:rsidRPr="007A11FA">
        <w:t xml:space="preserve"> </w:t>
      </w:r>
      <w:r w:rsidR="00B36219" w:rsidRPr="007A11FA">
        <w:t xml:space="preserve">(зареєстрованим у Комітеті </w:t>
      </w:r>
      <w:r>
        <w:t>07.12.2021</w:t>
      </w:r>
      <w:r w:rsidR="001E287C" w:rsidRPr="001E287C">
        <w:t xml:space="preserve"> </w:t>
      </w:r>
      <w:r w:rsidR="00B36219" w:rsidRPr="007A11FA">
        <w:t xml:space="preserve">за </w:t>
      </w:r>
      <w:r w:rsidR="00C21232" w:rsidRPr="007A11FA">
        <w:t xml:space="preserve"> </w:t>
      </w:r>
      <w:r w:rsidR="00B36219" w:rsidRPr="007A11FA">
        <w:t xml:space="preserve">№ </w:t>
      </w:r>
      <w:r>
        <w:t>8-09/6815</w:t>
      </w:r>
      <w:r w:rsidR="00B36219" w:rsidRPr="007A11FA">
        <w:t xml:space="preserve">) </w:t>
      </w:r>
      <w:r w:rsidR="00415593" w:rsidRPr="007A11FA">
        <w:t>повідоми</w:t>
      </w:r>
      <w:r w:rsidR="001F334F">
        <w:t>л</w:t>
      </w:r>
      <w:r w:rsidR="00912521">
        <w:t>а</w:t>
      </w:r>
      <w:r w:rsidR="00415593" w:rsidRPr="007A11FA">
        <w:t>, що погоджується з висновками, викладеними</w:t>
      </w:r>
      <w:r w:rsidR="00415593" w:rsidRPr="00F965E1">
        <w:t xml:space="preserve"> </w:t>
      </w:r>
      <w:r w:rsidR="00C836FD">
        <w:t>в</w:t>
      </w:r>
      <w:r w:rsidR="00415593" w:rsidRPr="00F965E1">
        <w:t xml:space="preserve"> поданні</w:t>
      </w:r>
      <w:r w:rsidR="005F7A2D">
        <w:t>,</w:t>
      </w:r>
      <w:r w:rsidR="00415593" w:rsidRPr="00F965E1">
        <w:t xml:space="preserve"> та визнає</w:t>
      </w:r>
      <w:r w:rsidR="00415593">
        <w:t xml:space="preserve"> </w:t>
      </w:r>
      <w:r w:rsidR="001C15EE">
        <w:t xml:space="preserve">вчинення </w:t>
      </w:r>
      <w:r w:rsidR="001C15EE" w:rsidRPr="00C21232">
        <w:t>н</w:t>
      </w:r>
      <w:r>
        <w:t>ею</w:t>
      </w:r>
      <w:r w:rsidR="001C15EE">
        <w:t xml:space="preserve"> </w:t>
      </w:r>
      <w:r w:rsidR="00BA1937">
        <w:t>порушення законодавства про захист економічної конк</w:t>
      </w:r>
      <w:r w:rsidR="00A93269">
        <w:t>уренції</w:t>
      </w:r>
      <w:r w:rsidR="00CB3B4E">
        <w:t xml:space="preserve"> </w:t>
      </w:r>
      <w:r w:rsidR="007C4DBA">
        <w:t xml:space="preserve"> </w:t>
      </w:r>
      <w:r w:rsidR="00BA1937" w:rsidRPr="008E707A">
        <w:rPr>
          <w:szCs w:val="24"/>
        </w:rPr>
        <w:t xml:space="preserve">у вигляді </w:t>
      </w:r>
      <w:r w:rsidRPr="00CD418D">
        <w:t xml:space="preserve">здійснення </w:t>
      </w:r>
      <w:r w:rsidRPr="00AA384F">
        <w:t xml:space="preserve">концентрації шляхом </w:t>
      </w:r>
      <w:r w:rsidRPr="002A07CE">
        <w:t>набуття у власність акцій компанії «</w:t>
      </w:r>
      <w:r w:rsidRPr="00C7245F">
        <w:rPr>
          <w:lang w:val="en-US"/>
        </w:rPr>
        <w:t>AGRICOM</w:t>
      </w:r>
      <w:r w:rsidRPr="002A07CE">
        <w:t xml:space="preserve"> </w:t>
      </w:r>
      <w:r w:rsidRPr="00C7245F">
        <w:rPr>
          <w:lang w:val="en-US"/>
        </w:rPr>
        <w:t>GROUP</w:t>
      </w:r>
      <w:r w:rsidRPr="002A07CE">
        <w:t xml:space="preserve"> </w:t>
      </w:r>
      <w:r w:rsidRPr="00C7245F">
        <w:rPr>
          <w:lang w:val="en-US"/>
        </w:rPr>
        <w:t>LIMITED</w:t>
      </w:r>
      <w:r>
        <w:t>»</w:t>
      </w:r>
      <w:r w:rsidRPr="002A07CE">
        <w:t>, що забезпечило перевищення 25 відсотків голосів у вищому органі управління компані</w:t>
      </w:r>
      <w:r>
        <w:t>ї</w:t>
      </w:r>
      <w:r w:rsidR="008E707A" w:rsidRPr="0098509C">
        <w:rPr>
          <w:rFonts w:eastAsia="Calibri"/>
          <w:bCs/>
        </w:rPr>
        <w:t>, без отримання відповідного дозволу органів Антимонопольного комітету України, наявність якого необхідна.</w:t>
      </w:r>
    </w:p>
    <w:p w:rsidR="000C18B3" w:rsidRPr="000C18B3" w:rsidRDefault="000C18B3" w:rsidP="000C18B3">
      <w:pPr>
        <w:pStyle w:val="210"/>
        <w:ind w:firstLine="0"/>
        <w:textAlignment w:val="baseline"/>
        <w:rPr>
          <w:rFonts w:eastAsia="Calibri"/>
          <w:bCs/>
        </w:rPr>
      </w:pPr>
    </w:p>
    <w:p w:rsidR="00A51C53" w:rsidRPr="00A51C53" w:rsidRDefault="00A51C53" w:rsidP="009B05AF">
      <w:pPr>
        <w:pStyle w:val="1"/>
        <w:ind w:left="709" w:hanging="709"/>
        <w:jc w:val="left"/>
        <w:rPr>
          <w:sz w:val="24"/>
          <w:szCs w:val="24"/>
        </w:rPr>
      </w:pPr>
      <w:r w:rsidRPr="00A51C53">
        <w:rPr>
          <w:sz w:val="24"/>
          <w:szCs w:val="24"/>
        </w:rPr>
        <w:t>ОБСТАВИНИ СПРАВИ</w:t>
      </w:r>
    </w:p>
    <w:p w:rsidR="00A51C53" w:rsidRPr="00D0398B" w:rsidRDefault="00A51C53" w:rsidP="009B05AF">
      <w:pPr>
        <w:pStyle w:val="210"/>
        <w:ind w:left="709" w:firstLine="0"/>
        <w:rPr>
          <w:b/>
          <w:szCs w:val="24"/>
        </w:rPr>
      </w:pPr>
      <w:r w:rsidRPr="009E47E7">
        <w:rPr>
          <w:b/>
          <w:szCs w:val="24"/>
        </w:rPr>
        <w:t>Підстави відкриття справи про порушення законодавства про</w:t>
      </w:r>
      <w:r w:rsidR="00C836FD">
        <w:rPr>
          <w:b/>
          <w:szCs w:val="24"/>
        </w:rPr>
        <w:t xml:space="preserve"> захист економічної конкуренції</w:t>
      </w:r>
    </w:p>
    <w:p w:rsidR="00E45ABD" w:rsidRDefault="00A51C53" w:rsidP="00E45AB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3B170C">
        <w:rPr>
          <w:szCs w:val="24"/>
        </w:rPr>
        <w:t>Рішенням від 21.06.2016 № 267-р Антимонопольний комітет України (далі – Комітет) надав дозвіл компанії «ARMPITCH HOLDINGS LIMITED» на придбання акцій компанії «AGRICOM GROUP LIMITED», що забезпечить досягнення 25 відсотків голосів у</w:t>
      </w:r>
      <w:r>
        <w:rPr>
          <w:szCs w:val="24"/>
        </w:rPr>
        <w:t xml:space="preserve"> </w:t>
      </w:r>
      <w:r w:rsidRPr="003B170C">
        <w:rPr>
          <w:szCs w:val="24"/>
        </w:rPr>
        <w:t>вищому органі управління компанії (заява в Комітеті зареєстрована 12.05.2016  за</w:t>
      </w:r>
      <w:r>
        <w:rPr>
          <w:szCs w:val="24"/>
        </w:rPr>
        <w:t xml:space="preserve"> </w:t>
      </w:r>
      <w:r w:rsidRPr="003B170C">
        <w:rPr>
          <w:szCs w:val="24"/>
        </w:rPr>
        <w:t>№ 15-01/202-ЕКк</w:t>
      </w:r>
      <w:r w:rsidR="00E45ABD">
        <w:rPr>
          <w:szCs w:val="24"/>
        </w:rPr>
        <w:t xml:space="preserve">. </w:t>
      </w:r>
    </w:p>
    <w:p w:rsidR="00DE3DC1" w:rsidRPr="009C5998" w:rsidRDefault="00DE3DC1" w:rsidP="00DE3DC1">
      <w:pPr>
        <w:pStyle w:val="210"/>
        <w:ind w:left="709" w:firstLine="0"/>
        <w:rPr>
          <w:szCs w:val="24"/>
        </w:rPr>
      </w:pPr>
    </w:p>
    <w:p w:rsidR="00234E52" w:rsidRPr="008B7E07" w:rsidRDefault="00234E52" w:rsidP="00234E5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B7E07">
        <w:rPr>
          <w:szCs w:val="24"/>
        </w:rPr>
        <w:t xml:space="preserve">Разом </w:t>
      </w:r>
      <w:r w:rsidR="002748B4">
        <w:rPr>
          <w:szCs w:val="24"/>
        </w:rPr>
        <w:t>і</w:t>
      </w:r>
      <w:r w:rsidR="004F5CC7">
        <w:rPr>
          <w:szCs w:val="24"/>
        </w:rPr>
        <w:t>з цим</w:t>
      </w:r>
      <w:r w:rsidRPr="008B7E07">
        <w:rPr>
          <w:szCs w:val="24"/>
        </w:rPr>
        <w:t xml:space="preserve"> </w:t>
      </w:r>
      <w:r>
        <w:rPr>
          <w:szCs w:val="24"/>
        </w:rPr>
        <w:t xml:space="preserve">Комітетом встановлено, що </w:t>
      </w:r>
      <w:r w:rsidRPr="008B7E07">
        <w:rPr>
          <w:szCs w:val="24"/>
        </w:rPr>
        <w:t>відповідно до свідоцтва  компанії «</w:t>
      </w:r>
      <w:r w:rsidRPr="003B170C">
        <w:rPr>
          <w:szCs w:val="24"/>
        </w:rPr>
        <w:t>AGRICOM</w:t>
      </w:r>
      <w:r w:rsidRPr="008B7E07">
        <w:rPr>
          <w:szCs w:val="24"/>
        </w:rPr>
        <w:t xml:space="preserve"> </w:t>
      </w:r>
      <w:r w:rsidRPr="003B170C">
        <w:rPr>
          <w:szCs w:val="24"/>
        </w:rPr>
        <w:t>GROUP</w:t>
      </w:r>
      <w:r w:rsidRPr="008B7E07">
        <w:rPr>
          <w:szCs w:val="24"/>
        </w:rPr>
        <w:t xml:space="preserve"> </w:t>
      </w:r>
      <w:r w:rsidRPr="003B170C">
        <w:rPr>
          <w:szCs w:val="24"/>
        </w:rPr>
        <w:t>LIMITED</w:t>
      </w:r>
      <w:r w:rsidRPr="008B7E07">
        <w:rPr>
          <w:szCs w:val="24"/>
        </w:rPr>
        <w:t>» від 09 грудня 2016 року, компанія «</w:t>
      </w:r>
      <w:r w:rsidRPr="003B170C">
        <w:rPr>
          <w:szCs w:val="24"/>
        </w:rPr>
        <w:t>ARMPITCH</w:t>
      </w:r>
      <w:r w:rsidRPr="008B7E07">
        <w:rPr>
          <w:szCs w:val="24"/>
        </w:rPr>
        <w:t xml:space="preserve"> </w:t>
      </w:r>
      <w:r w:rsidRPr="003B170C">
        <w:rPr>
          <w:szCs w:val="24"/>
        </w:rPr>
        <w:t>HOLDINGS</w:t>
      </w:r>
      <w:r w:rsidRPr="008B7E07">
        <w:rPr>
          <w:szCs w:val="24"/>
        </w:rPr>
        <w:t xml:space="preserve"> </w:t>
      </w:r>
      <w:r w:rsidRPr="003B170C">
        <w:rPr>
          <w:szCs w:val="24"/>
        </w:rPr>
        <w:t>LIMITED</w:t>
      </w:r>
      <w:r>
        <w:rPr>
          <w:szCs w:val="24"/>
        </w:rPr>
        <w:t xml:space="preserve">» </w:t>
      </w:r>
      <w:r w:rsidRPr="008B7E07">
        <w:rPr>
          <w:szCs w:val="24"/>
        </w:rPr>
        <w:t xml:space="preserve"> здійснила  набуття у власність акцій компанії «</w:t>
      </w:r>
      <w:r w:rsidRPr="003B170C">
        <w:rPr>
          <w:szCs w:val="24"/>
        </w:rPr>
        <w:t>AGRICOM</w:t>
      </w:r>
      <w:r w:rsidRPr="008B7E07">
        <w:rPr>
          <w:szCs w:val="24"/>
        </w:rPr>
        <w:t xml:space="preserve"> </w:t>
      </w:r>
      <w:r w:rsidRPr="003B170C">
        <w:rPr>
          <w:szCs w:val="24"/>
        </w:rPr>
        <w:t>GROUP</w:t>
      </w:r>
      <w:r w:rsidRPr="008B7E07">
        <w:rPr>
          <w:szCs w:val="24"/>
        </w:rPr>
        <w:t xml:space="preserve"> </w:t>
      </w:r>
      <w:r w:rsidRPr="003B170C">
        <w:rPr>
          <w:szCs w:val="24"/>
        </w:rPr>
        <w:t>LIMITED</w:t>
      </w:r>
      <w:r w:rsidRPr="008B7E07">
        <w:rPr>
          <w:szCs w:val="24"/>
        </w:rPr>
        <w:t xml:space="preserve">», що забезпечило </w:t>
      </w:r>
      <w:r>
        <w:rPr>
          <w:szCs w:val="24"/>
        </w:rPr>
        <w:t xml:space="preserve">їй </w:t>
      </w:r>
      <w:r w:rsidRPr="008B7E07">
        <w:rPr>
          <w:szCs w:val="24"/>
        </w:rPr>
        <w:t>перевищення 25 відсотків голосів у вищому органі управління компанії.</w:t>
      </w:r>
    </w:p>
    <w:p w:rsidR="000A7CCE" w:rsidRPr="000B26A1" w:rsidRDefault="000A7CCE" w:rsidP="000A7CCE">
      <w:pPr>
        <w:pStyle w:val="210"/>
        <w:ind w:left="709" w:firstLine="0"/>
        <w:textAlignment w:val="baseline"/>
      </w:pPr>
    </w:p>
    <w:p w:rsidR="00234E52" w:rsidRPr="009F0D94" w:rsidRDefault="00234E52" w:rsidP="00234E5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9F0D94">
        <w:rPr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:rsidR="00234E52" w:rsidRPr="009F0D94" w:rsidRDefault="00234E52" w:rsidP="00234E52">
      <w:pPr>
        <w:pStyle w:val="210"/>
        <w:ind w:left="709" w:firstLine="0"/>
        <w:rPr>
          <w:szCs w:val="24"/>
        </w:rPr>
      </w:pPr>
      <w:r w:rsidRPr="009F0D94">
        <w:rPr>
          <w:szCs w:val="24"/>
        </w:rPr>
        <w:t>З огляду на зазначене, відповідно до статті 22 Закону України «Про захист економічної конкуренції»</w:t>
      </w:r>
      <w:r>
        <w:rPr>
          <w:szCs w:val="24"/>
        </w:rPr>
        <w:t xml:space="preserve"> досягнення та перевищення</w:t>
      </w:r>
      <w:r w:rsidRPr="009F0D94">
        <w:rPr>
          <w:szCs w:val="24"/>
        </w:rPr>
        <w:t xml:space="preserve"> 25 або 50 відсотків голосів у вищому органі управління відпо</w:t>
      </w:r>
      <w:r w:rsidR="006129B5">
        <w:rPr>
          <w:szCs w:val="24"/>
        </w:rPr>
        <w:t>відного суб’єкта господарювання</w:t>
      </w:r>
      <w:r w:rsidRPr="009F0D94">
        <w:rPr>
          <w:szCs w:val="24"/>
        </w:rPr>
        <w:t xml:space="preserve"> вважаються окремими концентраціями, які за п</w:t>
      </w:r>
      <w:r w:rsidR="006129B5">
        <w:rPr>
          <w:szCs w:val="24"/>
        </w:rPr>
        <w:t>ередбачених законодавством умов</w:t>
      </w:r>
      <w:r w:rsidRPr="009F0D94">
        <w:rPr>
          <w:szCs w:val="24"/>
        </w:rPr>
        <w:t xml:space="preserve"> можуть  потребувати дозволу.</w:t>
      </w:r>
    </w:p>
    <w:p w:rsidR="000A7CCE" w:rsidRPr="00F247A9" w:rsidRDefault="000A7CCE" w:rsidP="00AF1B28">
      <w:pPr>
        <w:pStyle w:val="210"/>
        <w:ind w:firstLine="0"/>
        <w:textAlignment w:val="baseline"/>
      </w:pPr>
    </w:p>
    <w:p w:rsidR="00234E52" w:rsidRDefault="001221A2" w:rsidP="00234E5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>В</w:t>
      </w:r>
      <w:r w:rsidR="00234E52" w:rsidRPr="00A81089">
        <w:rPr>
          <w:szCs w:val="24"/>
        </w:rPr>
        <w:t>ідповідні вартісні пока</w:t>
      </w:r>
      <w:r>
        <w:rPr>
          <w:szCs w:val="24"/>
        </w:rPr>
        <w:t>зники учасників концентрації за</w:t>
      </w:r>
      <w:r w:rsidR="00234E52">
        <w:rPr>
          <w:szCs w:val="24"/>
        </w:rPr>
        <w:t xml:space="preserve"> </w:t>
      </w:r>
      <w:r w:rsidR="00234E52" w:rsidRPr="00A81089">
        <w:rPr>
          <w:szCs w:val="24"/>
        </w:rPr>
        <w:t>201</w:t>
      </w:r>
      <w:r w:rsidR="00234E52">
        <w:rPr>
          <w:szCs w:val="24"/>
        </w:rPr>
        <w:t>5</w:t>
      </w:r>
      <w:r w:rsidR="00234E52" w:rsidRPr="00A81089">
        <w:rPr>
          <w:szCs w:val="24"/>
        </w:rPr>
        <w:t xml:space="preserve"> рік перевищували порогові значення, визначені частиною першою статті 24 Закону України «Про захист економічної конкуренції»</w:t>
      </w:r>
      <w:r w:rsidR="00234E52">
        <w:rPr>
          <w:szCs w:val="24"/>
        </w:rPr>
        <w:t xml:space="preserve"> </w:t>
      </w:r>
      <w:r w:rsidR="00234E52" w:rsidRPr="00713A61">
        <w:rPr>
          <w:szCs w:val="24"/>
        </w:rPr>
        <w:t>(</w:t>
      </w:r>
      <w:r w:rsidR="00234E52" w:rsidRPr="00713A61">
        <w:t>в редакції, що діяла на момент здійснення концентрації</w:t>
      </w:r>
      <w:r w:rsidR="00234E52" w:rsidRPr="00713A61">
        <w:rPr>
          <w:szCs w:val="24"/>
        </w:rPr>
        <w:t>), тому зазначена концентрація</w:t>
      </w:r>
      <w:r w:rsidR="00234E52" w:rsidRPr="00A81089">
        <w:rPr>
          <w:szCs w:val="24"/>
        </w:rPr>
        <w:t xml:space="preserve"> потребувала попереднього отримання </w:t>
      </w:r>
      <w:r w:rsidR="00234E52" w:rsidRPr="00E75C20">
        <w:rPr>
          <w:szCs w:val="24"/>
        </w:rPr>
        <w:t>дозволу органів Антимонопольного комітету України.</w:t>
      </w:r>
    </w:p>
    <w:p w:rsidR="000A7CCE" w:rsidRPr="00523A85" w:rsidRDefault="000A7CCE" w:rsidP="00B850F3">
      <w:pPr>
        <w:pStyle w:val="210"/>
        <w:ind w:firstLine="0"/>
        <w:textAlignment w:val="baseline"/>
        <w:rPr>
          <w:szCs w:val="24"/>
        </w:rPr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>Концентрація, яка потребує дозволу відповідно до частини першої статті 24 Закону України «Про захист економічної конкуренції», забороняється до надання дозволу на її здійснення.</w:t>
      </w:r>
    </w:p>
    <w:p w:rsidR="000A7CCE" w:rsidRPr="000C40DC" w:rsidRDefault="000A7CCE" w:rsidP="00AF1B28">
      <w:pPr>
        <w:pStyle w:val="210"/>
        <w:ind w:firstLine="0"/>
        <w:textAlignment w:val="baseline"/>
        <w:rPr>
          <w:sz w:val="16"/>
          <w:szCs w:val="16"/>
        </w:rPr>
      </w:pPr>
    </w:p>
    <w:p w:rsidR="001221A2" w:rsidRPr="00A12A83" w:rsidRDefault="001221A2" w:rsidP="001221A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A12A83">
        <w:rPr>
          <w:szCs w:val="24"/>
        </w:rPr>
        <w:t>Заява компанії «ARMPITCH HOLDINGS LIMITED» про надання дозволу на набуття у власність акцій компанії «AGRICOM GROUP LIMITED», що забезпечує перевищення                         25 відсотків голосів у вищому органі управління компанії, до Комітету не надходила.</w:t>
      </w:r>
    </w:p>
    <w:p w:rsidR="00F04010" w:rsidRPr="009B6789" w:rsidRDefault="00F04010" w:rsidP="006B559C">
      <w:pPr>
        <w:pStyle w:val="210"/>
        <w:ind w:firstLine="0"/>
        <w:textAlignment w:val="baseline"/>
      </w:pPr>
    </w:p>
    <w:p w:rsidR="00424C74" w:rsidRDefault="00E45ABD" w:rsidP="006B559C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92E">
        <w:rPr>
          <w:szCs w:val="24"/>
        </w:rPr>
        <w:t xml:space="preserve">Отже, </w:t>
      </w:r>
      <w:r w:rsidR="001221A2">
        <w:rPr>
          <w:szCs w:val="24"/>
        </w:rPr>
        <w:t xml:space="preserve"> дії </w:t>
      </w:r>
      <w:r w:rsidR="001221A2">
        <w:t>компанії «</w:t>
      </w:r>
      <w:r w:rsidR="001221A2" w:rsidRPr="00C7245F">
        <w:rPr>
          <w:lang w:val="en-US"/>
        </w:rPr>
        <w:t>ARMPITCH</w:t>
      </w:r>
      <w:r w:rsidR="001221A2" w:rsidRPr="00C7245F">
        <w:t xml:space="preserve"> </w:t>
      </w:r>
      <w:r w:rsidR="001221A2" w:rsidRPr="00C7245F">
        <w:rPr>
          <w:lang w:val="en-US"/>
        </w:rPr>
        <w:t>HOLDINGS</w:t>
      </w:r>
      <w:r w:rsidR="001221A2" w:rsidRPr="00C7245F">
        <w:t xml:space="preserve"> </w:t>
      </w:r>
      <w:r w:rsidR="001221A2" w:rsidRPr="00C7245F">
        <w:rPr>
          <w:lang w:val="en-US"/>
        </w:rPr>
        <w:t>LIMITED</w:t>
      </w:r>
      <w:r w:rsidR="001221A2">
        <w:t xml:space="preserve">» </w:t>
      </w:r>
      <w:r w:rsidR="001221A2" w:rsidRPr="00C46F18">
        <w:rPr>
          <w:spacing w:val="-2"/>
        </w:rPr>
        <w:t xml:space="preserve">у вигляді здійснення концентрації </w:t>
      </w:r>
      <w:r w:rsidR="001221A2" w:rsidRPr="00902BBE">
        <w:rPr>
          <w:spacing w:val="-2"/>
        </w:rPr>
        <w:t xml:space="preserve">шляхом набуття у власність </w:t>
      </w:r>
      <w:r w:rsidR="001221A2" w:rsidRPr="00902BBE">
        <w:t>акцій  компанії</w:t>
      </w:r>
      <w:r w:rsidR="001221A2" w:rsidRPr="00825555">
        <w:t xml:space="preserve"> «</w:t>
      </w:r>
      <w:r w:rsidR="001221A2" w:rsidRPr="00C7245F">
        <w:rPr>
          <w:lang w:val="en-US"/>
        </w:rPr>
        <w:t>AGRICOM</w:t>
      </w:r>
      <w:r w:rsidR="001221A2" w:rsidRPr="00C7245F">
        <w:t xml:space="preserve"> </w:t>
      </w:r>
      <w:r w:rsidR="001221A2" w:rsidRPr="00C7245F">
        <w:rPr>
          <w:lang w:val="en-US"/>
        </w:rPr>
        <w:t>GROUP</w:t>
      </w:r>
      <w:r w:rsidR="001221A2" w:rsidRPr="00C7245F">
        <w:t xml:space="preserve"> </w:t>
      </w:r>
      <w:r w:rsidR="001221A2" w:rsidRPr="00C7245F">
        <w:rPr>
          <w:lang w:val="en-US"/>
        </w:rPr>
        <w:t>LIMITED</w:t>
      </w:r>
      <w:r w:rsidR="001221A2" w:rsidRPr="00825555">
        <w:t>», що</w:t>
      </w:r>
      <w:r w:rsidR="001221A2">
        <w:t xml:space="preserve"> забезпечило перевищення 25 відсотків голосів у вищому органі </w:t>
      </w:r>
      <w:r w:rsidR="001221A2">
        <w:lastRenderedPageBreak/>
        <w:t>управління компанії</w:t>
      </w:r>
      <w:r w:rsidR="001221A2" w:rsidRPr="009C5998">
        <w:rPr>
          <w:szCs w:val="24"/>
        </w:rPr>
        <w:t xml:space="preserve">, без отримання відповідного дозволу органів </w:t>
      </w:r>
      <w:r w:rsidR="001221A2" w:rsidRPr="0042492E">
        <w:rPr>
          <w:szCs w:val="24"/>
        </w:rPr>
        <w:t>Антимонопольного комітету України</w:t>
      </w:r>
      <w:r w:rsidRPr="0042492E">
        <w:rPr>
          <w:szCs w:val="24"/>
        </w:rPr>
        <w:t xml:space="preserve">, </w:t>
      </w:r>
      <w:r w:rsidRPr="009C5998">
        <w:rPr>
          <w:szCs w:val="24"/>
        </w:rPr>
        <w:t>є порушенням, передбаченим пунктом 12 статті 50 Закону України «Про захист економічної конкуренції»</w:t>
      </w:r>
      <w:r w:rsidR="006B559C" w:rsidRPr="009C5998">
        <w:rPr>
          <w:szCs w:val="24"/>
        </w:rPr>
        <w:t>.</w:t>
      </w:r>
    </w:p>
    <w:p w:rsidR="00843FE1" w:rsidRPr="00E4083C" w:rsidRDefault="00843FE1" w:rsidP="00843FE1">
      <w:pPr>
        <w:pStyle w:val="210"/>
        <w:ind w:firstLine="0"/>
        <w:textAlignment w:val="baseline"/>
        <w:rPr>
          <w:b/>
          <w:szCs w:val="24"/>
        </w:rPr>
      </w:pPr>
    </w:p>
    <w:p w:rsidR="001221A2" w:rsidRPr="001221A2" w:rsidRDefault="001221A2" w:rsidP="001221A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1221A2">
        <w:rPr>
          <w:szCs w:val="24"/>
        </w:rPr>
        <w:t>За інформацією, наданою Антимонопольному комітету України уповноваженим представником  компанії «</w:t>
      </w:r>
      <w:r w:rsidRPr="001221A2">
        <w:rPr>
          <w:szCs w:val="24"/>
          <w:lang w:val="en-US"/>
        </w:rPr>
        <w:t>ARMPITCH</w:t>
      </w:r>
      <w:r w:rsidRPr="001221A2">
        <w:rPr>
          <w:szCs w:val="24"/>
        </w:rPr>
        <w:t xml:space="preserve"> </w:t>
      </w:r>
      <w:r w:rsidRPr="001221A2">
        <w:rPr>
          <w:szCs w:val="24"/>
          <w:lang w:val="en-US"/>
        </w:rPr>
        <w:t>HOLDINGS</w:t>
      </w:r>
      <w:r w:rsidRPr="001221A2">
        <w:rPr>
          <w:szCs w:val="24"/>
        </w:rPr>
        <w:t xml:space="preserve"> </w:t>
      </w:r>
      <w:r w:rsidRPr="001221A2">
        <w:rPr>
          <w:szCs w:val="24"/>
          <w:lang w:val="en-US"/>
        </w:rPr>
        <w:t>LIMITED</w:t>
      </w:r>
      <w:r w:rsidRPr="001221A2">
        <w:rPr>
          <w:szCs w:val="24"/>
        </w:rPr>
        <w:t>»:</w:t>
      </w:r>
    </w:p>
    <w:p w:rsidR="001221A2" w:rsidRPr="001221A2" w:rsidRDefault="001221A2" w:rsidP="001221A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1221A2">
        <w:rPr>
          <w:szCs w:val="24"/>
        </w:rPr>
        <w:t>на дату здійснення концентрації:</w:t>
      </w:r>
    </w:p>
    <w:p w:rsidR="001221A2" w:rsidRPr="001221A2" w:rsidRDefault="001221A2" w:rsidP="001221A2">
      <w:pPr>
        <w:pStyle w:val="210"/>
        <w:ind w:left="709" w:firstLine="0"/>
        <w:rPr>
          <w:szCs w:val="24"/>
        </w:rPr>
      </w:pPr>
      <w:r w:rsidRPr="001221A2">
        <w:rPr>
          <w:b/>
          <w:szCs w:val="24"/>
        </w:rPr>
        <w:t>компанія «</w:t>
      </w:r>
      <w:r w:rsidRPr="001221A2">
        <w:rPr>
          <w:b/>
          <w:szCs w:val="24"/>
          <w:lang w:val="en-US"/>
        </w:rPr>
        <w:t>ARMPITCH</w:t>
      </w:r>
      <w:r w:rsidRPr="001221A2">
        <w:rPr>
          <w:b/>
          <w:szCs w:val="24"/>
        </w:rPr>
        <w:t xml:space="preserve"> </w:t>
      </w:r>
      <w:r w:rsidRPr="001221A2">
        <w:rPr>
          <w:b/>
          <w:szCs w:val="24"/>
          <w:lang w:val="en-US"/>
        </w:rPr>
        <w:t>HOLDINGS</w:t>
      </w:r>
      <w:r w:rsidRPr="001221A2">
        <w:rPr>
          <w:b/>
          <w:szCs w:val="24"/>
        </w:rPr>
        <w:t xml:space="preserve"> </w:t>
      </w:r>
      <w:r w:rsidRPr="001221A2">
        <w:rPr>
          <w:b/>
          <w:szCs w:val="24"/>
          <w:lang w:val="en-US"/>
        </w:rPr>
        <w:t>LIMITED</w:t>
      </w:r>
      <w:r w:rsidRPr="001221A2">
        <w:rPr>
          <w:b/>
          <w:szCs w:val="24"/>
        </w:rPr>
        <w:t>»</w:t>
      </w:r>
      <w:r w:rsidRPr="001221A2">
        <w:rPr>
          <w:szCs w:val="24"/>
        </w:rPr>
        <w:t xml:space="preserve"> здійснювала діяльність холдингових компаній, </w:t>
      </w:r>
      <w:r w:rsidR="00845116">
        <w:rPr>
          <w:szCs w:val="24"/>
        </w:rPr>
        <w:t>у</w:t>
      </w:r>
      <w:r w:rsidRPr="001221A2">
        <w:rPr>
          <w:szCs w:val="24"/>
        </w:rPr>
        <w:t xml:space="preserve"> т. ч. на території України</w:t>
      </w:r>
      <w:r w:rsidR="00845116">
        <w:rPr>
          <w:szCs w:val="24"/>
        </w:rPr>
        <w:t>,</w:t>
      </w:r>
      <w:r w:rsidRPr="001221A2">
        <w:rPr>
          <w:szCs w:val="24"/>
        </w:rPr>
        <w:t xml:space="preserve"> та</w:t>
      </w:r>
      <w:r w:rsidRPr="001221A2">
        <w:rPr>
          <w:b/>
          <w:szCs w:val="24"/>
        </w:rPr>
        <w:t xml:space="preserve"> </w:t>
      </w:r>
      <w:r w:rsidRPr="001221A2">
        <w:rPr>
          <w:szCs w:val="24"/>
        </w:rPr>
        <w:t>була пов’язана відносинами контролю із:</w:t>
      </w:r>
    </w:p>
    <w:p w:rsidR="001221A2" w:rsidRP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>суб’єктами господарювання – резидентами України, які на території України здійснювали діяльність посередників у торгівлі товарами широкого асортименту та діяльність із: неспеціалізованої оптової торгівлі (соків різних торгов</w:t>
      </w:r>
      <w:r w:rsidR="00845116">
        <w:rPr>
          <w:sz w:val="24"/>
          <w:szCs w:val="24"/>
        </w:rPr>
        <w:t>ельних</w:t>
      </w:r>
      <w:r w:rsidRPr="001221A2">
        <w:rPr>
          <w:sz w:val="24"/>
          <w:szCs w:val="24"/>
        </w:rPr>
        <w:t xml:space="preserve"> марок);</w:t>
      </w:r>
      <w:r w:rsidRPr="001221A2">
        <w:rPr>
          <w:b/>
          <w:sz w:val="24"/>
          <w:szCs w:val="24"/>
        </w:rPr>
        <w:t xml:space="preserve"> </w:t>
      </w:r>
      <w:r w:rsidRPr="001221A2">
        <w:rPr>
          <w:sz w:val="24"/>
          <w:szCs w:val="24"/>
        </w:rPr>
        <w:t xml:space="preserve">вирощування ягід, горіхів, інших плодових дерев і чагарників; оптової торгівлі фруктами й овочами; купівлі та продажу власного нерухомого майна; дослідження кон’юнктури ринку та виявлення громадської думки; </w:t>
      </w:r>
    </w:p>
    <w:p w:rsidR="001221A2" w:rsidRP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>суб’єктами господарювання – нерезидентами України, які здійснювали діяльність холдингових компаній та не здійснювали господарської діяльності на території України;</w:t>
      </w:r>
    </w:p>
    <w:p w:rsid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>фізичною особою – громадянином України;</w:t>
      </w:r>
    </w:p>
    <w:p w:rsidR="006872B2" w:rsidRPr="001221A2" w:rsidRDefault="006872B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</w:p>
    <w:p w:rsidR="001221A2" w:rsidRPr="001221A2" w:rsidRDefault="001221A2" w:rsidP="001221A2">
      <w:pPr>
        <w:pStyle w:val="210"/>
        <w:ind w:left="709" w:firstLine="0"/>
        <w:rPr>
          <w:szCs w:val="24"/>
        </w:rPr>
      </w:pPr>
      <w:r w:rsidRPr="001221A2">
        <w:rPr>
          <w:b/>
          <w:szCs w:val="24"/>
        </w:rPr>
        <w:t>компанія «</w:t>
      </w:r>
      <w:r w:rsidRPr="001221A2">
        <w:rPr>
          <w:b/>
          <w:szCs w:val="24"/>
          <w:lang w:val="en-US"/>
        </w:rPr>
        <w:t>AGRICOM</w:t>
      </w:r>
      <w:r w:rsidRPr="001221A2">
        <w:rPr>
          <w:b/>
          <w:szCs w:val="24"/>
        </w:rPr>
        <w:t xml:space="preserve"> </w:t>
      </w:r>
      <w:r w:rsidRPr="001221A2">
        <w:rPr>
          <w:b/>
          <w:szCs w:val="24"/>
          <w:lang w:val="en-US"/>
        </w:rPr>
        <w:t>GROUP</w:t>
      </w:r>
      <w:r w:rsidRPr="001221A2">
        <w:rPr>
          <w:b/>
          <w:szCs w:val="24"/>
        </w:rPr>
        <w:t xml:space="preserve"> </w:t>
      </w:r>
      <w:r w:rsidRPr="001221A2">
        <w:rPr>
          <w:b/>
          <w:szCs w:val="24"/>
          <w:lang w:val="en-US"/>
        </w:rPr>
        <w:t>LIMITED</w:t>
      </w:r>
      <w:r w:rsidRPr="001221A2">
        <w:rPr>
          <w:b/>
          <w:szCs w:val="24"/>
        </w:rPr>
        <w:t xml:space="preserve">» </w:t>
      </w:r>
      <w:r w:rsidRPr="001221A2">
        <w:rPr>
          <w:szCs w:val="24"/>
        </w:rPr>
        <w:t xml:space="preserve">здійснювала діяльність холдингових компаній, </w:t>
      </w:r>
      <w:r w:rsidR="00845116">
        <w:rPr>
          <w:szCs w:val="24"/>
        </w:rPr>
        <w:t>у</w:t>
      </w:r>
      <w:r w:rsidRPr="001221A2">
        <w:rPr>
          <w:szCs w:val="24"/>
        </w:rPr>
        <w:t xml:space="preserve"> т. ч. на території України</w:t>
      </w:r>
      <w:r w:rsidR="00845116">
        <w:rPr>
          <w:szCs w:val="24"/>
        </w:rPr>
        <w:t>,</w:t>
      </w:r>
      <w:r w:rsidRPr="001221A2">
        <w:rPr>
          <w:szCs w:val="24"/>
        </w:rPr>
        <w:t xml:space="preserve"> та</w:t>
      </w:r>
      <w:r w:rsidRPr="001221A2">
        <w:rPr>
          <w:b/>
          <w:szCs w:val="24"/>
        </w:rPr>
        <w:t xml:space="preserve"> </w:t>
      </w:r>
      <w:r w:rsidRPr="001221A2">
        <w:rPr>
          <w:szCs w:val="24"/>
        </w:rPr>
        <w:t>була пов’язана відносинами контролю із:</w:t>
      </w:r>
    </w:p>
    <w:p w:rsidR="001221A2" w:rsidRPr="001221A2" w:rsidRDefault="001221A2" w:rsidP="001221A2">
      <w:pPr>
        <w:pStyle w:val="210"/>
        <w:ind w:left="709" w:firstLine="0"/>
        <w:rPr>
          <w:szCs w:val="24"/>
        </w:rPr>
      </w:pPr>
      <w:r w:rsidRPr="001221A2">
        <w:rPr>
          <w:szCs w:val="24"/>
        </w:rPr>
        <w:t xml:space="preserve">суб’єктами господарювання – нерезидентом та резидентами України, які входили </w:t>
      </w:r>
      <w:r w:rsidR="0032514B">
        <w:rPr>
          <w:szCs w:val="24"/>
        </w:rPr>
        <w:t>до</w:t>
      </w:r>
      <w:r w:rsidRPr="001221A2">
        <w:rPr>
          <w:szCs w:val="24"/>
        </w:rPr>
        <w:t xml:space="preserve"> Груп</w:t>
      </w:r>
      <w:r w:rsidR="0032514B">
        <w:rPr>
          <w:szCs w:val="24"/>
        </w:rPr>
        <w:t>и</w:t>
      </w:r>
      <w:r w:rsidRPr="001221A2">
        <w:rPr>
          <w:szCs w:val="24"/>
        </w:rPr>
        <w:t xml:space="preserve"> Агріком та на території  України здійснювали діяльність холдингових компаній, посередників у торгівлі  сільськогосподарською сировиною, живими тваринами, текстильною сировиною та напівфабрикатами, та діяльність із: виробництва інших харчових продуктів; вирощування зернових культур (крім рису), бобових культур і насіння олійних культур; неспеціалізованої оптової торгівлі (зернових та олійних культур); оптової торгівлі зерном, необробленим тютюном, насінням і кормами для тварин; надання послуг складського господарства; виробництва продуктів борошномельно-круп’яної промисловості та діяльності посередників у торгівлі продуктами харчування, напоями і тютюновими виробами;  </w:t>
      </w:r>
    </w:p>
    <w:p w:rsidR="001221A2" w:rsidRP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 xml:space="preserve">суб’єктами господарювання – нерезидентами України, які  входили </w:t>
      </w:r>
      <w:r w:rsidR="0032514B">
        <w:rPr>
          <w:sz w:val="24"/>
          <w:szCs w:val="24"/>
        </w:rPr>
        <w:t>до</w:t>
      </w:r>
      <w:r w:rsidRPr="001221A2">
        <w:rPr>
          <w:sz w:val="24"/>
          <w:szCs w:val="24"/>
        </w:rPr>
        <w:t xml:space="preserve"> Груп</w:t>
      </w:r>
      <w:r w:rsidR="0032514B">
        <w:rPr>
          <w:sz w:val="24"/>
          <w:szCs w:val="24"/>
        </w:rPr>
        <w:t>и</w:t>
      </w:r>
      <w:r w:rsidRPr="001221A2">
        <w:rPr>
          <w:sz w:val="24"/>
          <w:szCs w:val="24"/>
        </w:rPr>
        <w:t xml:space="preserve"> Агріком та не здійснювали господарської діяльності на території України;</w:t>
      </w:r>
    </w:p>
    <w:p w:rsidR="001221A2" w:rsidRP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 xml:space="preserve">суб’єктами господарювання – нерезидентами та резидентами України, які не входили </w:t>
      </w:r>
      <w:r w:rsidR="00B51190">
        <w:rPr>
          <w:sz w:val="24"/>
          <w:szCs w:val="24"/>
        </w:rPr>
        <w:t>до</w:t>
      </w:r>
      <w:r w:rsidRPr="001221A2">
        <w:rPr>
          <w:sz w:val="24"/>
          <w:szCs w:val="24"/>
        </w:rPr>
        <w:t xml:space="preserve"> Груп</w:t>
      </w:r>
      <w:r w:rsidR="00B51190">
        <w:rPr>
          <w:sz w:val="24"/>
          <w:szCs w:val="24"/>
        </w:rPr>
        <w:t>и</w:t>
      </w:r>
      <w:r w:rsidRPr="001221A2">
        <w:rPr>
          <w:sz w:val="24"/>
          <w:szCs w:val="24"/>
        </w:rPr>
        <w:t xml:space="preserve"> Агріком та на території України здійснювали діяльність холдингових компаній та діяльн</w:t>
      </w:r>
      <w:r w:rsidR="00B51190">
        <w:rPr>
          <w:sz w:val="24"/>
          <w:szCs w:val="24"/>
        </w:rPr>
        <w:t>ість</w:t>
      </w:r>
      <w:r w:rsidRPr="001221A2">
        <w:rPr>
          <w:sz w:val="24"/>
          <w:szCs w:val="24"/>
        </w:rPr>
        <w:t xml:space="preserve"> із: надання в оренду й експлуатацію власного чи орендованого нерухомого майна; агентства нерухомості; будівництва житлових і нежитлових будівель; купівлі та продажу власного нерухомого майна; управління нерухомим майном за винагороду або на основі контракту;  функціювання спортивних споруд; прокату товарів для спорту та відпочинку; діяльності готелів і подібних засобів тимчасового розміщування; діяльності головних управлінь (хед-офісів); консультування з питань комерційної діяльності й керування; надання фінансових послуг (крім страхування та пенсійного забезпечення); виробництва та передачі електроенергії і постачання пари, гарячої води та кондиційованого повітря </w:t>
      </w:r>
      <w:r w:rsidR="00B51190">
        <w:rPr>
          <w:sz w:val="24"/>
          <w:szCs w:val="24"/>
        </w:rPr>
        <w:t>у</w:t>
      </w:r>
      <w:r w:rsidRPr="001221A2">
        <w:rPr>
          <w:sz w:val="24"/>
          <w:szCs w:val="24"/>
        </w:rPr>
        <w:t xml:space="preserve"> відповідних територіальних межах;</w:t>
      </w:r>
    </w:p>
    <w:p w:rsidR="001221A2" w:rsidRP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 xml:space="preserve">суб’єктами господарювання – нерезидентами та резидентами України, які не входили </w:t>
      </w:r>
      <w:r w:rsidR="00B51190">
        <w:rPr>
          <w:sz w:val="24"/>
          <w:szCs w:val="24"/>
        </w:rPr>
        <w:t>до</w:t>
      </w:r>
      <w:r w:rsidRPr="001221A2">
        <w:rPr>
          <w:sz w:val="24"/>
          <w:szCs w:val="24"/>
        </w:rPr>
        <w:t xml:space="preserve"> Груп</w:t>
      </w:r>
      <w:r w:rsidR="00B51190">
        <w:rPr>
          <w:sz w:val="24"/>
          <w:szCs w:val="24"/>
        </w:rPr>
        <w:t>и</w:t>
      </w:r>
      <w:r w:rsidRPr="001221A2">
        <w:rPr>
          <w:sz w:val="24"/>
          <w:szCs w:val="24"/>
        </w:rPr>
        <w:t xml:space="preserve"> Агріком та не здійснювали господарської діяльності на території України;</w:t>
      </w:r>
    </w:p>
    <w:p w:rsidR="001221A2" w:rsidRPr="001221A2" w:rsidRDefault="001221A2" w:rsidP="001221A2">
      <w:pPr>
        <w:tabs>
          <w:tab w:val="left" w:pos="1200"/>
        </w:tabs>
        <w:ind w:left="709" w:hanging="6"/>
        <w:jc w:val="both"/>
        <w:rPr>
          <w:sz w:val="24"/>
          <w:szCs w:val="24"/>
        </w:rPr>
      </w:pPr>
      <w:r w:rsidRPr="001221A2">
        <w:rPr>
          <w:sz w:val="24"/>
          <w:szCs w:val="24"/>
        </w:rPr>
        <w:t>фізичною особою – громадянином України;</w:t>
      </w:r>
    </w:p>
    <w:p w:rsidR="001221A2" w:rsidRDefault="001221A2" w:rsidP="001221A2">
      <w:pPr>
        <w:spacing w:line="0" w:lineRule="atLeast"/>
        <w:ind w:right="15"/>
        <w:jc w:val="both"/>
        <w:rPr>
          <w:rFonts w:eastAsia="Arial"/>
          <w:sz w:val="24"/>
          <w:szCs w:val="24"/>
        </w:rPr>
      </w:pPr>
    </w:p>
    <w:p w:rsidR="003B0340" w:rsidRPr="001221A2" w:rsidRDefault="003B0340" w:rsidP="001221A2">
      <w:pPr>
        <w:spacing w:line="0" w:lineRule="atLeast"/>
        <w:ind w:right="15"/>
        <w:jc w:val="both"/>
        <w:rPr>
          <w:rFonts w:eastAsia="Arial"/>
          <w:sz w:val="24"/>
          <w:szCs w:val="24"/>
        </w:rPr>
      </w:pPr>
    </w:p>
    <w:p w:rsidR="001221A2" w:rsidRPr="001221A2" w:rsidRDefault="001221A2" w:rsidP="001221A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1221A2">
        <w:rPr>
          <w:szCs w:val="24"/>
        </w:rPr>
        <w:lastRenderedPageBreak/>
        <w:t xml:space="preserve">на дату підготовки  </w:t>
      </w:r>
      <w:r w:rsidR="00751656" w:rsidRPr="001F334F">
        <w:rPr>
          <w:szCs w:val="24"/>
        </w:rPr>
        <w:t>рішення</w:t>
      </w:r>
      <w:r w:rsidRPr="001221A2">
        <w:rPr>
          <w:szCs w:val="24"/>
        </w:rPr>
        <w:t>:</w:t>
      </w:r>
    </w:p>
    <w:p w:rsidR="001221A2" w:rsidRPr="001221A2" w:rsidRDefault="001221A2" w:rsidP="001221A2">
      <w:pPr>
        <w:pStyle w:val="210"/>
        <w:ind w:left="709" w:firstLine="0"/>
        <w:rPr>
          <w:szCs w:val="24"/>
        </w:rPr>
      </w:pPr>
      <w:r w:rsidRPr="001221A2">
        <w:rPr>
          <w:szCs w:val="24"/>
        </w:rPr>
        <w:t>акції компанії «</w:t>
      </w:r>
      <w:r w:rsidRPr="001221A2">
        <w:rPr>
          <w:szCs w:val="24"/>
          <w:lang w:val="en-US"/>
        </w:rPr>
        <w:t>AGRICOM</w:t>
      </w:r>
      <w:r w:rsidRPr="001221A2">
        <w:rPr>
          <w:szCs w:val="24"/>
        </w:rPr>
        <w:t xml:space="preserve"> </w:t>
      </w:r>
      <w:r w:rsidRPr="001221A2">
        <w:rPr>
          <w:szCs w:val="24"/>
          <w:lang w:val="en-US"/>
        </w:rPr>
        <w:t>GROUP</w:t>
      </w:r>
      <w:r w:rsidRPr="001221A2">
        <w:rPr>
          <w:szCs w:val="24"/>
        </w:rPr>
        <w:t xml:space="preserve"> </w:t>
      </w:r>
      <w:r w:rsidRPr="001221A2">
        <w:rPr>
          <w:szCs w:val="24"/>
          <w:lang w:val="en-US"/>
        </w:rPr>
        <w:t>LIMITED</w:t>
      </w:r>
      <w:r w:rsidRPr="001221A2">
        <w:rPr>
          <w:szCs w:val="24"/>
        </w:rPr>
        <w:t>» вже не належать компанії «</w:t>
      </w:r>
      <w:r w:rsidRPr="001221A2">
        <w:rPr>
          <w:szCs w:val="24"/>
          <w:lang w:val="en-US"/>
        </w:rPr>
        <w:t>ARMPITCH</w:t>
      </w:r>
      <w:r w:rsidRPr="001221A2">
        <w:rPr>
          <w:szCs w:val="24"/>
        </w:rPr>
        <w:t xml:space="preserve"> </w:t>
      </w:r>
      <w:r w:rsidRPr="001221A2">
        <w:rPr>
          <w:szCs w:val="24"/>
          <w:lang w:val="en-US"/>
        </w:rPr>
        <w:t>HOLDINGS</w:t>
      </w:r>
      <w:r w:rsidRPr="001221A2">
        <w:rPr>
          <w:szCs w:val="24"/>
        </w:rPr>
        <w:t xml:space="preserve"> </w:t>
      </w:r>
      <w:r w:rsidRPr="001221A2">
        <w:rPr>
          <w:szCs w:val="24"/>
          <w:lang w:val="en-US"/>
        </w:rPr>
        <w:t>LIMITED</w:t>
      </w:r>
      <w:r w:rsidRPr="001221A2">
        <w:rPr>
          <w:szCs w:val="24"/>
        </w:rPr>
        <w:t>»</w:t>
      </w:r>
      <w:r w:rsidRPr="001221A2">
        <w:rPr>
          <w:rStyle w:val="af8"/>
          <w:szCs w:val="24"/>
        </w:rPr>
        <w:t xml:space="preserve"> </w:t>
      </w:r>
      <w:r w:rsidRPr="001221A2">
        <w:rPr>
          <w:rStyle w:val="af8"/>
          <w:szCs w:val="24"/>
        </w:rPr>
        <w:footnoteReference w:id="2"/>
      </w:r>
      <w:r w:rsidRPr="001221A2">
        <w:rPr>
          <w:szCs w:val="24"/>
        </w:rPr>
        <w:t>.</w:t>
      </w:r>
    </w:p>
    <w:p w:rsidR="008C7F84" w:rsidRPr="001221A2" w:rsidRDefault="008C7F84" w:rsidP="006B559C">
      <w:pPr>
        <w:pStyle w:val="ae"/>
        <w:ind w:left="0"/>
        <w:rPr>
          <w:sz w:val="24"/>
          <w:szCs w:val="24"/>
          <w:highlight w:val="yellow"/>
        </w:rPr>
      </w:pPr>
    </w:p>
    <w:p w:rsidR="0016755B" w:rsidRPr="001221A2" w:rsidRDefault="00F473CD" w:rsidP="00082441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  <w:r w:rsidRPr="001221A2">
        <w:rPr>
          <w:b/>
          <w:szCs w:val="24"/>
        </w:rPr>
        <w:t>5</w:t>
      </w:r>
      <w:r w:rsidRPr="001221A2">
        <w:rPr>
          <w:szCs w:val="24"/>
        </w:rPr>
        <w:t>.</w:t>
      </w:r>
      <w:r w:rsidRPr="001221A2">
        <w:rPr>
          <w:szCs w:val="24"/>
        </w:rPr>
        <w:tab/>
      </w:r>
      <w:r w:rsidRPr="001221A2">
        <w:rPr>
          <w:b/>
          <w:szCs w:val="24"/>
        </w:rPr>
        <w:t xml:space="preserve">ВИСНОВКИ У СПРАВІ </w:t>
      </w:r>
    </w:p>
    <w:p w:rsidR="0016755B" w:rsidRPr="00EA412D" w:rsidRDefault="0016755B" w:rsidP="00EA412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C5441C">
        <w:rPr>
          <w:szCs w:val="24"/>
        </w:rPr>
        <w:t xml:space="preserve">Відповідно до пункту 12 статті 50 Закону України «Про захист економічної конкуренції» </w:t>
      </w:r>
      <w:r w:rsidR="00C5441C" w:rsidRPr="00C5441C">
        <w:rPr>
          <w:shd w:val="clear" w:color="auto" w:fill="FFFFFF"/>
        </w:rPr>
        <w:t>концентрація без отримання відповідного дозволу органів Антимонопольного комітету України, у разі якщо наявність такого дозволу необхідна,</w:t>
      </w:r>
      <w:r w:rsidRPr="00C5441C">
        <w:rPr>
          <w:szCs w:val="24"/>
        </w:rPr>
        <w:t xml:space="preserve"> є порушенням.</w:t>
      </w:r>
    </w:p>
    <w:p w:rsidR="00980E23" w:rsidRPr="00EA412D" w:rsidRDefault="0070052F" w:rsidP="00EA412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>Компанія «</w:t>
      </w:r>
      <w:r w:rsidRPr="00507C0C">
        <w:rPr>
          <w:szCs w:val="24"/>
        </w:rPr>
        <w:t>ARMPITCH HOLDINGS LIMITED</w:t>
      </w:r>
      <w:r>
        <w:rPr>
          <w:szCs w:val="24"/>
        </w:rPr>
        <w:t xml:space="preserve">» вчинила </w:t>
      </w:r>
      <w:r w:rsidRPr="00C93CF1">
        <w:rPr>
          <w:szCs w:val="24"/>
        </w:rPr>
        <w:t>порушення, передбачене пунктом 12 статті 50 Закону України «Про захист економічної конкуренції»</w:t>
      </w:r>
      <w:r>
        <w:rPr>
          <w:szCs w:val="24"/>
        </w:rPr>
        <w:t>,</w:t>
      </w:r>
      <w:r w:rsidRPr="00C93CF1">
        <w:rPr>
          <w:szCs w:val="24"/>
        </w:rPr>
        <w:t xml:space="preserve"> у вигляді </w:t>
      </w:r>
      <w:r w:rsidRPr="00507C0C">
        <w:rPr>
          <w:szCs w:val="24"/>
        </w:rPr>
        <w:t>здійснення концентрації шляхом набуття у власність акцій компанії «AGRICOM GROUP LIMITED», що забезпечило перевищення 25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</w:t>
      </w:r>
      <w:r w:rsidRPr="00C93CF1">
        <w:rPr>
          <w:szCs w:val="24"/>
        </w:rPr>
        <w:t>.</w:t>
      </w:r>
    </w:p>
    <w:p w:rsidR="00D91B99" w:rsidRPr="00EA412D" w:rsidRDefault="00760346" w:rsidP="00EA412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1221A2">
        <w:rPr>
          <w:szCs w:val="24"/>
        </w:rPr>
        <w:t xml:space="preserve">Враховуючи, що учасники концентрації здійснювали діяльність на різних товарних ринках, заявлене </w:t>
      </w:r>
      <w:r w:rsidR="0070052F">
        <w:rPr>
          <w:szCs w:val="24"/>
        </w:rPr>
        <w:t>набуття</w:t>
      </w:r>
      <w:r w:rsidRPr="001221A2">
        <w:rPr>
          <w:szCs w:val="24"/>
        </w:rPr>
        <w:t xml:space="preserve"> не призвело до монополізації чи суттєвого обмеження конкуренції на товарних ринках України</w:t>
      </w:r>
      <w:r w:rsidR="00980E23" w:rsidRPr="001221A2">
        <w:rPr>
          <w:szCs w:val="24"/>
        </w:rPr>
        <w:t>.</w:t>
      </w:r>
    </w:p>
    <w:p w:rsidR="00C60084" w:rsidRDefault="00C60084" w:rsidP="00C6008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926E78">
        <w:rPr>
          <w:szCs w:val="24"/>
        </w:rPr>
        <w:t>Відповідно до абзацу третього частини другої статті 52 Закону України «Про захист економічної конкуренції» органи Антимонопольного комітету України за порушення, передбачене пунктом 12 статті 50 цього Закону</w:t>
      </w:r>
      <w:r w:rsidR="003B0340">
        <w:rPr>
          <w:szCs w:val="24"/>
        </w:rPr>
        <w:t>, накладають штраф</w:t>
      </w:r>
      <w:r w:rsidRPr="00926E78">
        <w:rPr>
          <w:szCs w:val="24"/>
        </w:rPr>
        <w:t xml:space="preserve">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C60084" w:rsidRPr="007055D1" w:rsidRDefault="00C60084" w:rsidP="00C60084">
      <w:pPr>
        <w:pStyle w:val="210"/>
        <w:ind w:firstLine="0"/>
        <w:textAlignment w:val="baseline"/>
        <w:rPr>
          <w:sz w:val="16"/>
          <w:szCs w:val="16"/>
        </w:rPr>
      </w:pPr>
    </w:p>
    <w:p w:rsidR="0046682E" w:rsidRDefault="002701E3" w:rsidP="00DC6D58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C60084">
        <w:rPr>
          <w:szCs w:val="24"/>
        </w:rPr>
        <w:t xml:space="preserve">Дохід (виручка) від реалізації продукції (товарів, робіт, послуг) </w:t>
      </w:r>
      <w:r w:rsidR="00C60084" w:rsidRPr="00C60084">
        <w:rPr>
          <w:szCs w:val="24"/>
        </w:rPr>
        <w:t>компанії «ARMPITCH HOLDINGS LIMITED»</w:t>
      </w:r>
      <w:r w:rsidRPr="00C60084">
        <w:rPr>
          <w:szCs w:val="24"/>
        </w:rPr>
        <w:t xml:space="preserve"> за 2020 рік  становить </w:t>
      </w:r>
      <w:r w:rsidR="00C60084" w:rsidRPr="00C60084">
        <w:rPr>
          <w:szCs w:val="24"/>
        </w:rPr>
        <w:t>0</w:t>
      </w:r>
      <w:r w:rsidR="003B0340">
        <w:rPr>
          <w:szCs w:val="24"/>
        </w:rPr>
        <w:t xml:space="preserve"> тис. грн</w:t>
      </w:r>
      <w:r w:rsidR="00111944">
        <w:rPr>
          <w:szCs w:val="24"/>
        </w:rPr>
        <w:t>,</w:t>
      </w:r>
      <w:r w:rsidR="00182208">
        <w:rPr>
          <w:szCs w:val="24"/>
        </w:rPr>
        <w:t xml:space="preserve"> тобто</w:t>
      </w:r>
      <w:r w:rsidR="003B0340">
        <w:rPr>
          <w:szCs w:val="24"/>
        </w:rPr>
        <w:t xml:space="preserve"> доходу (виручки)</w:t>
      </w:r>
      <w:r w:rsidR="00182208">
        <w:rPr>
          <w:szCs w:val="24"/>
        </w:rPr>
        <w:t xml:space="preserve"> не</w:t>
      </w:r>
      <w:r w:rsidR="00111944">
        <w:rPr>
          <w:szCs w:val="24"/>
        </w:rPr>
        <w:t>має.</w:t>
      </w:r>
    </w:p>
    <w:p w:rsidR="007055D1" w:rsidRDefault="007055D1" w:rsidP="007055D1">
      <w:pPr>
        <w:pStyle w:val="ae"/>
        <w:rPr>
          <w:szCs w:val="24"/>
        </w:rPr>
      </w:pPr>
    </w:p>
    <w:p w:rsidR="00843FE1" w:rsidRPr="001221A2" w:rsidRDefault="007055D1" w:rsidP="003E40FC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7055D1">
        <w:rPr>
          <w:szCs w:val="24"/>
        </w:rPr>
        <w:t xml:space="preserve">Відповідно до частини </w:t>
      </w:r>
      <w:r w:rsidR="007179DD">
        <w:rPr>
          <w:szCs w:val="24"/>
        </w:rPr>
        <w:t>п’ятої</w:t>
      </w:r>
      <w:r w:rsidRPr="007055D1">
        <w:rPr>
          <w:szCs w:val="24"/>
        </w:rPr>
        <w:t xml:space="preserve"> статті 52 Закону України «Про захист економічної конкуренції» органи Антимонопольного комітету України за порушення, передбачене пунктом 12 статті 50 цього Закону</w:t>
      </w:r>
      <w:r w:rsidR="00182208" w:rsidRPr="00182208">
        <w:rPr>
          <w:szCs w:val="24"/>
        </w:rPr>
        <w:t xml:space="preserve">, </w:t>
      </w:r>
      <w:r w:rsidRPr="00182208">
        <w:rPr>
          <w:szCs w:val="24"/>
        </w:rPr>
        <w:t xml:space="preserve"> </w:t>
      </w:r>
      <w:r w:rsidR="00182208" w:rsidRPr="00182208">
        <w:rPr>
          <w:szCs w:val="24"/>
        </w:rPr>
        <w:t>якщо доходу (виручки) немає наклада</w:t>
      </w:r>
      <w:r w:rsidR="005952E4">
        <w:rPr>
          <w:szCs w:val="24"/>
        </w:rPr>
        <w:t>ють штраф</w:t>
      </w:r>
      <w:r w:rsidR="00182208" w:rsidRPr="00182208">
        <w:rPr>
          <w:szCs w:val="24"/>
        </w:rPr>
        <w:t>, у розмірі до десяти тисяч неоподатковуваних мінімумів доходів громадян</w:t>
      </w:r>
      <w:r w:rsidR="00715AAE">
        <w:rPr>
          <w:szCs w:val="24"/>
        </w:rPr>
        <w:t>.</w:t>
      </w:r>
      <w:r w:rsidRPr="00182208">
        <w:rPr>
          <w:szCs w:val="24"/>
        </w:rPr>
        <w:br/>
      </w:r>
    </w:p>
    <w:p w:rsidR="00A71F38" w:rsidRPr="001221A2" w:rsidRDefault="00A71F38" w:rsidP="00065A8E">
      <w:pPr>
        <w:pStyle w:val="210"/>
        <w:ind w:firstLine="709"/>
        <w:textAlignment w:val="baseline"/>
        <w:rPr>
          <w:szCs w:val="24"/>
        </w:rPr>
      </w:pPr>
      <w:r w:rsidRPr="001221A2">
        <w:rPr>
          <w:szCs w:val="24"/>
        </w:rPr>
        <w:t>Враховуючи викладене, керуючись статт</w:t>
      </w:r>
      <w:r w:rsidR="006A28E0" w:rsidRPr="001221A2">
        <w:rPr>
          <w:szCs w:val="24"/>
        </w:rPr>
        <w:t>ею</w:t>
      </w:r>
      <w:r w:rsidRPr="001221A2">
        <w:rPr>
          <w:szCs w:val="24"/>
        </w:rPr>
        <w:t xml:space="preserve"> 7 Закону України «Про Антимонопольний комітет України», статтями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1221A2">
        <w:rPr>
          <w:szCs w:val="24"/>
        </w:rPr>
        <w:t xml:space="preserve">                          </w:t>
      </w:r>
      <w:r w:rsidRPr="001221A2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1221A2">
        <w:rPr>
          <w:szCs w:val="24"/>
        </w:rPr>
        <w:t xml:space="preserve"> </w:t>
      </w:r>
      <w:r w:rsidRPr="001221A2">
        <w:rPr>
          <w:szCs w:val="24"/>
        </w:rPr>
        <w:t>№ 169-р) (зі змінами), Антимонопольний комітет України</w:t>
      </w:r>
    </w:p>
    <w:p w:rsidR="004A7652" w:rsidRPr="001221A2" w:rsidRDefault="004A7652" w:rsidP="004A7652">
      <w:pPr>
        <w:pStyle w:val="1"/>
        <w:numPr>
          <w:ilvl w:val="0"/>
          <w:numId w:val="0"/>
        </w:numPr>
        <w:rPr>
          <w:sz w:val="24"/>
          <w:szCs w:val="24"/>
        </w:rPr>
      </w:pPr>
    </w:p>
    <w:p w:rsidR="0094773B" w:rsidRPr="001221A2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1221A2">
        <w:rPr>
          <w:sz w:val="24"/>
          <w:szCs w:val="24"/>
        </w:rPr>
        <w:t>ПОСТАНОВИВ:</w:t>
      </w:r>
    </w:p>
    <w:p w:rsidR="004A7652" w:rsidRPr="001221A2" w:rsidRDefault="004A7652" w:rsidP="009948C5">
      <w:pPr>
        <w:tabs>
          <w:tab w:val="left" w:pos="709"/>
        </w:tabs>
        <w:rPr>
          <w:sz w:val="24"/>
          <w:szCs w:val="24"/>
        </w:rPr>
      </w:pPr>
    </w:p>
    <w:p w:rsidR="00980E23" w:rsidRPr="001221A2" w:rsidRDefault="005B358B" w:rsidP="006E05F6">
      <w:pPr>
        <w:pStyle w:val="210"/>
        <w:rPr>
          <w:szCs w:val="24"/>
        </w:rPr>
      </w:pPr>
      <w:r w:rsidRPr="001221A2">
        <w:rPr>
          <w:szCs w:val="24"/>
        </w:rPr>
        <w:t xml:space="preserve">1. </w:t>
      </w:r>
      <w:r w:rsidR="006E05F6" w:rsidRPr="001221A2">
        <w:rPr>
          <w:szCs w:val="24"/>
        </w:rPr>
        <w:t xml:space="preserve">Визнати, що  </w:t>
      </w:r>
      <w:r w:rsidR="00EE0B77" w:rsidRPr="002A07CE">
        <w:t>компанія «</w:t>
      </w:r>
      <w:r w:rsidR="00EE0B77" w:rsidRPr="00C7245F">
        <w:rPr>
          <w:lang w:val="en-US"/>
        </w:rPr>
        <w:t>ARMPITCH</w:t>
      </w:r>
      <w:r w:rsidR="00EE0B77" w:rsidRPr="002A07CE">
        <w:t xml:space="preserve"> </w:t>
      </w:r>
      <w:r w:rsidR="00EE0B77" w:rsidRPr="00C7245F">
        <w:rPr>
          <w:lang w:val="en-US"/>
        </w:rPr>
        <w:t>HOLDINGS</w:t>
      </w:r>
      <w:r w:rsidR="00EE0B77" w:rsidRPr="002A07CE">
        <w:t xml:space="preserve"> </w:t>
      </w:r>
      <w:r w:rsidR="00EE0B77" w:rsidRPr="00C7245F">
        <w:rPr>
          <w:lang w:val="en-US"/>
        </w:rPr>
        <w:t>LIMITED</w:t>
      </w:r>
      <w:r w:rsidR="00EE0B77" w:rsidRPr="002A07CE">
        <w:t xml:space="preserve">» (м. Лімасол, Кіпр) </w:t>
      </w:r>
      <w:r w:rsidR="00EE0B77">
        <w:t xml:space="preserve">вчинила </w:t>
      </w:r>
      <w:r w:rsidR="00EE0B77" w:rsidRPr="002A07CE">
        <w:t xml:space="preserve">порушення законодавства про захист економічної конкуренції, передбаченого пунктом 12 статті 50 Закону України «Про захист економічної конкуренції», у вигляді </w:t>
      </w:r>
      <w:r w:rsidR="00EE0B77" w:rsidRPr="002A07CE">
        <w:lastRenderedPageBreak/>
        <w:t>здійснення концентрації шляхом набуття у власність акцій компанії «</w:t>
      </w:r>
      <w:r w:rsidR="00EE0B77" w:rsidRPr="00C7245F">
        <w:rPr>
          <w:lang w:val="en-US"/>
        </w:rPr>
        <w:t>AGRICOM</w:t>
      </w:r>
      <w:r w:rsidR="00EE0B77" w:rsidRPr="002A07CE">
        <w:t xml:space="preserve"> </w:t>
      </w:r>
      <w:r w:rsidR="00EE0B77" w:rsidRPr="00C7245F">
        <w:rPr>
          <w:lang w:val="en-US"/>
        </w:rPr>
        <w:t>GROUP</w:t>
      </w:r>
      <w:r w:rsidR="00EE0B77" w:rsidRPr="002A07CE">
        <w:t xml:space="preserve"> </w:t>
      </w:r>
      <w:r w:rsidR="00EE0B77" w:rsidRPr="00C7245F">
        <w:rPr>
          <w:lang w:val="en-US"/>
        </w:rPr>
        <w:t>LIMITED</w:t>
      </w:r>
      <w:r w:rsidR="00EE0B77">
        <w:t xml:space="preserve">» </w:t>
      </w:r>
      <w:r w:rsidR="00EE0B77" w:rsidRPr="002A07CE">
        <w:t>(м. Нікосія, Кіпр), що забезпечило перевищення 25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</w:t>
      </w:r>
      <w:r w:rsidR="00EE0B77">
        <w:t>.</w:t>
      </w:r>
    </w:p>
    <w:p w:rsidR="007E77D6" w:rsidRPr="001221A2" w:rsidRDefault="007E77D6" w:rsidP="00980E23">
      <w:pPr>
        <w:pStyle w:val="210"/>
        <w:ind w:firstLine="709"/>
        <w:rPr>
          <w:szCs w:val="24"/>
          <w:highlight w:val="yellow"/>
        </w:rPr>
      </w:pPr>
    </w:p>
    <w:p w:rsidR="00DF6A07" w:rsidRPr="001221A2" w:rsidRDefault="00DF6A07" w:rsidP="0072359A">
      <w:pPr>
        <w:pStyle w:val="210"/>
        <w:ind w:firstLine="709"/>
        <w:textAlignment w:val="baseline"/>
        <w:rPr>
          <w:szCs w:val="24"/>
        </w:rPr>
      </w:pPr>
      <w:r w:rsidRPr="001221A2">
        <w:rPr>
          <w:szCs w:val="24"/>
        </w:rPr>
        <w:t xml:space="preserve">2. За порушення, </w:t>
      </w:r>
      <w:r w:rsidR="0002595D" w:rsidRPr="001221A2">
        <w:rPr>
          <w:szCs w:val="24"/>
        </w:rPr>
        <w:t>за</w:t>
      </w:r>
      <w:r w:rsidR="00BD1A4D" w:rsidRPr="001221A2">
        <w:rPr>
          <w:szCs w:val="24"/>
        </w:rPr>
        <w:t xml:space="preserve">значене </w:t>
      </w:r>
      <w:r w:rsidR="0002595D" w:rsidRPr="001221A2">
        <w:rPr>
          <w:szCs w:val="24"/>
        </w:rPr>
        <w:t>в</w:t>
      </w:r>
      <w:r w:rsidR="00BD1A4D" w:rsidRPr="001221A2">
        <w:rPr>
          <w:szCs w:val="24"/>
        </w:rPr>
        <w:t xml:space="preserve"> пункті 1 </w:t>
      </w:r>
      <w:r w:rsidR="00A2581F" w:rsidRPr="001221A2">
        <w:rPr>
          <w:szCs w:val="24"/>
        </w:rPr>
        <w:t>резолютивної частини цього</w:t>
      </w:r>
      <w:r w:rsidR="00BD1A4D" w:rsidRPr="001221A2">
        <w:rPr>
          <w:szCs w:val="24"/>
        </w:rPr>
        <w:t xml:space="preserve"> рішення</w:t>
      </w:r>
      <w:r w:rsidRPr="001221A2">
        <w:rPr>
          <w:szCs w:val="24"/>
        </w:rPr>
        <w:t xml:space="preserve">, накласти на </w:t>
      </w:r>
      <w:r w:rsidR="00117E17">
        <w:t>компанію «</w:t>
      </w:r>
      <w:r w:rsidR="00117E17" w:rsidRPr="00C7245F">
        <w:rPr>
          <w:lang w:val="en-US"/>
        </w:rPr>
        <w:t>ARMPITCH</w:t>
      </w:r>
      <w:r w:rsidR="00117E17" w:rsidRPr="002A07CE">
        <w:t xml:space="preserve"> </w:t>
      </w:r>
      <w:r w:rsidR="00117E17" w:rsidRPr="00C7245F">
        <w:rPr>
          <w:lang w:val="en-US"/>
        </w:rPr>
        <w:t>HOLDINGS</w:t>
      </w:r>
      <w:r w:rsidR="00117E17" w:rsidRPr="002A07CE">
        <w:t xml:space="preserve"> </w:t>
      </w:r>
      <w:r w:rsidR="00117E17" w:rsidRPr="00C7245F">
        <w:rPr>
          <w:lang w:val="en-US"/>
        </w:rPr>
        <w:t>LIMITED</w:t>
      </w:r>
      <w:r w:rsidR="00117E17">
        <w:t xml:space="preserve">» </w:t>
      </w:r>
      <w:r w:rsidR="00A97D4E" w:rsidRPr="001221A2">
        <w:rPr>
          <w:szCs w:val="24"/>
        </w:rPr>
        <w:t>штраф</w:t>
      </w:r>
      <w:r w:rsidR="00EB4C8B" w:rsidRPr="001221A2">
        <w:rPr>
          <w:rFonts w:eastAsia="Calibri"/>
          <w:bCs/>
          <w:szCs w:val="24"/>
        </w:rPr>
        <w:t xml:space="preserve"> </w:t>
      </w:r>
      <w:r w:rsidRPr="001221A2">
        <w:rPr>
          <w:szCs w:val="24"/>
        </w:rPr>
        <w:t xml:space="preserve">у </w:t>
      </w:r>
      <w:r w:rsidR="00D717F4" w:rsidRPr="001221A2">
        <w:rPr>
          <w:szCs w:val="24"/>
        </w:rPr>
        <w:t xml:space="preserve"> </w:t>
      </w:r>
      <w:r w:rsidRPr="001221A2">
        <w:rPr>
          <w:szCs w:val="24"/>
        </w:rPr>
        <w:t xml:space="preserve">розмірі </w:t>
      </w:r>
      <w:r w:rsidR="00EA412D">
        <w:rPr>
          <w:szCs w:val="24"/>
        </w:rPr>
        <w:t>170 000</w:t>
      </w:r>
      <w:r w:rsidR="003115DC" w:rsidRPr="001221A2">
        <w:rPr>
          <w:szCs w:val="24"/>
        </w:rPr>
        <w:t xml:space="preserve"> (</w:t>
      </w:r>
      <w:r w:rsidR="00EA412D">
        <w:rPr>
          <w:szCs w:val="24"/>
        </w:rPr>
        <w:t>сто сімдесят тисяч</w:t>
      </w:r>
      <w:r w:rsidR="003115DC" w:rsidRPr="001221A2">
        <w:rPr>
          <w:szCs w:val="24"/>
        </w:rPr>
        <w:t>)</w:t>
      </w:r>
      <w:r w:rsidRPr="001221A2">
        <w:rPr>
          <w:szCs w:val="24"/>
        </w:rPr>
        <w:t xml:space="preserve"> гривень.</w:t>
      </w:r>
    </w:p>
    <w:p w:rsidR="00A97D4E" w:rsidRPr="001221A2" w:rsidRDefault="00A97D4E" w:rsidP="002763C7">
      <w:pPr>
        <w:pStyle w:val="210"/>
        <w:ind w:firstLine="0"/>
        <w:rPr>
          <w:szCs w:val="24"/>
        </w:rPr>
      </w:pPr>
    </w:p>
    <w:p w:rsidR="006A28E0" w:rsidRPr="001221A2" w:rsidRDefault="006A28E0" w:rsidP="0072359A">
      <w:pPr>
        <w:pStyle w:val="210"/>
        <w:ind w:firstLine="709"/>
        <w:textAlignment w:val="baseline"/>
        <w:rPr>
          <w:szCs w:val="24"/>
        </w:rPr>
      </w:pPr>
      <w:r w:rsidRPr="001221A2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94773B" w:rsidRPr="001221A2" w:rsidRDefault="0094773B" w:rsidP="0002595D">
      <w:pPr>
        <w:pStyle w:val="210"/>
        <w:ind w:firstLine="0"/>
        <w:textAlignment w:val="baseline"/>
        <w:rPr>
          <w:szCs w:val="24"/>
        </w:rPr>
      </w:pPr>
    </w:p>
    <w:p w:rsidR="00BC006F" w:rsidRPr="00BC006F" w:rsidRDefault="00BC006F" w:rsidP="0072359A">
      <w:pPr>
        <w:pStyle w:val="21"/>
        <w:ind w:firstLine="709"/>
        <w:rPr>
          <w:i w:val="0"/>
          <w:szCs w:val="24"/>
        </w:rPr>
      </w:pPr>
      <w:r w:rsidRPr="001221A2">
        <w:rPr>
          <w:i w:val="0"/>
          <w:szCs w:val="24"/>
        </w:rPr>
        <w:t xml:space="preserve">Згідно </w:t>
      </w:r>
      <w:r w:rsidR="00CB1C44">
        <w:rPr>
          <w:i w:val="0"/>
          <w:szCs w:val="24"/>
        </w:rPr>
        <w:t>і</w:t>
      </w:r>
      <w:r w:rsidRPr="001221A2">
        <w:rPr>
          <w:i w:val="0"/>
          <w:szCs w:val="24"/>
        </w:rPr>
        <w:t>з частиною четвертою статті 56 Закону України «Про захист економічної</w:t>
      </w:r>
      <w:r w:rsidRPr="00BC006F">
        <w:rPr>
          <w:i w:val="0"/>
          <w:szCs w:val="24"/>
        </w:rPr>
        <w:t xml:space="preserve"> конкуренції»</w:t>
      </w:r>
      <w:r w:rsidR="0002595D">
        <w:rPr>
          <w:i w:val="0"/>
          <w:szCs w:val="24"/>
        </w:rPr>
        <w:t>,</w:t>
      </w:r>
      <w:r w:rsidRPr="00BC006F">
        <w:rPr>
          <w:i w:val="0"/>
          <w:szCs w:val="24"/>
        </w:rPr>
        <w:t xml:space="preserve"> якщо штраф накладено на </w:t>
      </w:r>
      <w:r w:rsidR="00230656" w:rsidRPr="00BC006F">
        <w:rPr>
          <w:i w:val="0"/>
          <w:szCs w:val="24"/>
        </w:rPr>
        <w:t>суб’єкт</w:t>
      </w:r>
      <w:r w:rsidRPr="00BC006F">
        <w:rPr>
          <w:i w:val="0"/>
          <w:szCs w:val="24"/>
        </w:rPr>
        <w:t xml:space="preserve">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</w:t>
      </w:r>
      <w:r w:rsidR="00EA412D">
        <w:rPr>
          <w:i w:val="0"/>
          <w:szCs w:val="24"/>
        </w:rPr>
        <w:t>’</w:t>
      </w:r>
      <w:r w:rsidRPr="00BC006F">
        <w:rPr>
          <w:i w:val="0"/>
          <w:szCs w:val="24"/>
        </w:rPr>
        <w:t>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BC006F" w:rsidRPr="004D1D3D" w:rsidRDefault="00BC006F" w:rsidP="0002595D">
      <w:pPr>
        <w:pStyle w:val="210"/>
        <w:ind w:firstLine="0"/>
        <w:textAlignment w:val="baseline"/>
        <w:rPr>
          <w:sz w:val="20"/>
        </w:rPr>
      </w:pPr>
    </w:p>
    <w:p w:rsidR="006F2562" w:rsidRPr="00F82255" w:rsidRDefault="006F2562" w:rsidP="0072359A">
      <w:pPr>
        <w:pStyle w:val="210"/>
        <w:tabs>
          <w:tab w:val="left" w:pos="8931"/>
        </w:tabs>
        <w:ind w:firstLine="709"/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02595D">
      <w:pPr>
        <w:jc w:val="both"/>
        <w:rPr>
          <w:sz w:val="24"/>
          <w:szCs w:val="24"/>
        </w:rPr>
      </w:pPr>
    </w:p>
    <w:p w:rsidR="00D4502C" w:rsidRPr="006A4853" w:rsidRDefault="00D4502C" w:rsidP="001F6192">
      <w:pPr>
        <w:jc w:val="both"/>
        <w:rPr>
          <w:sz w:val="24"/>
          <w:szCs w:val="24"/>
        </w:rPr>
      </w:pPr>
    </w:p>
    <w:p w:rsidR="0094773B" w:rsidRPr="006A4853" w:rsidRDefault="004F5BF5" w:rsidP="00230656">
      <w:pPr>
        <w:tabs>
          <w:tab w:val="left" w:pos="8789"/>
        </w:tabs>
        <w:rPr>
          <w:sz w:val="24"/>
          <w:szCs w:val="24"/>
        </w:rPr>
      </w:pPr>
      <w:r w:rsidRPr="006A4853">
        <w:rPr>
          <w:sz w:val="24"/>
          <w:szCs w:val="24"/>
        </w:rPr>
        <w:t>Голов</w:t>
      </w:r>
      <w:r w:rsidR="009A4C87" w:rsidRPr="006A4853">
        <w:rPr>
          <w:sz w:val="24"/>
          <w:szCs w:val="24"/>
        </w:rPr>
        <w:t>а</w:t>
      </w:r>
      <w:r w:rsidRPr="006A4853">
        <w:rPr>
          <w:sz w:val="24"/>
          <w:szCs w:val="24"/>
        </w:rPr>
        <w:t xml:space="preserve"> Комітету                                                           </w:t>
      </w:r>
      <w:r w:rsidR="00783AC2" w:rsidRPr="006A4853">
        <w:rPr>
          <w:sz w:val="24"/>
          <w:szCs w:val="24"/>
        </w:rPr>
        <w:t xml:space="preserve">           </w:t>
      </w:r>
      <w:r w:rsidRPr="006A4853">
        <w:rPr>
          <w:sz w:val="24"/>
          <w:szCs w:val="24"/>
        </w:rPr>
        <w:t xml:space="preserve">        </w:t>
      </w:r>
      <w:r w:rsidR="001F6C08" w:rsidRPr="006A4853">
        <w:rPr>
          <w:sz w:val="24"/>
          <w:szCs w:val="24"/>
        </w:rPr>
        <w:t xml:space="preserve">        </w:t>
      </w:r>
      <w:r w:rsidR="00230656">
        <w:rPr>
          <w:sz w:val="24"/>
          <w:szCs w:val="24"/>
        </w:rPr>
        <w:t xml:space="preserve">    </w:t>
      </w:r>
      <w:r w:rsidR="00EA412D">
        <w:rPr>
          <w:sz w:val="24"/>
          <w:szCs w:val="24"/>
        </w:rPr>
        <w:t xml:space="preserve">Ольга </w:t>
      </w:r>
      <w:r w:rsidR="00A51CFA">
        <w:rPr>
          <w:sz w:val="24"/>
          <w:szCs w:val="24"/>
        </w:rPr>
        <w:t>ПІЩАНСЬКА</w:t>
      </w:r>
      <w:r w:rsidRPr="006A4853">
        <w:rPr>
          <w:sz w:val="24"/>
          <w:szCs w:val="24"/>
        </w:rPr>
        <w:t xml:space="preserve">       </w:t>
      </w:r>
    </w:p>
    <w:sectPr w:rsidR="0094773B" w:rsidRPr="006A4853" w:rsidSect="00E51A34">
      <w:headerReference w:type="default" r:id="rId9"/>
      <w:footerReference w:type="default" r:id="rId10"/>
      <w:pgSz w:w="11907" w:h="16840" w:code="9"/>
      <w:pgMar w:top="964" w:right="567" w:bottom="96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2B5" w:rsidRDefault="000042B5">
      <w:r>
        <w:separator/>
      </w:r>
    </w:p>
  </w:endnote>
  <w:endnote w:type="continuationSeparator" w:id="0">
    <w:p w:rsidR="000042B5" w:rsidRDefault="000042B5">
      <w:r>
        <w:continuationSeparator/>
      </w:r>
    </w:p>
  </w:endnote>
  <w:endnote w:type="continuationNotice" w:id="1">
    <w:p w:rsidR="000042B5" w:rsidRDefault="000042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84E" w:rsidRDefault="0056584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2B5" w:rsidRDefault="000042B5">
      <w:r>
        <w:separator/>
      </w:r>
    </w:p>
  </w:footnote>
  <w:footnote w:type="continuationSeparator" w:id="0">
    <w:p w:rsidR="000042B5" w:rsidRDefault="000042B5">
      <w:r>
        <w:continuationSeparator/>
      </w:r>
    </w:p>
  </w:footnote>
  <w:footnote w:type="continuationNotice" w:id="1">
    <w:p w:rsidR="000042B5" w:rsidRDefault="000042B5"/>
  </w:footnote>
  <w:footnote w:id="2">
    <w:p w:rsidR="001221A2" w:rsidRPr="0083474E" w:rsidRDefault="001221A2" w:rsidP="001221A2">
      <w:pPr>
        <w:jc w:val="both"/>
        <w:rPr>
          <w:i/>
        </w:rPr>
      </w:pPr>
      <w:r w:rsidRPr="0083474E">
        <w:rPr>
          <w:rStyle w:val="af8"/>
        </w:rPr>
        <w:footnoteRef/>
      </w:r>
      <w:r w:rsidRPr="0083474E">
        <w:t xml:space="preserve"> </w:t>
      </w:r>
      <w:r w:rsidRPr="0083474E">
        <w:rPr>
          <w:i/>
        </w:rPr>
        <w:t>Рішенням Комітету від 18 березня 2021 року № 153-р надано дозвіл компанії «</w:t>
      </w:r>
      <w:r w:rsidRPr="0083474E">
        <w:rPr>
          <w:bCs/>
          <w:i/>
        </w:rPr>
        <w:t>ІНТЕРЕЛЕК СА</w:t>
      </w:r>
      <w:r w:rsidRPr="0083474E">
        <w:rPr>
          <w:i/>
        </w:rPr>
        <w:t>» (</w:t>
      </w:r>
      <w:r w:rsidRPr="0083474E">
        <w:rPr>
          <w:i/>
          <w:lang w:val="en-US"/>
        </w:rPr>
        <w:t>INTERELEC</w:t>
      </w:r>
      <w:r w:rsidRPr="0083474E">
        <w:rPr>
          <w:i/>
        </w:rPr>
        <w:t xml:space="preserve"> </w:t>
      </w:r>
      <w:r w:rsidRPr="0083474E">
        <w:rPr>
          <w:i/>
          <w:lang w:val="en-US"/>
        </w:rPr>
        <w:t>SA</w:t>
      </w:r>
      <w:r w:rsidRPr="0083474E">
        <w:rPr>
          <w:i/>
        </w:rPr>
        <w:t>) (м. Фрібур, Швейцарія)  на набуття права власності на акції компанії «АГРІКОМ ГРУП ЛІМІТЕД» (</w:t>
      </w:r>
      <w:r w:rsidRPr="0083474E">
        <w:rPr>
          <w:i/>
          <w:lang w:val="en-US"/>
        </w:rPr>
        <w:t>Agricom</w:t>
      </w:r>
      <w:r w:rsidRPr="0083474E">
        <w:rPr>
          <w:i/>
        </w:rPr>
        <w:t xml:space="preserve"> </w:t>
      </w:r>
      <w:r w:rsidRPr="0083474E">
        <w:rPr>
          <w:i/>
          <w:lang w:val="en-US"/>
        </w:rPr>
        <w:t>Group</w:t>
      </w:r>
      <w:r w:rsidRPr="0083474E">
        <w:rPr>
          <w:i/>
        </w:rPr>
        <w:t xml:space="preserve"> </w:t>
      </w:r>
      <w:r w:rsidRPr="0083474E">
        <w:rPr>
          <w:i/>
          <w:lang w:val="en-US"/>
        </w:rPr>
        <w:t>Limited</w:t>
      </w:r>
      <w:r w:rsidRPr="0083474E">
        <w:rPr>
          <w:i/>
        </w:rPr>
        <w:t>) (м. Лімасол, Кіпр), що забезпечує перевищення 25 відсотків голосів у вищому органі управління компанії.</w:t>
      </w:r>
    </w:p>
    <w:p w:rsidR="001221A2" w:rsidRPr="005C0245" w:rsidRDefault="001221A2" w:rsidP="001221A2">
      <w:pPr>
        <w:pStyle w:val="af6"/>
        <w:rPr>
          <w:lang w:val="uk-U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84E" w:rsidRDefault="0056584E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4619">
      <w:rPr>
        <w:rStyle w:val="a4"/>
        <w:noProof/>
      </w:rPr>
      <w:t>5</w:t>
    </w:r>
    <w:r>
      <w:rPr>
        <w:rStyle w:val="a4"/>
      </w:rPr>
      <w:fldChar w:fldCharType="end"/>
    </w:r>
  </w:p>
  <w:p w:rsidR="0056584E" w:rsidRDefault="00565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727EF4"/>
    <w:multiLevelType w:val="hybridMultilevel"/>
    <w:tmpl w:val="99420B62"/>
    <w:lvl w:ilvl="0" w:tplc="8604A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0320CF"/>
    <w:multiLevelType w:val="multilevel"/>
    <w:tmpl w:val="D1D6896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7" w15:restartNumberingAfterBreak="0">
    <w:nsid w:val="7CC30FA0"/>
    <w:multiLevelType w:val="hybridMultilevel"/>
    <w:tmpl w:val="982C3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0"/>
  </w:num>
  <w:num w:numId="3">
    <w:abstractNumId w:val="1"/>
  </w:num>
  <w:num w:numId="4">
    <w:abstractNumId w:val="16"/>
  </w:num>
  <w:num w:numId="5">
    <w:abstractNumId w:val="14"/>
  </w:num>
  <w:num w:numId="6">
    <w:abstractNumId w:val="6"/>
  </w:num>
  <w:num w:numId="7">
    <w:abstractNumId w:val="11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18"/>
  </w:num>
  <w:num w:numId="18">
    <w:abstractNumId w:val="18"/>
  </w:num>
  <w:num w:numId="19">
    <w:abstractNumId w:val="4"/>
  </w:num>
  <w:num w:numId="20">
    <w:abstractNumId w:val="2"/>
  </w:num>
  <w:num w:numId="21">
    <w:abstractNumId w:val="3"/>
  </w:num>
  <w:num w:numId="22">
    <w:abstractNumId w:val="8"/>
  </w:num>
  <w:num w:numId="23">
    <w:abstractNumId w:val="12"/>
  </w:num>
  <w:num w:numId="24">
    <w:abstractNumId w:val="5"/>
  </w:num>
  <w:num w:numId="25">
    <w:abstractNumId w:val="9"/>
  </w:num>
  <w:num w:numId="26">
    <w:abstractNumId w:val="18"/>
  </w:num>
  <w:num w:numId="27">
    <w:abstractNumId w:val="18"/>
  </w:num>
  <w:num w:numId="28">
    <w:abstractNumId w:val="17"/>
  </w:num>
  <w:num w:numId="29">
    <w:abstractNumId w:val="7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2C"/>
    <w:rsid w:val="00002CC2"/>
    <w:rsid w:val="000042B5"/>
    <w:rsid w:val="00005053"/>
    <w:rsid w:val="000075B3"/>
    <w:rsid w:val="00013E43"/>
    <w:rsid w:val="000145BD"/>
    <w:rsid w:val="000162FA"/>
    <w:rsid w:val="00023929"/>
    <w:rsid w:val="000253E4"/>
    <w:rsid w:val="0002595D"/>
    <w:rsid w:val="000306F5"/>
    <w:rsid w:val="000416C9"/>
    <w:rsid w:val="000456EA"/>
    <w:rsid w:val="00046FA9"/>
    <w:rsid w:val="00050F94"/>
    <w:rsid w:val="000566A2"/>
    <w:rsid w:val="00057401"/>
    <w:rsid w:val="00065A8E"/>
    <w:rsid w:val="00066B27"/>
    <w:rsid w:val="00075FEB"/>
    <w:rsid w:val="0008109F"/>
    <w:rsid w:val="00081428"/>
    <w:rsid w:val="00081591"/>
    <w:rsid w:val="00082441"/>
    <w:rsid w:val="00084588"/>
    <w:rsid w:val="000878AC"/>
    <w:rsid w:val="00091304"/>
    <w:rsid w:val="0009764A"/>
    <w:rsid w:val="000A373E"/>
    <w:rsid w:val="000A7CCE"/>
    <w:rsid w:val="000B2A66"/>
    <w:rsid w:val="000B4E4A"/>
    <w:rsid w:val="000B55AF"/>
    <w:rsid w:val="000B5643"/>
    <w:rsid w:val="000C18B3"/>
    <w:rsid w:val="000C35D8"/>
    <w:rsid w:val="000C40DC"/>
    <w:rsid w:val="000C74CD"/>
    <w:rsid w:val="000D25BB"/>
    <w:rsid w:val="000D3049"/>
    <w:rsid w:val="000E05EA"/>
    <w:rsid w:val="000F174B"/>
    <w:rsid w:val="000F3606"/>
    <w:rsid w:val="000F41C0"/>
    <w:rsid w:val="000F5C7F"/>
    <w:rsid w:val="000F77BE"/>
    <w:rsid w:val="00104449"/>
    <w:rsid w:val="001046B5"/>
    <w:rsid w:val="00110106"/>
    <w:rsid w:val="00111944"/>
    <w:rsid w:val="00111F74"/>
    <w:rsid w:val="00113847"/>
    <w:rsid w:val="00116448"/>
    <w:rsid w:val="00117E17"/>
    <w:rsid w:val="00120C5D"/>
    <w:rsid w:val="001213C3"/>
    <w:rsid w:val="001221A2"/>
    <w:rsid w:val="001276E0"/>
    <w:rsid w:val="00132CC2"/>
    <w:rsid w:val="001332C4"/>
    <w:rsid w:val="0013497C"/>
    <w:rsid w:val="00143FC0"/>
    <w:rsid w:val="0014565B"/>
    <w:rsid w:val="0014718A"/>
    <w:rsid w:val="00153530"/>
    <w:rsid w:val="00154AB7"/>
    <w:rsid w:val="001603AC"/>
    <w:rsid w:val="0016462C"/>
    <w:rsid w:val="0016755B"/>
    <w:rsid w:val="00177C1F"/>
    <w:rsid w:val="00180C5B"/>
    <w:rsid w:val="00182208"/>
    <w:rsid w:val="00192A09"/>
    <w:rsid w:val="001945DF"/>
    <w:rsid w:val="001A7DB8"/>
    <w:rsid w:val="001C15EE"/>
    <w:rsid w:val="001C5CA7"/>
    <w:rsid w:val="001D0AAC"/>
    <w:rsid w:val="001D31A7"/>
    <w:rsid w:val="001D6DAC"/>
    <w:rsid w:val="001E0B39"/>
    <w:rsid w:val="001E258D"/>
    <w:rsid w:val="001E287C"/>
    <w:rsid w:val="001E4E9D"/>
    <w:rsid w:val="001E560B"/>
    <w:rsid w:val="001F334F"/>
    <w:rsid w:val="001F612B"/>
    <w:rsid w:val="001F6192"/>
    <w:rsid w:val="001F6C08"/>
    <w:rsid w:val="00200715"/>
    <w:rsid w:val="00211F19"/>
    <w:rsid w:val="00216886"/>
    <w:rsid w:val="002263D5"/>
    <w:rsid w:val="002302AE"/>
    <w:rsid w:val="00230656"/>
    <w:rsid w:val="002326BD"/>
    <w:rsid w:val="00234E52"/>
    <w:rsid w:val="002417CE"/>
    <w:rsid w:val="00244708"/>
    <w:rsid w:val="00256A67"/>
    <w:rsid w:val="002621C5"/>
    <w:rsid w:val="002655AD"/>
    <w:rsid w:val="002701E3"/>
    <w:rsid w:val="00272D50"/>
    <w:rsid w:val="002748B4"/>
    <w:rsid w:val="002763C7"/>
    <w:rsid w:val="0027758C"/>
    <w:rsid w:val="00277DED"/>
    <w:rsid w:val="00282192"/>
    <w:rsid w:val="00285143"/>
    <w:rsid w:val="00290272"/>
    <w:rsid w:val="002922C6"/>
    <w:rsid w:val="0029288D"/>
    <w:rsid w:val="00293001"/>
    <w:rsid w:val="002945CA"/>
    <w:rsid w:val="002947B7"/>
    <w:rsid w:val="00294D7F"/>
    <w:rsid w:val="002A18E7"/>
    <w:rsid w:val="002A1B59"/>
    <w:rsid w:val="002A64EC"/>
    <w:rsid w:val="002A7D15"/>
    <w:rsid w:val="002B4F8C"/>
    <w:rsid w:val="002C12FB"/>
    <w:rsid w:val="002C1DE1"/>
    <w:rsid w:val="002D011D"/>
    <w:rsid w:val="002D5871"/>
    <w:rsid w:val="002E1091"/>
    <w:rsid w:val="002F38BA"/>
    <w:rsid w:val="002F4E7E"/>
    <w:rsid w:val="002F669B"/>
    <w:rsid w:val="003056B9"/>
    <w:rsid w:val="00305F33"/>
    <w:rsid w:val="003115DC"/>
    <w:rsid w:val="00312347"/>
    <w:rsid w:val="003167FE"/>
    <w:rsid w:val="0032514B"/>
    <w:rsid w:val="00326A9C"/>
    <w:rsid w:val="00327082"/>
    <w:rsid w:val="0033648A"/>
    <w:rsid w:val="003374E7"/>
    <w:rsid w:val="00337551"/>
    <w:rsid w:val="00337CF0"/>
    <w:rsid w:val="00340CF3"/>
    <w:rsid w:val="00341334"/>
    <w:rsid w:val="003473B7"/>
    <w:rsid w:val="003525A9"/>
    <w:rsid w:val="0035427F"/>
    <w:rsid w:val="00356538"/>
    <w:rsid w:val="00363A67"/>
    <w:rsid w:val="0036589C"/>
    <w:rsid w:val="00366EB9"/>
    <w:rsid w:val="00381607"/>
    <w:rsid w:val="00381F4B"/>
    <w:rsid w:val="003917CE"/>
    <w:rsid w:val="00392FE4"/>
    <w:rsid w:val="003958D4"/>
    <w:rsid w:val="00396490"/>
    <w:rsid w:val="003A3D9D"/>
    <w:rsid w:val="003A47A4"/>
    <w:rsid w:val="003A6B35"/>
    <w:rsid w:val="003A6D20"/>
    <w:rsid w:val="003B0340"/>
    <w:rsid w:val="003B1DE0"/>
    <w:rsid w:val="003B4714"/>
    <w:rsid w:val="003B5C2D"/>
    <w:rsid w:val="003C2F71"/>
    <w:rsid w:val="003C44BC"/>
    <w:rsid w:val="003C5CD5"/>
    <w:rsid w:val="003C7578"/>
    <w:rsid w:val="003D05DE"/>
    <w:rsid w:val="003D1395"/>
    <w:rsid w:val="003D4460"/>
    <w:rsid w:val="003D51BC"/>
    <w:rsid w:val="003E3201"/>
    <w:rsid w:val="003E33F3"/>
    <w:rsid w:val="003E526E"/>
    <w:rsid w:val="003F5070"/>
    <w:rsid w:val="003F5487"/>
    <w:rsid w:val="003F7B46"/>
    <w:rsid w:val="003F7E03"/>
    <w:rsid w:val="004024D1"/>
    <w:rsid w:val="00410FA1"/>
    <w:rsid w:val="00415593"/>
    <w:rsid w:val="00424562"/>
    <w:rsid w:val="00424C74"/>
    <w:rsid w:val="004261EE"/>
    <w:rsid w:val="00426F04"/>
    <w:rsid w:val="00430641"/>
    <w:rsid w:val="0043385B"/>
    <w:rsid w:val="0043441A"/>
    <w:rsid w:val="00434BD9"/>
    <w:rsid w:val="00436A39"/>
    <w:rsid w:val="004444A4"/>
    <w:rsid w:val="00444A65"/>
    <w:rsid w:val="00446D3E"/>
    <w:rsid w:val="0045031E"/>
    <w:rsid w:val="004625EB"/>
    <w:rsid w:val="00464833"/>
    <w:rsid w:val="00465689"/>
    <w:rsid w:val="00465F6B"/>
    <w:rsid w:val="0046682E"/>
    <w:rsid w:val="00470811"/>
    <w:rsid w:val="004722A4"/>
    <w:rsid w:val="004741F5"/>
    <w:rsid w:val="00474841"/>
    <w:rsid w:val="00476E9D"/>
    <w:rsid w:val="00487F97"/>
    <w:rsid w:val="004A1DEF"/>
    <w:rsid w:val="004A3354"/>
    <w:rsid w:val="004A470F"/>
    <w:rsid w:val="004A7652"/>
    <w:rsid w:val="004B37E3"/>
    <w:rsid w:val="004B530A"/>
    <w:rsid w:val="004B575D"/>
    <w:rsid w:val="004C1D5E"/>
    <w:rsid w:val="004C21A4"/>
    <w:rsid w:val="004C6E6D"/>
    <w:rsid w:val="004D07EF"/>
    <w:rsid w:val="004D1D3D"/>
    <w:rsid w:val="004D5730"/>
    <w:rsid w:val="004D700E"/>
    <w:rsid w:val="004D7A66"/>
    <w:rsid w:val="004E6B7D"/>
    <w:rsid w:val="004E6C43"/>
    <w:rsid w:val="004F18F9"/>
    <w:rsid w:val="004F2350"/>
    <w:rsid w:val="004F5BF5"/>
    <w:rsid w:val="004F5CC7"/>
    <w:rsid w:val="004F5F33"/>
    <w:rsid w:val="00503195"/>
    <w:rsid w:val="00507C0C"/>
    <w:rsid w:val="00513E78"/>
    <w:rsid w:val="00521907"/>
    <w:rsid w:val="00523A85"/>
    <w:rsid w:val="00530A08"/>
    <w:rsid w:val="00536499"/>
    <w:rsid w:val="00537E85"/>
    <w:rsid w:val="005408B8"/>
    <w:rsid w:val="005438FA"/>
    <w:rsid w:val="00545334"/>
    <w:rsid w:val="00545476"/>
    <w:rsid w:val="005465D9"/>
    <w:rsid w:val="0055693D"/>
    <w:rsid w:val="00560BCB"/>
    <w:rsid w:val="005611E4"/>
    <w:rsid w:val="005621DB"/>
    <w:rsid w:val="00562F81"/>
    <w:rsid w:val="00562FDB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52E4"/>
    <w:rsid w:val="0059750D"/>
    <w:rsid w:val="005A22F7"/>
    <w:rsid w:val="005B358B"/>
    <w:rsid w:val="005B3E35"/>
    <w:rsid w:val="005B4245"/>
    <w:rsid w:val="005B5699"/>
    <w:rsid w:val="005C1ABC"/>
    <w:rsid w:val="005C315E"/>
    <w:rsid w:val="005D3F1C"/>
    <w:rsid w:val="005E336A"/>
    <w:rsid w:val="005E57E4"/>
    <w:rsid w:val="005E62A2"/>
    <w:rsid w:val="005F2664"/>
    <w:rsid w:val="005F3215"/>
    <w:rsid w:val="005F7A2D"/>
    <w:rsid w:val="0060513F"/>
    <w:rsid w:val="006129B5"/>
    <w:rsid w:val="00613CE1"/>
    <w:rsid w:val="006210F8"/>
    <w:rsid w:val="00627DA7"/>
    <w:rsid w:val="00630438"/>
    <w:rsid w:val="00632DFA"/>
    <w:rsid w:val="006370EA"/>
    <w:rsid w:val="0064003D"/>
    <w:rsid w:val="006471F3"/>
    <w:rsid w:val="00653799"/>
    <w:rsid w:val="006558FA"/>
    <w:rsid w:val="0065609F"/>
    <w:rsid w:val="00665F99"/>
    <w:rsid w:val="00671D3D"/>
    <w:rsid w:val="00672357"/>
    <w:rsid w:val="00681F67"/>
    <w:rsid w:val="006872B2"/>
    <w:rsid w:val="00692180"/>
    <w:rsid w:val="006A045A"/>
    <w:rsid w:val="006A28E0"/>
    <w:rsid w:val="006A2951"/>
    <w:rsid w:val="006A3CE4"/>
    <w:rsid w:val="006A4853"/>
    <w:rsid w:val="006B559C"/>
    <w:rsid w:val="006B71C2"/>
    <w:rsid w:val="006C01A2"/>
    <w:rsid w:val="006C61C5"/>
    <w:rsid w:val="006D100F"/>
    <w:rsid w:val="006E05F6"/>
    <w:rsid w:val="006E2A9D"/>
    <w:rsid w:val="006E4619"/>
    <w:rsid w:val="006E4DD7"/>
    <w:rsid w:val="006F2562"/>
    <w:rsid w:val="006F32E3"/>
    <w:rsid w:val="006F3ED6"/>
    <w:rsid w:val="006F6B70"/>
    <w:rsid w:val="006F7426"/>
    <w:rsid w:val="0070052F"/>
    <w:rsid w:val="00700D76"/>
    <w:rsid w:val="007055D1"/>
    <w:rsid w:val="00710107"/>
    <w:rsid w:val="00711743"/>
    <w:rsid w:val="007127C3"/>
    <w:rsid w:val="00715AAE"/>
    <w:rsid w:val="007179DD"/>
    <w:rsid w:val="00717D1C"/>
    <w:rsid w:val="0072359A"/>
    <w:rsid w:val="00735667"/>
    <w:rsid w:val="00740F8C"/>
    <w:rsid w:val="00744AED"/>
    <w:rsid w:val="00747648"/>
    <w:rsid w:val="007513B8"/>
    <w:rsid w:val="00751656"/>
    <w:rsid w:val="007517AE"/>
    <w:rsid w:val="00760346"/>
    <w:rsid w:val="00765C30"/>
    <w:rsid w:val="0076663A"/>
    <w:rsid w:val="00774321"/>
    <w:rsid w:val="00774C40"/>
    <w:rsid w:val="00777D48"/>
    <w:rsid w:val="007801E6"/>
    <w:rsid w:val="00783AC2"/>
    <w:rsid w:val="0078495C"/>
    <w:rsid w:val="007900DC"/>
    <w:rsid w:val="00793B5C"/>
    <w:rsid w:val="007A11FA"/>
    <w:rsid w:val="007A2E3B"/>
    <w:rsid w:val="007B373C"/>
    <w:rsid w:val="007B38A7"/>
    <w:rsid w:val="007B395C"/>
    <w:rsid w:val="007B7A66"/>
    <w:rsid w:val="007C1204"/>
    <w:rsid w:val="007C4818"/>
    <w:rsid w:val="007C4DBA"/>
    <w:rsid w:val="007C5EAF"/>
    <w:rsid w:val="007D0381"/>
    <w:rsid w:val="007D771B"/>
    <w:rsid w:val="007E70C1"/>
    <w:rsid w:val="007E77D6"/>
    <w:rsid w:val="007F0417"/>
    <w:rsid w:val="007F1D9A"/>
    <w:rsid w:val="00800CB0"/>
    <w:rsid w:val="008068BA"/>
    <w:rsid w:val="00812D7C"/>
    <w:rsid w:val="00813030"/>
    <w:rsid w:val="00813B5F"/>
    <w:rsid w:val="00817AC5"/>
    <w:rsid w:val="008200B2"/>
    <w:rsid w:val="00821ADA"/>
    <w:rsid w:val="00824D03"/>
    <w:rsid w:val="00827DFD"/>
    <w:rsid w:val="00831C9D"/>
    <w:rsid w:val="00843FE1"/>
    <w:rsid w:val="00844657"/>
    <w:rsid w:val="00845116"/>
    <w:rsid w:val="008455A5"/>
    <w:rsid w:val="008463EC"/>
    <w:rsid w:val="00850657"/>
    <w:rsid w:val="008562C1"/>
    <w:rsid w:val="00865C3A"/>
    <w:rsid w:val="008673DE"/>
    <w:rsid w:val="00867882"/>
    <w:rsid w:val="00870F9D"/>
    <w:rsid w:val="0087178B"/>
    <w:rsid w:val="00871892"/>
    <w:rsid w:val="00880313"/>
    <w:rsid w:val="008843B3"/>
    <w:rsid w:val="00884D1B"/>
    <w:rsid w:val="00894C51"/>
    <w:rsid w:val="00897FF2"/>
    <w:rsid w:val="008A5F4E"/>
    <w:rsid w:val="008A76B2"/>
    <w:rsid w:val="008B3398"/>
    <w:rsid w:val="008B3D17"/>
    <w:rsid w:val="008B78C3"/>
    <w:rsid w:val="008C5AE6"/>
    <w:rsid w:val="008C5C11"/>
    <w:rsid w:val="008C7F84"/>
    <w:rsid w:val="008D568A"/>
    <w:rsid w:val="008D7C70"/>
    <w:rsid w:val="008E10E0"/>
    <w:rsid w:val="008E2292"/>
    <w:rsid w:val="008E707A"/>
    <w:rsid w:val="009049B6"/>
    <w:rsid w:val="00912521"/>
    <w:rsid w:val="00924E7A"/>
    <w:rsid w:val="00926DD8"/>
    <w:rsid w:val="0093005F"/>
    <w:rsid w:val="00931743"/>
    <w:rsid w:val="0093736C"/>
    <w:rsid w:val="00937EB9"/>
    <w:rsid w:val="00941DC4"/>
    <w:rsid w:val="0094773B"/>
    <w:rsid w:val="009501D0"/>
    <w:rsid w:val="009556C3"/>
    <w:rsid w:val="0095712B"/>
    <w:rsid w:val="00957B67"/>
    <w:rsid w:val="00961232"/>
    <w:rsid w:val="0096279E"/>
    <w:rsid w:val="00962AAF"/>
    <w:rsid w:val="009719F0"/>
    <w:rsid w:val="00971CB0"/>
    <w:rsid w:val="00973A4E"/>
    <w:rsid w:val="009752F6"/>
    <w:rsid w:val="00980E23"/>
    <w:rsid w:val="00990445"/>
    <w:rsid w:val="009948C5"/>
    <w:rsid w:val="009A3EF8"/>
    <w:rsid w:val="009A4C87"/>
    <w:rsid w:val="009B05AF"/>
    <w:rsid w:val="009B7472"/>
    <w:rsid w:val="009B7795"/>
    <w:rsid w:val="009C2AE8"/>
    <w:rsid w:val="009D279E"/>
    <w:rsid w:val="009F0E8D"/>
    <w:rsid w:val="009F2294"/>
    <w:rsid w:val="009F4A31"/>
    <w:rsid w:val="009F71E0"/>
    <w:rsid w:val="009F71F4"/>
    <w:rsid w:val="00A00647"/>
    <w:rsid w:val="00A03669"/>
    <w:rsid w:val="00A057AE"/>
    <w:rsid w:val="00A05B25"/>
    <w:rsid w:val="00A16FB7"/>
    <w:rsid w:val="00A17665"/>
    <w:rsid w:val="00A2124A"/>
    <w:rsid w:val="00A2581F"/>
    <w:rsid w:val="00A2627F"/>
    <w:rsid w:val="00A36DA1"/>
    <w:rsid w:val="00A51C53"/>
    <w:rsid w:val="00A51CFA"/>
    <w:rsid w:val="00A63EE8"/>
    <w:rsid w:val="00A67250"/>
    <w:rsid w:val="00A71F38"/>
    <w:rsid w:val="00A837A2"/>
    <w:rsid w:val="00A83F8A"/>
    <w:rsid w:val="00A93269"/>
    <w:rsid w:val="00A94EFD"/>
    <w:rsid w:val="00A97D4E"/>
    <w:rsid w:val="00AA0EB8"/>
    <w:rsid w:val="00AB0F0B"/>
    <w:rsid w:val="00AB131C"/>
    <w:rsid w:val="00AB175B"/>
    <w:rsid w:val="00AB1797"/>
    <w:rsid w:val="00AB296B"/>
    <w:rsid w:val="00AB588D"/>
    <w:rsid w:val="00AB627D"/>
    <w:rsid w:val="00AB78B0"/>
    <w:rsid w:val="00AC3088"/>
    <w:rsid w:val="00AC4C63"/>
    <w:rsid w:val="00AC4D64"/>
    <w:rsid w:val="00AC4DC5"/>
    <w:rsid w:val="00AD5BA5"/>
    <w:rsid w:val="00AD5E15"/>
    <w:rsid w:val="00AD67CB"/>
    <w:rsid w:val="00AD69C1"/>
    <w:rsid w:val="00AE52A3"/>
    <w:rsid w:val="00AF1B28"/>
    <w:rsid w:val="00AF437F"/>
    <w:rsid w:val="00AF6937"/>
    <w:rsid w:val="00B04821"/>
    <w:rsid w:val="00B06DFD"/>
    <w:rsid w:val="00B2012D"/>
    <w:rsid w:val="00B20ACA"/>
    <w:rsid w:val="00B21C9C"/>
    <w:rsid w:val="00B22D8B"/>
    <w:rsid w:val="00B36219"/>
    <w:rsid w:val="00B379DD"/>
    <w:rsid w:val="00B40410"/>
    <w:rsid w:val="00B42361"/>
    <w:rsid w:val="00B446DA"/>
    <w:rsid w:val="00B45103"/>
    <w:rsid w:val="00B51190"/>
    <w:rsid w:val="00B51A2B"/>
    <w:rsid w:val="00B53577"/>
    <w:rsid w:val="00B5434F"/>
    <w:rsid w:val="00B60BAE"/>
    <w:rsid w:val="00B7734A"/>
    <w:rsid w:val="00B77AF5"/>
    <w:rsid w:val="00B83532"/>
    <w:rsid w:val="00B850F3"/>
    <w:rsid w:val="00B9001F"/>
    <w:rsid w:val="00B90CF0"/>
    <w:rsid w:val="00B9157D"/>
    <w:rsid w:val="00B939FF"/>
    <w:rsid w:val="00B978A0"/>
    <w:rsid w:val="00BA1937"/>
    <w:rsid w:val="00BA5F75"/>
    <w:rsid w:val="00BB03B0"/>
    <w:rsid w:val="00BB0739"/>
    <w:rsid w:val="00BB59D2"/>
    <w:rsid w:val="00BB5C78"/>
    <w:rsid w:val="00BC006F"/>
    <w:rsid w:val="00BC3648"/>
    <w:rsid w:val="00BD1A4D"/>
    <w:rsid w:val="00BD2AF6"/>
    <w:rsid w:val="00BD7735"/>
    <w:rsid w:val="00BE1CAD"/>
    <w:rsid w:val="00BE1E55"/>
    <w:rsid w:val="00BE5F61"/>
    <w:rsid w:val="00BE5FBF"/>
    <w:rsid w:val="00BE7B77"/>
    <w:rsid w:val="00BF43F6"/>
    <w:rsid w:val="00BF4849"/>
    <w:rsid w:val="00C03605"/>
    <w:rsid w:val="00C05D10"/>
    <w:rsid w:val="00C07EAC"/>
    <w:rsid w:val="00C12EB6"/>
    <w:rsid w:val="00C17D8E"/>
    <w:rsid w:val="00C200C4"/>
    <w:rsid w:val="00C20B7F"/>
    <w:rsid w:val="00C21232"/>
    <w:rsid w:val="00C347F8"/>
    <w:rsid w:val="00C431CB"/>
    <w:rsid w:val="00C46D47"/>
    <w:rsid w:val="00C50D58"/>
    <w:rsid w:val="00C52151"/>
    <w:rsid w:val="00C53E5A"/>
    <w:rsid w:val="00C5441C"/>
    <w:rsid w:val="00C570F1"/>
    <w:rsid w:val="00C60084"/>
    <w:rsid w:val="00C60C86"/>
    <w:rsid w:val="00C62661"/>
    <w:rsid w:val="00C6660C"/>
    <w:rsid w:val="00C67EB9"/>
    <w:rsid w:val="00C7435B"/>
    <w:rsid w:val="00C76F5A"/>
    <w:rsid w:val="00C7719C"/>
    <w:rsid w:val="00C836FD"/>
    <w:rsid w:val="00C908DF"/>
    <w:rsid w:val="00C93214"/>
    <w:rsid w:val="00C950CD"/>
    <w:rsid w:val="00C97F0B"/>
    <w:rsid w:val="00CA3FAF"/>
    <w:rsid w:val="00CA5C1E"/>
    <w:rsid w:val="00CB1C44"/>
    <w:rsid w:val="00CB2D90"/>
    <w:rsid w:val="00CB3B4E"/>
    <w:rsid w:val="00CB3D35"/>
    <w:rsid w:val="00CC25A4"/>
    <w:rsid w:val="00CC46C2"/>
    <w:rsid w:val="00CD5B9D"/>
    <w:rsid w:val="00CD6876"/>
    <w:rsid w:val="00CD7244"/>
    <w:rsid w:val="00CD7B2D"/>
    <w:rsid w:val="00CE4023"/>
    <w:rsid w:val="00CE7514"/>
    <w:rsid w:val="00CE77EF"/>
    <w:rsid w:val="00CF0828"/>
    <w:rsid w:val="00CF1EDF"/>
    <w:rsid w:val="00CF2CC6"/>
    <w:rsid w:val="00CF35F9"/>
    <w:rsid w:val="00D02BBC"/>
    <w:rsid w:val="00D0399A"/>
    <w:rsid w:val="00D07B0C"/>
    <w:rsid w:val="00D103D8"/>
    <w:rsid w:val="00D133DF"/>
    <w:rsid w:val="00D20FCE"/>
    <w:rsid w:val="00D32359"/>
    <w:rsid w:val="00D34416"/>
    <w:rsid w:val="00D433DB"/>
    <w:rsid w:val="00D44202"/>
    <w:rsid w:val="00D4502C"/>
    <w:rsid w:val="00D45884"/>
    <w:rsid w:val="00D45989"/>
    <w:rsid w:val="00D470D0"/>
    <w:rsid w:val="00D5025D"/>
    <w:rsid w:val="00D55265"/>
    <w:rsid w:val="00D57845"/>
    <w:rsid w:val="00D61E4A"/>
    <w:rsid w:val="00D711D1"/>
    <w:rsid w:val="00D71284"/>
    <w:rsid w:val="00D717F4"/>
    <w:rsid w:val="00D761BC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B724D"/>
    <w:rsid w:val="00DC0ECA"/>
    <w:rsid w:val="00DC5675"/>
    <w:rsid w:val="00DC6D58"/>
    <w:rsid w:val="00DC7E95"/>
    <w:rsid w:val="00DD0EE7"/>
    <w:rsid w:val="00DE216D"/>
    <w:rsid w:val="00DE3DC1"/>
    <w:rsid w:val="00DE402A"/>
    <w:rsid w:val="00DE4C79"/>
    <w:rsid w:val="00DF00CF"/>
    <w:rsid w:val="00DF41C3"/>
    <w:rsid w:val="00DF6A07"/>
    <w:rsid w:val="00DF7C46"/>
    <w:rsid w:val="00E041B0"/>
    <w:rsid w:val="00E11860"/>
    <w:rsid w:val="00E155EB"/>
    <w:rsid w:val="00E21B2F"/>
    <w:rsid w:val="00E260B3"/>
    <w:rsid w:val="00E301A5"/>
    <w:rsid w:val="00E36204"/>
    <w:rsid w:val="00E36D72"/>
    <w:rsid w:val="00E37346"/>
    <w:rsid w:val="00E402D8"/>
    <w:rsid w:val="00E4083C"/>
    <w:rsid w:val="00E43ABE"/>
    <w:rsid w:val="00E45ABD"/>
    <w:rsid w:val="00E51A34"/>
    <w:rsid w:val="00E53325"/>
    <w:rsid w:val="00E57EF4"/>
    <w:rsid w:val="00E6235D"/>
    <w:rsid w:val="00E62620"/>
    <w:rsid w:val="00E666C6"/>
    <w:rsid w:val="00E7137F"/>
    <w:rsid w:val="00E73EE7"/>
    <w:rsid w:val="00E76ECD"/>
    <w:rsid w:val="00E8028A"/>
    <w:rsid w:val="00E86894"/>
    <w:rsid w:val="00E87214"/>
    <w:rsid w:val="00E92AD7"/>
    <w:rsid w:val="00E92D1F"/>
    <w:rsid w:val="00EA1B17"/>
    <w:rsid w:val="00EA2867"/>
    <w:rsid w:val="00EA412D"/>
    <w:rsid w:val="00EA4B06"/>
    <w:rsid w:val="00EB1D8A"/>
    <w:rsid w:val="00EB4C8B"/>
    <w:rsid w:val="00EC142D"/>
    <w:rsid w:val="00EC6196"/>
    <w:rsid w:val="00EC6B64"/>
    <w:rsid w:val="00ED4FCB"/>
    <w:rsid w:val="00EE0B77"/>
    <w:rsid w:val="00EF120C"/>
    <w:rsid w:val="00EF348B"/>
    <w:rsid w:val="00F04010"/>
    <w:rsid w:val="00F10D9E"/>
    <w:rsid w:val="00F13A3B"/>
    <w:rsid w:val="00F16513"/>
    <w:rsid w:val="00F1704A"/>
    <w:rsid w:val="00F20B6C"/>
    <w:rsid w:val="00F22741"/>
    <w:rsid w:val="00F252C6"/>
    <w:rsid w:val="00F37124"/>
    <w:rsid w:val="00F373A5"/>
    <w:rsid w:val="00F4102E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82255"/>
    <w:rsid w:val="00F8715B"/>
    <w:rsid w:val="00F90E6B"/>
    <w:rsid w:val="00F93244"/>
    <w:rsid w:val="00F965E1"/>
    <w:rsid w:val="00FA0192"/>
    <w:rsid w:val="00FA7157"/>
    <w:rsid w:val="00FB45E3"/>
    <w:rsid w:val="00FB546B"/>
    <w:rsid w:val="00FB7329"/>
    <w:rsid w:val="00FC2A3E"/>
    <w:rsid w:val="00FC5BDC"/>
    <w:rsid w:val="00FC5CD2"/>
    <w:rsid w:val="00FD3125"/>
    <w:rsid w:val="00FD46BB"/>
    <w:rsid w:val="00FD4884"/>
    <w:rsid w:val="00FE0280"/>
    <w:rsid w:val="00FE3971"/>
    <w:rsid w:val="00FE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BBC0110-F64D-412A-A828-10298F5D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ий текст з від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у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ітки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ітки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paragraph" w:styleId="af6">
    <w:name w:val="footnote text"/>
    <w:basedOn w:val="a"/>
    <w:link w:val="af7"/>
    <w:rsid w:val="001221A2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виноски Знак"/>
    <w:basedOn w:val="a0"/>
    <w:link w:val="af6"/>
    <w:rsid w:val="001221A2"/>
  </w:style>
  <w:style w:type="character" w:styleId="af8">
    <w:name w:val="footnote reference"/>
    <w:rsid w:val="001221A2"/>
    <w:rPr>
      <w:vertAlign w:val="superscript"/>
    </w:rPr>
  </w:style>
  <w:style w:type="character" w:styleId="af9">
    <w:name w:val="Hyperlink"/>
    <w:basedOn w:val="a0"/>
    <w:uiPriority w:val="99"/>
    <w:unhideWhenUsed/>
    <w:rsid w:val="007055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DB14-985F-4BA0-908B-45CCE891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8155</Words>
  <Characters>4649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Журавель Олена Миколаївна</cp:lastModifiedBy>
  <cp:revision>2</cp:revision>
  <cp:lastPrinted>2021-12-17T09:54:00Z</cp:lastPrinted>
  <dcterms:created xsi:type="dcterms:W3CDTF">2021-12-29T14:40:00Z</dcterms:created>
  <dcterms:modified xsi:type="dcterms:W3CDTF">2021-12-29T14:40:00Z</dcterms:modified>
</cp:coreProperties>
</file>