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32"/>
          <w:szCs w:val="32"/>
          <w:lang w:val="en-GB" w:eastAsia="uk-UA"/>
        </w:rPr>
      </w:pPr>
      <w:bookmarkStart w:id="1" w:name="_Hlk77845450"/>
      <w:bookmarkEnd w:id="1"/>
      <w:r w:rsidRPr="00BC069E"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80D79B9" wp14:editId="18038A7C">
            <wp:extent cx="600075" cy="6572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16"/>
          <w:szCs w:val="16"/>
          <w:lang w:val="en-GB" w:eastAsia="uk-UA"/>
        </w:rPr>
      </w:pP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  <w:r w:rsidRPr="00BC069E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АНТИМОНОПОЛЬНИЙ КОМІТЕТ</w:t>
      </w:r>
      <w:r w:rsidRPr="00BC069E">
        <w:rPr>
          <w:rFonts w:ascii="Times New Roman" w:eastAsia="Calibri" w:hAnsi="Times New Roman" w:cs="Times New Roman"/>
          <w:b/>
          <w:sz w:val="32"/>
          <w:szCs w:val="32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УКРАЇНИ</w:t>
      </w:r>
    </w:p>
    <w:p w:rsidR="00BC069E" w:rsidRPr="00BC069E" w:rsidRDefault="00BC069E" w:rsidP="00BC069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BC069E" w:rsidRPr="00BC069E" w:rsidRDefault="00BC069E" w:rsidP="00BC069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  <w:r w:rsidRPr="00BC069E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РІШЕННЯ</w:t>
      </w:r>
    </w:p>
    <w:p w:rsidR="00BC069E" w:rsidRPr="00BC069E" w:rsidRDefault="00BC069E" w:rsidP="00BC069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BC069E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</w:p>
    <w:p w:rsidR="00BC069E" w:rsidRPr="00BC069E" w:rsidRDefault="00BC069E" w:rsidP="00BC069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BC069E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02 грудня 2021 </w:t>
      </w:r>
      <w:r w:rsidRPr="00BC069E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р.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               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Київ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                           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936B96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№ 650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р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C069E" w:rsidRPr="00BC069E" w:rsidRDefault="00BC069E" w:rsidP="00BC069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порушення законодавства</w:t>
      </w:r>
    </w:p>
    <w:p w:rsidR="00BC069E" w:rsidRPr="00BC069E" w:rsidRDefault="00BC069E" w:rsidP="00BC069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захист від недобросовісної</w:t>
      </w:r>
    </w:p>
    <w:p w:rsidR="00BC069E" w:rsidRPr="00BC069E" w:rsidRDefault="00BC069E" w:rsidP="00BC069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конкуренції та накладення штрафу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C069E">
        <w:rPr>
          <w:rFonts w:ascii="Times New Roman" w:hAnsi="Times New Roman" w:cs="Times New Roman"/>
          <w:sz w:val="24"/>
          <w:szCs w:val="24"/>
        </w:rPr>
        <w:t xml:space="preserve">За результатами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Антимонопольним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C069E">
        <w:rPr>
          <w:rFonts w:ascii="Times New Roman" w:eastAsia="Calibri" w:hAnsi="Times New Roman" w:cs="Times New Roman"/>
          <w:sz w:val="24"/>
          <w:szCs w:val="24"/>
        </w:rPr>
        <w:t>№ 127-26.4/</w:t>
      </w:r>
      <w:r w:rsidRPr="00BC06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15-21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товариства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обмеженою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відповідальністю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79742983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Пейпер-Прод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Pr="00BC069E">
        <w:rPr>
          <w:rFonts w:ascii="Times New Roman" w:eastAsia="Calibri" w:hAnsi="Times New Roman" w:cs="Times New Roman"/>
          <w:color w:val="C00000"/>
          <w:sz w:val="24"/>
          <w:szCs w:val="24"/>
          <w:lang w:val="uk-UA" w:eastAsia="uk-UA"/>
        </w:rPr>
        <w:t xml:space="preserve"> </w:t>
      </w:r>
      <w:bookmarkEnd w:id="2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визнано порушенням, передбаченим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статтею 4 Закону України «Про захист від недобросовісної конкуренції»,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у </w:t>
      </w:r>
      <w:r w:rsidRPr="00BC069E">
        <w:rPr>
          <w:rFonts w:ascii="Times New Roman" w:eastAsia="Calibri" w:hAnsi="Times New Roman" w:cs="Times New Roman"/>
          <w:spacing w:val="-3"/>
          <w:sz w:val="24"/>
          <w:szCs w:val="24"/>
          <w:lang w:val="uk-UA" w:eastAsia="uk-UA"/>
        </w:rPr>
        <w:t xml:space="preserve">вигляді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використання під час виробництва та реалізації продукції папір туалетний  оформлення упаковки, схожого на оформлення упаковки продукції папір туалетний виробництва приватного акціонерного товариства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картонно-паперовий комбінат»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, що може призвести до змішування з його діяльністю.</w:t>
      </w:r>
    </w:p>
    <w:p w:rsidR="00BC069E" w:rsidRPr="00BC069E" w:rsidRDefault="00BC069E" w:rsidP="00BC069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069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BC069E" w:rsidRPr="00BC069E" w:rsidRDefault="00BC069E" w:rsidP="00BC069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069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На порушника накладено штраф у розмірі </w:t>
      </w:r>
      <w:r w:rsidRPr="00BC069E">
        <w:rPr>
          <w:rFonts w:ascii="Times New Roman" w:hAnsi="Times New Roman" w:cs="Times New Roman"/>
          <w:sz w:val="24"/>
          <w:szCs w:val="24"/>
        </w:rPr>
        <w:t>2</w:t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C069E">
        <w:rPr>
          <w:rFonts w:ascii="Times New Roman" w:hAnsi="Times New Roman" w:cs="Times New Roman"/>
          <w:sz w:val="24"/>
          <w:szCs w:val="24"/>
        </w:rPr>
        <w:t>085</w:t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069E">
        <w:rPr>
          <w:rFonts w:ascii="Times New Roman" w:hAnsi="Times New Roman" w:cs="Times New Roman"/>
          <w:sz w:val="24"/>
          <w:szCs w:val="24"/>
        </w:rPr>
        <w:t>733 (два м</w:t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льйони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val="uk-UA"/>
        </w:rPr>
        <w:t xml:space="preserve"> вісімдесят п’ять тисяч сімсот тридцять три) грн.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C069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C069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Антимонопольний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№ 127-26.4/</w:t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>15-21</w:t>
      </w:r>
      <w:r w:rsidRPr="00BC069E">
        <w:rPr>
          <w:rFonts w:ascii="Times New Roman" w:hAnsi="Times New Roman" w:cs="Times New Roman"/>
          <w:sz w:val="24"/>
          <w:szCs w:val="24"/>
        </w:rPr>
        <w:t xml:space="preserve"> про </w:t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 xml:space="preserve">порушення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товариством з обмеженою відповідальністю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Пейпер-Прод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</w:t>
      </w:r>
      <w:r w:rsidRPr="00BC069E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>(ідентифікаційний код юридичної особи 41501062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)</w:t>
      </w:r>
      <w:r w:rsidRPr="00BC06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законодавства про захист від недобросовісної конкуренції та подання Управління розслідувань недобросовісної конкуренції з попередніми висновками у справі від 08.07.2021 № 127-26.4/15-21/326-спр, 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C069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C069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 w:rsidRPr="00BC069E">
        <w:rPr>
          <w:rFonts w:ascii="Times New Roman" w:hAnsi="Times New Roman" w:cs="Times New Roman"/>
          <w:b/>
          <w:sz w:val="24"/>
          <w:szCs w:val="24"/>
          <w:lang w:val="uk-UA"/>
        </w:rPr>
        <w:t>ВСТАНОВИВ:</w:t>
      </w:r>
      <w:bookmarkStart w:id="3" w:name="_Hlk72757609"/>
    </w:p>
    <w:bookmarkEnd w:id="3"/>
    <w:p w:rsidR="00BC069E" w:rsidRPr="00BC069E" w:rsidRDefault="00BC069E" w:rsidP="00BC069E">
      <w:pPr>
        <w:widowControl w:val="0"/>
        <w:numPr>
          <w:ilvl w:val="0"/>
          <w:numId w:val="19"/>
        </w:numPr>
        <w:autoSpaceDE w:val="0"/>
        <w:autoSpaceDN w:val="0"/>
        <w:spacing w:after="200" w:line="276" w:lineRule="auto"/>
        <w:ind w:right="134" w:hanging="720"/>
        <w:jc w:val="both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</w:pP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  <w:t>ПРЕДМЕТ СПРАВИ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>Антимонопольн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ому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>комітет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</w:t>
      </w:r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>України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>далі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>Комітет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>розглядається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справа </w:t>
      </w:r>
      <w:r w:rsidRPr="00BC069E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№ </w:t>
      </w:r>
      <w:r w:rsidRPr="00BC069E">
        <w:rPr>
          <w:rFonts w:ascii="Times New Roman" w:eastAsia="Calibri" w:hAnsi="Times New Roman" w:cs="Times New Roman"/>
          <w:sz w:val="24"/>
          <w:szCs w:val="24"/>
        </w:rPr>
        <w:t xml:space="preserve">127-26.4/15-21 про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</w:rPr>
        <w:t>вчинення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товариством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обмеженою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</w:rPr>
        <w:t>відповідальністю</w:t>
      </w:r>
      <w:proofErr w:type="spellEnd"/>
      <w:r w:rsidRPr="00BC069E">
        <w:rPr>
          <w:rFonts w:ascii="Times New Roman" w:hAnsi="Times New Roman" w:cs="Times New Roman"/>
          <w:sz w:val="24"/>
          <w:szCs w:val="24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Виробнича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Компанія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«Альбатрос»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(з 01.11.2021 найменування юридичної особи змінено на товариство з обмеженою відповідальністю 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Пейпер-Прод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») (далі – ТОВ «ВК «Альбатрос», ТОВ 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Пейпер-Прод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», Відповідач, Товариство) (ідентифікаційний</w:t>
      </w:r>
      <w:r w:rsidRPr="00BC069E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 xml:space="preserve"> код юридичної особи 41501062)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порушення, передбаченого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статтею 4 Закону України «Про захист від недобросовісної конкуренції» (далі – Закон), у вигляді неправомірного використання у господарській діяльності оформлення продукції папір туалетний виробництва ТОВ «ВК «Альбатрос» 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під позначенням «65 чесних метрів» та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упаковки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 продукції папір туалетний під позначенням «60 чесних метрів», схожого на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оформлення упаковки продукції 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папір туалетний під позначенням «Обухів 65»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виробництва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приватного акціонерного товариства «Київський картонно-п</w:t>
      </w:r>
      <w:r w:rsidR="00D525C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аперовий комбінат» (далі – ПрАТ 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«Київський КПК», Заявник)</w:t>
      </w:r>
      <w:r w:rsidR="00B470B8" w:rsidRPr="00B470B8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(ідентифікаційний код юридичної особи 05509659),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що може призвести до змішування з його діяльністю.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120" w:line="240" w:lineRule="auto"/>
        <w:ind w:right="134" w:hanging="720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lastRenderedPageBreak/>
        <w:t>СТОРОНИ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Заявник – ПрАТ «Київський КПК» (Київська обл., м. Обухів, вул. Київська, 130)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суб’єкт господарювання, зареєстрований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3"/>
          <w:sz w:val="24"/>
          <w:szCs w:val="24"/>
          <w:lang w:val="uk-UA" w:eastAsia="uk-UA"/>
        </w:rPr>
        <w:t xml:space="preserve">Обухівською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районною державною адміністрацією Київської області 30.06.1994.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Основним видом діяльності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»,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hAnsi="Times New Roman"/>
          <w:sz w:val="24"/>
          <w:szCs w:val="24"/>
          <w:lang w:val="uk-UA" w:eastAsia="uk-UA"/>
        </w:rPr>
        <w:t xml:space="preserve">згідно з класифікацією видів економічної діяльності (далі </w:t>
      </w:r>
      <w:r w:rsidRPr="00BC069E">
        <w:rPr>
          <w:rFonts w:ascii="Times New Roman" w:hAnsi="Times New Roman"/>
          <w:sz w:val="24"/>
          <w:szCs w:val="24"/>
          <w:lang w:val="uk-UA" w:eastAsia="ru-RU"/>
        </w:rPr>
        <w:t xml:space="preserve">– </w:t>
      </w:r>
      <w:r w:rsidRPr="00BC069E">
        <w:rPr>
          <w:rFonts w:ascii="Times New Roman" w:hAnsi="Times New Roman"/>
          <w:sz w:val="24"/>
          <w:szCs w:val="24"/>
          <w:lang w:val="uk-UA" w:eastAsia="uk-UA"/>
        </w:rPr>
        <w:t xml:space="preserve">КВЕД), </w:t>
      </w:r>
      <w:r w:rsidRPr="00BC069E">
        <w:rPr>
          <w:rFonts w:ascii="Times New Roman" w:eastAsia="Calibri" w:hAnsi="Times New Roman" w:cs="Times New Roman"/>
          <w:b/>
          <w:i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є виробництво паперу та картону (код КВЕД 17.12), а також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виробництво гофрованого паперу та картону, паперової та картонної тари (код КВЕД 17.21); виробництво паперових виробів господарсько-побутового та санітарно-гігієнічного призначення (код КВЕД 17.22).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</w:t>
      </w:r>
      <w:bookmarkStart w:id="4" w:name="_Hlk87965015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Відповідач –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ТОВ 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Пейпер-Прод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 (найменування юридичної особи до 01.11.2021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−                  ТОВ «ВК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«Альбатрос») (ідентифікаційний код юридичної особи</w:t>
      </w:r>
      <w:r w:rsidRPr="00BC069E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 xml:space="preserve"> 41501062)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(юридична адреса: Дніпропетровська обл., м. Дніпро, пр-т</w:t>
      </w:r>
      <w:r w:rsidR="0084280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Б. Хмельницького, буд. 106 А,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 01.11.2021 змінено юридичну адресу на м. Київ, вул. Ризька, б. 73 Г, оф. 7/1),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суб’єкт господарювання, зареєстрований 04.08.2017, відповідно до відомостей з Єдиного державного реєстру юридичних осіб, фізичних осіб-підприємців та громадських формувань (далі – ЄДР).</w:t>
      </w:r>
    </w:p>
    <w:bookmarkEnd w:id="4"/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Згідно з даними ЄДР о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сновним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видом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діяльності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Товариства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є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виробництво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паперових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виробів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господарсько-побутового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санітарно-гігієнічного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призначення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(код КВЕД 17.22).</w:t>
      </w:r>
    </w:p>
    <w:p w:rsidR="00BC069E" w:rsidRPr="00BC069E" w:rsidRDefault="00BC069E" w:rsidP="00BC069E">
      <w:pPr>
        <w:numPr>
          <w:ilvl w:val="0"/>
          <w:numId w:val="4"/>
        </w:numPr>
        <w:tabs>
          <w:tab w:val="left" w:pos="1260"/>
        </w:tabs>
        <w:overflowPunct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Заявник та Відповідач здійснюють господарську діяльність на одному й тому ж ринку, зокрема, виробництва туалетного паперу, та конкурують між собою.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/>
        </w:rPr>
        <w:t xml:space="preserve"> Отже, Заявник та Відповідач є суб’єктами господарювання </w:t>
      </w:r>
      <w:r w:rsidRPr="00BC069E">
        <w:rPr>
          <w:rFonts w:ascii="Times New Roman" w:eastAsia="Times New Roman" w:hAnsi="Times New Roman" w:cs="Times New Roman"/>
          <w:sz w:val="24"/>
          <w:szCs w:val="24"/>
          <w:shd w:val="clear" w:color="auto" w:fill="FBFBFB"/>
          <w:lang w:val="uk-UA" w:eastAsia="ru-RU"/>
        </w:rPr>
        <w:t>в розумінні статті 1 Закону України «Про захист економічної конкуренції»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/>
        </w:rPr>
        <w:t xml:space="preserve">. 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  <w:t>3.  ПРОЦЕСУАЛЬНІ ДІЇ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До Комітету надійшла заява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від 22.10.2020 № 14-12517 (зареєстрована в Комітеті 27.10.2021 за № 8-01/398-АМ) (далі – Заява) щодо </w:t>
      </w:r>
      <w:bookmarkStart w:id="5" w:name="_Hlk72151795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вчинення ТОВ «ВК «Альбатрос» порушення, передбаченого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статтею 4 Закону,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у </w:t>
      </w:r>
      <w:r w:rsidRPr="00BC069E">
        <w:rPr>
          <w:rFonts w:ascii="Times New Roman" w:eastAsia="Calibri" w:hAnsi="Times New Roman" w:cs="Times New Roman"/>
          <w:spacing w:val="-3"/>
          <w:sz w:val="24"/>
          <w:szCs w:val="24"/>
          <w:lang w:val="uk-UA" w:eastAsia="uk-UA"/>
        </w:rPr>
        <w:t xml:space="preserve">вигляді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використання під час виробництва та реалізації продукції папір туалетний із позначенням «65 чесних метрів» (далі – Продукція 1) оформлення упаковки, схожого на оформлення упаковки продукції папір туалетний виробництва 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ПрАТ «Київський КПК» (далі – Продукція)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, що може призвести до змішування з діяльністю Заявника.</w:t>
      </w:r>
    </w:p>
    <w:bookmarkEnd w:id="5"/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Розпорядженням державного уповноваженого від 10.02.2021 № 06/34-р розпочато розгляд справи </w:t>
      </w:r>
      <w:r w:rsidRPr="00BC06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127-26.4/15-21 (далі – Справа)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 ознаками вчинення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ТОВ «ВК «Альбатрос» порушення, передбаченого статтею 4 Закону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Товариству Комітетом було направлено вимогу про надання інформації від 09.12.2020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br/>
        <w:t xml:space="preserve">№ 127-26/06-16912 (далі – Вимога 1) та вимогу про надання інформації від 02.04.2021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br/>
        <w:t>№ 127-26/06-5114 (далі – Вимога 2).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З метою з’ясування питання щодо можливості змішування господарської діяльності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» і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ТОВ «ВК «Альбатрос» внаслідок дій Відповідача, органами Комітету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на підставі доручення Голови Комітету від 12.04.2021 № 13-01/338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проведено опитування (далі – Опитування Комітету) щодо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сприйняття споживачами схожості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оформлення упаковки продукції.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bookmarkStart w:id="6" w:name="_Hlk87965456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Копію подання про попередні висновки від 08.07.2021 № 127-26.4/15-21/326-спр (далі – Подання) у Справі були надіслані Відповідачеві листом від 08.07.2021 № 127-26/06-10305 та Заявникові листом від 08.07.2021 № 127-26/06-10306.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У відповідь на Подання Заявник листом від 21.07.2021 № 17-9200 (зареєстрованим у Комітеті 27.07.2021 за № 8-01/10591) повідомив Комітет про відсутність зауважень та заперечень щодо Подання, а також про повну підтримку його змісту.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lastRenderedPageBreak/>
        <w:t xml:space="preserve"> За наявною в Комітеті інформацією, ТОВ «ВК «Альбатрос» лист від 08.07.2021                                             № 127-26/06-10305 отримало 14.07.2021. При цьому зауважень та заперечень щодо Подання від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</w:r>
      <w:r w:rsidRPr="00BC069E">
        <w:rPr>
          <w:rFonts w:ascii="Times New Roman" w:eastAsia="Calibri" w:hAnsi="Times New Roman" w:cs="Times New Roman"/>
          <w:color w:val="000000" w:themeColor="text1"/>
          <w:spacing w:val="-7"/>
          <w:sz w:val="24"/>
          <w:szCs w:val="24"/>
          <w:lang w:val="uk-UA" w:eastAsia="uk-UA"/>
        </w:rPr>
        <w:t xml:space="preserve">Товариства до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Комітету не надходило. </w:t>
      </w:r>
      <w:bookmarkEnd w:id="6"/>
    </w:p>
    <w:p w:rsidR="00BC069E" w:rsidRPr="00BC069E" w:rsidRDefault="00BC069E" w:rsidP="00BC069E">
      <w:pPr>
        <w:tabs>
          <w:tab w:val="left" w:pos="540"/>
        </w:tabs>
        <w:spacing w:after="120" w:line="276" w:lineRule="auto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</w:pP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</w:rPr>
        <w:t xml:space="preserve">4. ОБСТАВИНИ СПРАВИ,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  <w:t xml:space="preserve">ПОВІДОМЛЕНІ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</w:rPr>
        <w:t>ЗАЯВНИК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  <w:t>ОМ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За наданою Заявником інформацією,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»</w:t>
      </w:r>
      <w:r w:rsidRPr="00BC069E">
        <w:rPr>
          <w:rFonts w:ascii="Times New Roman" w:eastAsia="Calibri" w:hAnsi="Times New Roman" w:cs="Times New Roman"/>
          <w:spacing w:val="52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є найбільшим в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Україні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підприємством целюлозно-паперової промисловості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та</w:t>
      </w:r>
      <w:r w:rsidRPr="00BC069E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спеціалізується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випуску</w:t>
      </w:r>
      <w:r w:rsidRPr="00BC069E">
        <w:rPr>
          <w:rFonts w:ascii="Times New Roman" w:eastAsia="Calibri" w:hAnsi="Times New Roman" w:cs="Times New Roman"/>
          <w:spacing w:val="-10"/>
          <w:sz w:val="24"/>
          <w:szCs w:val="24"/>
          <w:lang w:val="uk-UA" w:eastAsia="uk-UA"/>
        </w:rPr>
        <w:t xml:space="preserve"> продукції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санітарно-гігієнічного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призначення, зокрема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паперу</w:t>
      </w:r>
      <w:r w:rsidRPr="00BC069E">
        <w:rPr>
          <w:rFonts w:ascii="Times New Roman" w:eastAsia="Calibri" w:hAnsi="Times New Roman" w:cs="Times New Roman"/>
          <w:spacing w:val="-10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туалетного,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 1987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року.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» у Заяві зазначило, що,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починаючи з 2001 року, виробляє та реалізує продукцію під назвою «Обухів 65</w:t>
      </w:r>
      <w:r w:rsidRPr="00BC069E">
        <w:rPr>
          <w:rFonts w:ascii="Times New Roman" w:eastAsia="Calibri" w:hAnsi="Times New Roman" w:cs="Times New Roman"/>
          <w:sz w:val="24"/>
          <w:szCs w:val="24"/>
          <w:vertAlign w:val="superscript"/>
          <w:lang w:val="uk-UA" w:eastAsia="uk-UA"/>
        </w:rPr>
        <w:t>М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(далі – Продукція) із використанням оформлення (див. фотокопію 1), що становить комбінацію позначень, яким надано правову охорону в Україні відповідно до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свідоцтв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на знаки для товарів і послуг, власником яких є ПрАТ «Київський КПК»:</w:t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left="357" w:right="134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C069E">
        <w:rPr>
          <w:rFonts w:ascii="Times New Roman" w:eastAsia="Times New Roman" w:hAnsi="Times New Roman" w:cs="Times New Roman"/>
          <w:sz w:val="24"/>
          <w:lang w:val="uk-UA"/>
        </w:rPr>
        <w:t>Свідоцтво на знак для товарів і послуг № 87838 від 25.02.2008 на словесне позначення «ОБУХІВ»;</w:t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left="357" w:right="134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C069E">
        <w:rPr>
          <w:rFonts w:ascii="Times New Roman" w:eastAsia="Times New Roman" w:hAnsi="Times New Roman" w:cs="Times New Roman"/>
          <w:sz w:val="24"/>
          <w:lang w:val="uk-UA"/>
        </w:rPr>
        <w:t xml:space="preserve">Свідоцтво на знак для товарів і послуг № 87839 від 25.02.2008 на словесне позначення </w:t>
      </w:r>
      <w:r w:rsidRPr="00BC069E">
        <w:rPr>
          <w:rFonts w:ascii="Times New Roman" w:eastAsia="Times New Roman" w:hAnsi="Times New Roman" w:cs="Times New Roman"/>
          <w:spacing w:val="-3"/>
          <w:sz w:val="24"/>
          <w:lang w:val="uk-UA"/>
        </w:rPr>
        <w:t>«ОБУХОВ»;</w:t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left="357" w:right="12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C069E">
        <w:rPr>
          <w:rFonts w:ascii="Times New Roman" w:eastAsia="Times New Roman" w:hAnsi="Times New Roman" w:cs="Times New Roman"/>
          <w:sz w:val="24"/>
          <w:lang w:val="uk-UA"/>
        </w:rPr>
        <w:t>Свідоцтво на знак для товарів і послуг № 91253 від 12.05.2008 на словесне позначення «ОБУХІВ 65</w:t>
      </w:r>
      <w:r w:rsidRPr="00BC069E">
        <w:rPr>
          <w:rFonts w:ascii="Times New Roman" w:eastAsia="Times New Roman" w:hAnsi="Times New Roman" w:cs="Times New Roman"/>
          <w:sz w:val="24"/>
          <w:vertAlign w:val="superscript"/>
          <w:lang w:val="uk-UA"/>
        </w:rPr>
        <w:t>М</w:t>
      </w:r>
      <w:r w:rsidRPr="00BC069E">
        <w:rPr>
          <w:rFonts w:ascii="Times New Roman" w:eastAsia="Times New Roman" w:hAnsi="Times New Roman" w:cs="Times New Roman"/>
          <w:sz w:val="24"/>
          <w:lang w:val="uk-UA"/>
        </w:rPr>
        <w:t>»;</w:t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left="357" w:right="134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C069E">
        <w:rPr>
          <w:rFonts w:ascii="Times New Roman" w:eastAsia="Times New Roman" w:hAnsi="Times New Roman" w:cs="Times New Roman"/>
          <w:sz w:val="24"/>
          <w:lang w:val="uk-UA"/>
        </w:rPr>
        <w:t>Свідоцтво на знак для товарів і послуг № 91254 від 12.05.2008 на словесне позначення «ОБУХІВ 65</w:t>
      </w:r>
      <w:r w:rsidRPr="00BC069E">
        <w:rPr>
          <w:rFonts w:ascii="Times New Roman" w:eastAsia="Times New Roman" w:hAnsi="Times New Roman" w:cs="Times New Roman"/>
          <w:sz w:val="24"/>
          <w:vertAlign w:val="superscript"/>
          <w:lang w:val="uk-UA"/>
        </w:rPr>
        <w:t>М</w:t>
      </w:r>
      <w:r w:rsidRPr="00BC069E">
        <w:rPr>
          <w:rFonts w:ascii="Times New Roman" w:eastAsia="Times New Roman" w:hAnsi="Times New Roman" w:cs="Times New Roman"/>
          <w:sz w:val="24"/>
          <w:lang w:val="uk-UA"/>
        </w:rPr>
        <w:t>»;</w:t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left="357" w:right="132"/>
        <w:jc w:val="both"/>
        <w:rPr>
          <w:rFonts w:ascii="Times New Roman" w:eastAsia="Times New Roman" w:hAnsi="Times New Roman" w:cs="Times New Roman"/>
          <w:sz w:val="24"/>
        </w:rPr>
      </w:pPr>
      <w:r w:rsidRPr="00BC069E">
        <w:rPr>
          <w:rFonts w:ascii="Times New Roman" w:eastAsia="Times New Roman" w:hAnsi="Times New Roman" w:cs="Times New Roman"/>
          <w:sz w:val="24"/>
          <w:lang w:val="uk-UA"/>
        </w:rPr>
        <w:t xml:space="preserve">Свідоцтво на знак для товарів і послуг № 131501 від 25.08.2010 на об’ємне (тривимірне) кольорове позначення – </w:t>
      </w:r>
      <w:r w:rsidRPr="00BC069E">
        <w:rPr>
          <w:rFonts w:ascii="Times New Roman" w:eastAsia="Times New Roman" w:hAnsi="Times New Roman" w:cs="Times New Roman"/>
          <w:spacing w:val="-4"/>
          <w:sz w:val="24"/>
          <w:lang w:val="uk-UA"/>
        </w:rPr>
        <w:t xml:space="preserve">рулон </w:t>
      </w:r>
      <w:r w:rsidRPr="00BC069E">
        <w:rPr>
          <w:rFonts w:ascii="Times New Roman" w:eastAsia="Times New Roman" w:hAnsi="Times New Roman" w:cs="Times New Roman"/>
          <w:sz w:val="24"/>
          <w:lang w:val="uk-UA"/>
        </w:rPr>
        <w:t xml:space="preserve">туалетного паперу з </w:t>
      </w:r>
      <w:r w:rsidRPr="00BC069E">
        <w:rPr>
          <w:rFonts w:ascii="Times New Roman" w:eastAsia="Times New Roman" w:hAnsi="Times New Roman" w:cs="Times New Roman"/>
          <w:spacing w:val="-3"/>
          <w:sz w:val="24"/>
          <w:lang w:val="uk-UA"/>
        </w:rPr>
        <w:t xml:space="preserve">етикеткою, </w:t>
      </w:r>
      <w:r w:rsidRPr="00BC069E">
        <w:rPr>
          <w:rFonts w:ascii="Times New Roman" w:eastAsia="Times New Roman" w:hAnsi="Times New Roman" w:cs="Times New Roman"/>
          <w:sz w:val="24"/>
          <w:lang w:val="uk-UA"/>
        </w:rPr>
        <w:t xml:space="preserve">що є варіантом етикетки, на яку отримано патент № 4920, у </w:t>
      </w:r>
      <w:r w:rsidRPr="00BC069E">
        <w:rPr>
          <w:rFonts w:ascii="Times New Roman" w:eastAsia="Times New Roman" w:hAnsi="Times New Roman" w:cs="Times New Roman"/>
          <w:spacing w:val="-3"/>
          <w:sz w:val="24"/>
          <w:lang w:val="uk-UA"/>
        </w:rPr>
        <w:t xml:space="preserve">червоному, </w:t>
      </w:r>
      <w:r w:rsidRPr="00BC069E">
        <w:rPr>
          <w:rFonts w:ascii="Times New Roman" w:eastAsia="Times New Roman" w:hAnsi="Times New Roman" w:cs="Times New Roman"/>
          <w:sz w:val="24"/>
          <w:lang w:val="uk-UA"/>
        </w:rPr>
        <w:t xml:space="preserve">синьому та білому </w:t>
      </w:r>
      <w:r w:rsidRPr="00BC069E">
        <w:rPr>
          <w:rFonts w:ascii="Times New Roman" w:eastAsia="Times New Roman" w:hAnsi="Times New Roman" w:cs="Times New Roman"/>
          <w:spacing w:val="-3"/>
          <w:sz w:val="24"/>
          <w:lang w:val="uk-UA"/>
        </w:rPr>
        <w:t xml:space="preserve">кольорах </w:t>
      </w:r>
      <w:r w:rsidRPr="00BC069E">
        <w:rPr>
          <w:rFonts w:ascii="Times New Roman" w:eastAsia="Times New Roman" w:hAnsi="Times New Roman" w:cs="Times New Roman"/>
          <w:sz w:val="24"/>
          <w:lang w:val="uk-UA"/>
        </w:rPr>
        <w:t xml:space="preserve">із позначенням </w:t>
      </w:r>
      <w:r w:rsidRPr="00BC069E">
        <w:rPr>
          <w:rFonts w:ascii="Times New Roman" w:eastAsia="Times New Roman" w:hAnsi="Times New Roman" w:cs="Times New Roman"/>
          <w:spacing w:val="-4"/>
          <w:sz w:val="24"/>
          <w:lang w:val="uk-UA"/>
        </w:rPr>
        <w:t>«</w:t>
      </w:r>
      <w:proofErr w:type="spellStart"/>
      <w:r w:rsidRPr="00BC069E">
        <w:rPr>
          <w:rFonts w:ascii="Times New Roman" w:eastAsia="Times New Roman" w:hAnsi="Times New Roman" w:cs="Times New Roman"/>
          <w:spacing w:val="-4"/>
          <w:sz w:val="24"/>
          <w:lang w:val="uk-UA"/>
        </w:rPr>
        <w:t>Обухов</w:t>
      </w:r>
      <w:proofErr w:type="spellEnd"/>
      <w:r w:rsidRPr="00BC069E">
        <w:rPr>
          <w:rFonts w:ascii="Times New Roman" w:eastAsia="Times New Roman" w:hAnsi="Times New Roman" w:cs="Times New Roman"/>
          <w:spacing w:val="-3"/>
          <w:sz w:val="24"/>
          <w:lang w:val="uk-UA"/>
        </w:rPr>
        <w:t xml:space="preserve"> </w:t>
      </w:r>
      <w:r w:rsidRPr="00BC069E">
        <w:rPr>
          <w:rFonts w:ascii="Times New Roman" w:eastAsia="Times New Roman" w:hAnsi="Times New Roman" w:cs="Times New Roman"/>
          <w:sz w:val="24"/>
          <w:lang w:val="uk-UA"/>
        </w:rPr>
        <w:t>65</w:t>
      </w:r>
      <w:r w:rsidRPr="00BC069E">
        <w:rPr>
          <w:rFonts w:ascii="Times New Roman" w:eastAsia="Times New Roman" w:hAnsi="Times New Roman" w:cs="Times New Roman"/>
          <w:sz w:val="24"/>
          <w:vertAlign w:val="superscript"/>
          <w:lang w:val="uk-UA"/>
        </w:rPr>
        <w:t>М</w:t>
      </w:r>
      <w:r w:rsidRPr="00BC069E">
        <w:rPr>
          <w:rFonts w:ascii="Times New Roman" w:eastAsia="Times New Roman" w:hAnsi="Times New Roman" w:cs="Times New Roman"/>
          <w:sz w:val="24"/>
          <w:lang w:val="uk-UA"/>
        </w:rPr>
        <w:t>»:</w:t>
      </w:r>
      <w:r w:rsidRPr="00BC069E">
        <w:rPr>
          <w:rFonts w:ascii="Times New Roman" w:eastAsia="Times New Roman" w:hAnsi="Times New Roman" w:cs="Times New Roman"/>
          <w:sz w:val="24"/>
        </w:rPr>
        <w:t xml:space="preserve">       </w:t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sz w:val="24"/>
        </w:rPr>
      </w:pP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BC069E">
        <w:rPr>
          <w:rFonts w:ascii="Times New Roman" w:eastAsia="Times New Roman" w:hAnsi="Times New Roman" w:cs="Times New Roman"/>
          <w:sz w:val="24"/>
        </w:rPr>
        <w:t xml:space="preserve">   </w:t>
      </w:r>
      <w:r w:rsidRPr="00BC069E">
        <w:rPr>
          <w:rFonts w:ascii="Times New Roman" w:eastAsia="Times New Roman" w:hAnsi="Times New Roman" w:cs="Times New Roman"/>
          <w:noProof/>
          <w:lang w:eastAsia="ru-RU"/>
        </w:rPr>
        <w:t xml:space="preserve">  </w:t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right="132"/>
        <w:jc w:val="center"/>
        <w:rPr>
          <w:rFonts w:ascii="Times New Roman" w:eastAsia="Times New Roman" w:hAnsi="Times New Roman" w:cs="Times New Roman"/>
          <w:sz w:val="24"/>
        </w:rPr>
      </w:pPr>
      <w:r w:rsidRPr="00BC069E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AE471CA" wp14:editId="08EE3BD0">
            <wp:extent cx="1762125" cy="1809750"/>
            <wp:effectExtent l="0" t="0" r="9525" b="0"/>
            <wp:docPr id="12" name="Рисунок 12" descr="Описание: Туалетний папір &quot;Обухів&quot;: продажа, цена в Луцке. туалетная бумага от &quot;Все  для дому&quot; - 69615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Туалетний папір &quot;Обухів&quot;: продажа, цена в Луцке. туалетная бумага от &quot;Все  для дому&quot; - 6961549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b/>
          <w:sz w:val="24"/>
        </w:rPr>
      </w:pPr>
      <w:r w:rsidRPr="00BC069E">
        <w:rPr>
          <w:rFonts w:ascii="Times New Roman" w:eastAsia="Times New Roman" w:hAnsi="Times New Roman" w:cs="Times New Roman"/>
          <w:b/>
          <w:sz w:val="24"/>
          <w:lang w:val="uk-UA"/>
        </w:rPr>
        <w:t xml:space="preserve">                                                                       Ф</w:t>
      </w:r>
      <w:proofErr w:type="spellStart"/>
      <w:r w:rsidRPr="00BC069E">
        <w:rPr>
          <w:rFonts w:ascii="Times New Roman" w:eastAsia="Times New Roman" w:hAnsi="Times New Roman" w:cs="Times New Roman"/>
          <w:b/>
          <w:sz w:val="24"/>
        </w:rPr>
        <w:t>отокопія</w:t>
      </w:r>
      <w:proofErr w:type="spellEnd"/>
      <w:r w:rsidRPr="00BC069E">
        <w:rPr>
          <w:rFonts w:ascii="Times New Roman" w:eastAsia="Times New Roman" w:hAnsi="Times New Roman" w:cs="Times New Roman"/>
          <w:b/>
          <w:sz w:val="24"/>
        </w:rPr>
        <w:t xml:space="preserve"> 1</w:t>
      </w:r>
    </w:p>
    <w:p w:rsidR="00BC069E" w:rsidRPr="00BC069E" w:rsidRDefault="00BC069E" w:rsidP="00BC069E">
      <w:pPr>
        <w:widowControl w:val="0"/>
        <w:tabs>
          <w:tab w:val="left" w:pos="1026"/>
        </w:tabs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Листом від 20.11.2020 № 17-13465, зареєстрованим у Комітеті 24.11.2020 за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  <w:t>№ 8-01/15333 (далі – Лист 1), та додатком до Листа 1 від 04.12.2020 № 17-13704, зареєстрованим у Комітеті 11.12.2020 за № 8-06/16527 (далі – Додаток до Листа 1), Заявник повідомив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, що фактично випуск Продукції з оформленням етикетки, зовнішній вигляд якої відповідає зображенню етикетки, доданої до Заяви (див. фотокопію 1), було розпочато наприкінці 1980-х – початку 1990-х років.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У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подальшому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вигляд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етикетки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було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захищено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патентом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України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№ 4920,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заявку на отримання якого подано 29.12.2012.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lastRenderedPageBreak/>
        <w:t xml:space="preserve"> Однак підтвердні документи, які можуть свідчити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про факт першого використання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br/>
        <w:t>Продукції в оформленні, зразок якої долучено до Заяви, не збереглись у зв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’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язку з давністю її використання.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Разом із тим як документи, що можуть свідчити доказом виробництва та реалізації Продукції у відповідному оформленні,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»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надало копію договору № 1052/41/1208 від 23.12.2008 на поставку Продукції, укладеного між Заявником і товариством з обмеженою відповідальністю «АТБ-Маркет», а також копію договору 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br/>
      </w:r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№ П1656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від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11.10.2008,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укладеного</w:t>
      </w:r>
      <w:proofErr w:type="spellEnd"/>
      <w:r w:rsidRPr="00BC069E">
        <w:rPr>
          <w:rFonts w:ascii="Times New Roman" w:eastAsia="Calibri" w:hAnsi="Times New Roman" w:cs="BALTICA"/>
          <w:sz w:val="18"/>
          <w:szCs w:val="18"/>
          <w:lang w:eastAsia="uk-UA"/>
        </w:rPr>
        <w:t xml:space="preserve">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між Заявником і товариством з обмеженою відповідальністю «Ріал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>Істейт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Ф.К.А.У.» (разом із Додатком до Листа 1).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bookmarkStart w:id="7" w:name="_Hlk72758868"/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Заявник надав сертифікат відповідності Продукції, зареєстрований у системі УкрСЕПРО за № </w:t>
      </w:r>
      <w:r w:rsidRPr="00BC069E">
        <w:rPr>
          <w:rFonts w:ascii="Times New Roman" w:eastAsia="Calibri" w:hAnsi="Times New Roman" w:cs="BALTICA"/>
          <w:sz w:val="24"/>
          <w:szCs w:val="24"/>
          <w:lang w:val="en-US" w:eastAsia="uk-UA"/>
        </w:rPr>
        <w:t>U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>А.14.003.03088-20, строком дії з 09.09.2020 по 08.09.2021, та висновок державної санітарно-гігієнічної експертизи від 10.07.2020 № 12.2-18-1/15420.</w:t>
      </w:r>
    </w:p>
    <w:bookmarkEnd w:id="7"/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ПрАТ «Київський КПК» також повідомило Комітет про те, що зовнішнє оформлення Продукції не змінювалось. Разом із тим змін зазнавала текстова інформація в маркуванні Продукції про форми власності підприємства. Будь-яких інших різновидів цієї продукції ПрАТ «Київський КПК» не існувало раніше та не існує наразі.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У 2017 році ПрАТ «Київський КПК» була випущена лімітована партія, присвячена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br/>
        <w:t xml:space="preserve">30-річчю випуску Продукції, на етикетці якої був розміщений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>текстово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-цифровий блок «30 років разом».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Така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зміна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, на думку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Заявника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, не мала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суттєвого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впливу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на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загальне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візуальне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сприйняття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споживачем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Крім того, Заявник у 2017 році здійснював масштабну рекламу Продукції з розміщення рекламних зображень на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білбордах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найбільших міст України.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На підтвердження вказаного Заявник надав у Листі 1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фотозвіт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такої акції, долучений до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акта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надання послуг № Б-1225 від 30.04.2017 за договором № ПМ 2763/96941/0317 від 01.03.2017, укладеним між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>ПрАТ «Київський КПК»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та виконавцем зазначеної рекламної кампанії − товариством з обмеженою відповідальністю «Преміум Медіа Груп».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Заявник у Листі 1 також зазначив, що реалізація Продукції здійснюється через власну дистриб’юторську мережу в усіх регіонах України (крім АР Крим та непідконтрольних територій) на роздрібних, оптово-роздрібних, оптових ринках та в магазинах.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Крім того, реалізація Продукції, відповідно до інформації в Листі 1, здійснюється через усі національні мережі супермаркетів та окремі мережі регіональних маркетів, а також через поштові відділення державного підприємства «Укрпошта».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На підтвердження напрацьованої ділової репутації ПрАТ «Київський КПК» у Додатку до Листа 1 надало копію видання Державного комітету з питань технічного регулювання та споживчої політики під назвою «100 Кращих Товарів України» за </w:t>
      </w:r>
      <w:r w:rsidRPr="00BC069E">
        <w:rPr>
          <w:rFonts w:ascii="Times New Roman" w:eastAsia="Calibri" w:hAnsi="Times New Roman" w:cs="BALTICA"/>
          <w:b/>
          <w:sz w:val="24"/>
          <w:szCs w:val="24"/>
          <w:lang w:val="uk-UA" w:eastAsia="uk-UA"/>
        </w:rPr>
        <w:t>2003 рік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>, де в рубриці «промислові товари для населення», зокрема, розміщена інформація із зображенням Продукції, а також копію диплому, виданого Заявникові як переможцю всеукраїнського конкурсу-виставки «Кращий вітчизняний товар 2009 року» в номінації «Виробництво продукції деревообробної та целюлозно-паперової промисловості «Туалетний папір торгової марки «Обухів 65».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  <w:t>5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</w:rPr>
        <w:t xml:space="preserve">. ОБСТАВИНИ СПРАВИ,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  <w:t xml:space="preserve">ПОВІДОМЛЕНІ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</w:rPr>
        <w:t>ВІДПОВІДАЧ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/>
        </w:rPr>
        <w:t>ЕМ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Згідно з інформацією, наданою Відповідачем у відповідь на Вимогу 1 листом від 29.12.2020 № 133 (зареєстрованим у Комітеті 04.01.2021 за № 8-06/10) (далі – Лист 2), Товариство повідомило, що господарську діяльність здійснює з 04.08.2017.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Товариство повідомило Комітет, що здійснювало виробництво продукції папір туалетний під позначенням «65 чесних метрів» (далі – Продукція 1), зовнішнє оформлення якої зображено на фотокопії 2, з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травня 2019  року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lastRenderedPageBreak/>
        <w:t xml:space="preserve"> На підтвердження реалізації Продукції 1 ТОВ «ВК «Альбатрос» надало копію договору поставки від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01.04.2019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№ 13/5, укладеного Відповідачем із товариством з обмеженою відповідальністю «Торгівельна Компанія «Альбатрос» (далі – ТОВ «ТК «Альбатрос»).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bookmarkStart w:id="8" w:name="_Hlk72402837"/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36793D7B" wp14:editId="643863E2">
            <wp:extent cx="2081004" cy="2081719"/>
            <wp:effectExtent l="0" t="0" r="0" b="0"/>
            <wp:docPr id="11" name="Рисунок 11" descr="Описание: Туалетная Бумага Альбатрос 65м — в Категории &quot;Туалетная Бумага&quot; на Bigl.ua  (10900736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Туалетная Бумага Альбатрос 65м — в Категории &quot;Туалетная Бумага&quot; на Bigl.ua  (1090073660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53" t="3175" r="7301" b="4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809" cy="211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8"/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ab/>
        <w:t xml:space="preserve">                                                               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Фотокопія 2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bookmarkStart w:id="9" w:name="_Hlk72759909"/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Відповідач надав ТУ У 21.2-23943885-00202001, відповідно до яких виробляється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br/>
        <w:t>Продукція 1, зі змінами від 16.04.2019</w:t>
      </w:r>
      <w:bookmarkEnd w:id="9"/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Товариство зазначило, що рекламування Продукції 1 Товариство не здійснювало.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Адреса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потужностей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, на яких виробляється Продукція 1: м. Дніпро, вул. Будівельників, б. 60.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Товариство зазначило, що не здійснювало постачання Продукції 1 до будь-яких торговельних мереж. При цьому реалізацію Продукції 1 Товариство здійснювало  шляхом постачання її ТОВ «ТК «Альбатрос».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 наданою Відповідачем інформацією, загальний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обсяг продажів Продукції 1 (з травня 2019 по вересень 2020 року) становить 1 184 657,76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(один мільйон сто вісімдесят чотири тисячі шістсот п’ятдесят сім грн 76 коп.).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Розроблення оформлення упаковки Продукції 1 Товариство здійснювало самостійно. Дизайн оформлення Продукції 1 не змінювався.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Водночас ТОВ «ВК «Альбатрос» зазначило, що маркування Продукції 1 здійснено  відповідно до вимогам Закону України «Про захист прав споживачів».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Крім того, Товариство вважає, що позначення у вигляді торговельної марки «Альбатрос» у маркуванні надає Продукції 1 розрізняльної здатності з-поміж продукції інших виробників.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Так, Відповідач зазначив, що елементи, розміщені на упаковці Продукції 1, мають правовий захист в Україні, зокрема, згідно з відомостями,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які містяться в базі даних Державного підприємства «Український інститут інтелектуальної власності» (далі −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Укрпатент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позначення   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625CCAE3" wp14:editId="1CE054FD">
            <wp:extent cx="857250" cy="352425"/>
            <wp:effectExtent l="0" t="0" r="0" b="9525"/>
            <wp:docPr id="10" name="Рисунок 10" descr="https://base.uipv.org/searchBul/realimage.php?idVariant=86912&amp;varIndex=1&amp;chapter=biblio&amp;dbn=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base.uipv.org/searchBul/realimage.php?idVariant=86912&amp;varIndex=1&amp;chapter=biblio&amp;dbn=p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6" t="7359" b="13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є зареєстрованим 10.05.2017 промисловим зразком № 34418 (дата подання заявки − 20.06.2016).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Разом із тим, відповідно до інформації, яка міститься в базі даних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Укрпатенту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, патент на промисловий зразок № 34418 не є чинним.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lastRenderedPageBreak/>
        <w:t xml:space="preserve"> Позначення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65291E50" wp14:editId="757CC9F0">
            <wp:extent cx="790575" cy="438150"/>
            <wp:effectExtent l="0" t="0" r="9525" b="0"/>
            <wp:docPr id="9" name="Рисунок 9" descr="https://base.uipv.org/searchBUL/resize.php?dbn=tm&amp;idClaim=121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base.uipv.org/searchBUL/resize.php?dbn=tm&amp;idClaim=12117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69E">
        <w:rPr>
          <w:rFonts w:ascii="Calibri" w:eastAsia="Calibri" w:hAnsi="Calibri" w:cs="BALTICA"/>
          <w:noProof/>
          <w:sz w:val="24"/>
          <w:szCs w:val="24"/>
          <w:lang w:val="uk-UA" w:eastAsia="uk-UA"/>
        </w:rPr>
        <w:t>,</w:t>
      </w:r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 xml:space="preserve"> яке Відповідач використовує в оформленні Продукції 1, є зареєстрованим 10.10.2017 знаком для товарів та послуг </w:t>
      </w:r>
      <w:bookmarkStart w:id="10" w:name="_Hlk72333268"/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 xml:space="preserve">№ 83418 </w:t>
      </w:r>
      <w:bookmarkEnd w:id="10"/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 xml:space="preserve">(дата подання заявки  − 26.07.2006 № </w:t>
      </w:r>
      <w:r w:rsidRPr="00BC069E">
        <w:rPr>
          <w:rFonts w:ascii="Times New Roman" w:eastAsia="Calibri" w:hAnsi="Times New Roman" w:cs="Times New Roman"/>
          <w:noProof/>
          <w:sz w:val="24"/>
          <w:szCs w:val="24"/>
          <w:lang w:val="en-US" w:eastAsia="uk-UA"/>
        </w:rPr>
        <w:t>m</w:t>
      </w:r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>200610997).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При цьому, відповідно до відомостей, які містяться в базі даних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Укрпатенту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, власником </w:t>
      </w:r>
      <w:bookmarkStart w:id="11" w:name="_Hlk72931106"/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 xml:space="preserve">знака для товарів та послуг № 83418 </w:t>
      </w:r>
      <w:bookmarkEnd w:id="11"/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>є товариство з обмеженою відповідальністю «Дніпропромгруп»</w:t>
      </w:r>
      <w:bookmarkStart w:id="12" w:name="_Hlk72923722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заявку на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товарів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подано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товариством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Торговельно-Промислова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Група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«Альбатрос».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 xml:space="preserve"> Відповідач не зазначив, на яких підставах використовує знак для товарів та послуг № 83418.</w:t>
      </w:r>
      <w:bookmarkEnd w:id="12"/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Товариство повідомило, що на дату подання Листа 2  Продукцію 1 не виробляє та не реалізує.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На питання Вимоги 1 щодо напрацьованої ділової репутації ТОВ «ВК «Альбатрос» Товариство у Листі 2 повідомило Комітет, що йому не зрозуміло, якими документами може бути підтверджено напрацювання ділової репутації.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У відповідь на Вимогу 2 Відповідач листом від 30.04.2021 № 48 (зареєстрованим у Комітеті 05.05.2021 за № 8-06/6078) (далі – Лист 3) повідомив таке.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Виробництво продукції папір туалетний під позначенням «60 чесних метрів» (далі –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  <w:t>Продукція 2), зовнішнє оформлення якої зображено на фотокопії 3, відповідно до наданої Товариством інформації, здійснювалося і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з червня 2019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року: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ru-RU"/>
        </w:rPr>
      </w:pP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bookmarkStart w:id="13" w:name="_Hlk72488476"/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4F5BE516" wp14:editId="13706239">
            <wp:extent cx="2238375" cy="1943100"/>
            <wp:effectExtent l="0" t="0" r="9525" b="0"/>
            <wp:docPr id="8" name="Рисунок 8" descr="Описание: https://apteka911.ua/content/shop/products/98119/photos/261305-98119-big-1500x1500-e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pteka911.ua/content/shop/products/98119/photos/261305-98119-big-1500x1500-e39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3"/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BC069E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BC069E"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ru-RU"/>
        </w:rPr>
        <w:t xml:space="preserve">                                                                       Ф</w:t>
      </w:r>
      <w:r w:rsidRPr="00BC069E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отокопія 3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При цьому на підтвердження здійснення реалізації Продукції 2 Товариство надало копію договору поставки від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01.04.2019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№ 13/5, укладеного з ТОВ «ТК «Альбатрос».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Відповідач надав ТУ У 21.2-23943885-00202001, відповідно до яких виробляється Продукція 2, зі змінами від 16.04.2019.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Відповідач у Листі 2 зазначив, що елементи, розміщені на упаковці Продукції 2, мають правовий захист в Україні, зокрема, згідно з відомостями,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які містяться в базі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Укрпатенту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позначення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5974E764" wp14:editId="74DDDA7D">
            <wp:extent cx="685800" cy="304800"/>
            <wp:effectExtent l="0" t="0" r="0" b="0"/>
            <wp:docPr id="7" name="Рисунок 7" descr="https://base.uipv.org/searchBul/realimage.php?idVariant=86141&amp;varIndex=1&amp;chapter=biblio&amp;dbn=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base.uipv.org/searchBul/realimage.php?idVariant=86141&amp;varIndex=1&amp;chapter=biblio&amp;dbn=p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4" t="14493" r="8992" b="21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є зареєстрованим 25.10.2016 промисловим зразком № 33253 (дата подання  заявки − 23.03.2016).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Разом із тим, відповідно до інформації, яка міститься в базі даних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Укрпатенту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, патент на промисловий зразок № 33253 не є чинним.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lastRenderedPageBreak/>
        <w:t xml:space="preserve"> Позначення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7E13F494" wp14:editId="5E9AC5AE">
            <wp:extent cx="704850" cy="390525"/>
            <wp:effectExtent l="0" t="0" r="0" b="9525"/>
            <wp:docPr id="6" name="Рисунок 6" descr="https://base.uipv.org/searchBUL/resize.php?dbn=tm&amp;idClaim=121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base.uipv.org/searchBUL/resize.php?dbn=tm&amp;idClaim=12117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 xml:space="preserve">є зареєстрованим 10.10.2017 знаком для товарів та послуг </w:t>
      </w:r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br/>
        <w:t>№ 83418 (дата подання заявки − 26.07.2006). При цьому підстав для використання в оформленні Продукції 2 вказаного позначення Відповідачем не надано (враховуючи, що Відповідач не є власником знака для товарів та послуг № 83418).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Товариство повідомило, що на дату подання Листа 3 Продукцію 2 не виробляє та не реалізує.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Також Відповідач повідомив, що реалізацію Продукції 2 здійснював шляхом постачання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  <w:t>ТОВ «ТК «Альбатрос». До будь-яких торговельних мереж постачання Продукції 2 Товариство не здійснювало.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Рекламування Продукції 2 також не здійснювалося. Дизайн Продукції 2 не змінювався. Оформлення упаковки Продукції 2 Відповідач розробляв  самостійно.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Крім того, у Листі 3 Товариство зазначило, що ТОВ «ВК «Альбатрос» є одним із найбільших виробників туалетного паперу в Україні. Крім того, під торговельною маркою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729E7E0C" wp14:editId="45568A65">
            <wp:extent cx="638175" cy="352425"/>
            <wp:effectExtent l="0" t="0" r="9525" b="9525"/>
            <wp:docPr id="5" name="Рисунок 5" descr="https://base.uipv.org/searchBUL/resize.php?dbn=tm&amp;idClaim=121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base.uipv.org/searchBUL/resize.php?dbn=tm&amp;idClaim=12117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 xml:space="preserve"> більше 20 років випускаються товари санітарно-гігієнічного призначення (туалетний папір, серветки, паперові рушники тощо).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 наданою Товариством інформацією, загальний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обсяг продажів Продукції 2 (із червня 2019 по жовтень 2020 року) становить 5 767 786,51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(п’ять мільйонів сімсот шістдесят сім тисяч сімсот вісімдесят шість грн 51 коп.).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6.  ОБСТАВИНИ СПРАВИ, ВСТАНОВЛЕНІ КОМІТЕТОМ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Відповідно до обставин справи, у серпні 2020 року співробітниками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ПрАТ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Київський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»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було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виявлено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у продажу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Продукцію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1,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оформлення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упаковки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якої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схоже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на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оформлення упаковки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Продукці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ї.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На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підтвердження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вказаного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Заявник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надав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зразки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упаковок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1 та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, а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також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товарний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чек № 12953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від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24.09.2020,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який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свідчить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про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придбання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Заявником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1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Заявник стверджує, що оформлення Продукції 1 не лише має схожість з оформленням Продукції, але й імітує його суттєві ознаки, що може призвести до змішування з діяльністю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овнішнє оформлення Продукції є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індивідуалізуючим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тобто таким, що має відрізняти продукцію Заявника з-поміж іншої на ринку.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Водночас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дії Відповідача у вигляді використання оформлення Продукції 1 можуть призвести до змішування з діяльністю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br/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» та, як наслідок, до збитків і негативного впливу на ділову репутацію Заявника.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У відповідь на лист № 17-10142 від 31.08.2020 (далі – Претензія), з яким Заявник звертався до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  <w:t xml:space="preserve">ТОВ «ВК «Альбатрос» з приводу порушення законодавства про захист від недобросовісної конкуренції у вигляді використання схожого на оформлення Продукції оформлення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  <w:t xml:space="preserve">Продукції 1, Товариство листом № 108-1 від 14.10.2020 (далі – </w:t>
      </w:r>
      <w:r w:rsidRPr="00BC069E">
        <w:rPr>
          <w:rFonts w:ascii="Times New Roman" w:eastAsia="Calibri" w:hAnsi="Times New Roman" w:cs="Times New Roman"/>
          <w:color w:val="000000"/>
          <w:spacing w:val="-7"/>
          <w:sz w:val="24"/>
          <w:szCs w:val="24"/>
          <w:lang w:val="uk-UA" w:eastAsia="uk-UA"/>
        </w:rPr>
        <w:t>Відповідь на Претензію) повідомило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Заявника про те, що здійснений ТОВ «ВК «Альбатрос» порівняльний аналіз елементів оформлення Продукції 1 та Продукції свідчить про необґрунтованість Претензії.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Більше того, Товариство розцінює Претензію як таку, що є помилковою або спрямованою на створення перешкод доступу на ринок, усунення конкурентів Заявника.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Відповідач вважає, що наявність розрізняльних елементів в оформленні упаковки Продукції 1 промислового зразка № 34418 та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знака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для товарів та послуг </w:t>
      </w:r>
      <w:r w:rsidRPr="00BC069E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t>№ 83418 є достатньою для того, щоб споживач міг відрізнити Продукцію 1 від будь-якої іншої продукції.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lastRenderedPageBreak/>
        <w:t xml:space="preserve"> Листом від 02.03.2021 № 17-2793 (зареєстрованим у Комітеті 09.05.2021 за № 8-01/3165) як доповнення до Заяви (далі – Доповнення до Заяви)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» повідомило Комітет про те, що Відповідач, крім Продукції 1, виробляє та реалізує продукцію, яка має ідентичний зовнішній вигляд із Продукцією 1 та відрізняється лише однією цифрою  в позначенні, а саме – «60» замість «65» (див. фотокопію 3).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На підтвердження наявності Продукції 2 у продажу Заявник надав копію фіскального чека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  <w:t>від 03.02.2021, долучену до Доповнення до Заяви.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При цьому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»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зазначило, що зовнішній вигляд Продукції 2 так само імітує зовнішнє оформлення Продукції, яке </w:t>
      </w:r>
      <w:bookmarkStart w:id="14" w:name="_Hlk72402644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»</w:t>
      </w:r>
      <w:bookmarkEnd w:id="14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раніше почало використовувати в господарській діяльності.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Однак Товариство в Листі 2 зазначило про те, що </w:t>
      </w: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>«…завдяки розміщенню на етикетці Продукції зображення торгівельної марки Продукція абсолютно чітко ідентифікується як товар, вироблений заводом «Альбатрос»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 результатами розгляду Справи, одержаних на вимогу Комітету документів і матеріалів, встановлено таке.</w:t>
      </w:r>
    </w:p>
    <w:p w:rsidR="00BC069E" w:rsidRPr="00BC069E" w:rsidRDefault="00BC069E" w:rsidP="00BC069E">
      <w:pPr>
        <w:tabs>
          <w:tab w:val="left" w:pos="900"/>
        </w:tabs>
        <w:overflowPunct w:val="0"/>
        <w:adjustRightInd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BC069E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6.1.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Обставини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,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встановлені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за результатами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аналізу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зовнішнього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оформлення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упаковки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b/>
          <w:sz w:val="24"/>
          <w:szCs w:val="24"/>
          <w:lang w:eastAsia="uk-UA"/>
        </w:rPr>
        <w:t>виробництва</w:t>
      </w:r>
      <w:proofErr w:type="spellEnd"/>
      <w:r w:rsidRPr="00BC069E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b/>
          <w:sz w:val="24"/>
          <w:szCs w:val="24"/>
          <w:lang w:eastAsia="uk-UA"/>
        </w:rPr>
        <w:t>Заявника</w:t>
      </w:r>
      <w:proofErr w:type="spellEnd"/>
      <w:r w:rsidRPr="00BC069E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та </w:t>
      </w:r>
      <w:proofErr w:type="spellStart"/>
      <w:r w:rsidRPr="00BC069E">
        <w:rPr>
          <w:rFonts w:ascii="Times New Roman" w:hAnsi="Times New Roman" w:cs="Times New Roman"/>
          <w:b/>
          <w:sz w:val="24"/>
          <w:szCs w:val="24"/>
          <w:lang w:eastAsia="uk-UA"/>
        </w:rPr>
        <w:t>Відповідача</w:t>
      </w:r>
      <w:proofErr w:type="spellEnd"/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 Порівняльний аналіз оформлення упаковок Продукції та Продукції 1 вказує на те, що оформлення зазначених товарів за загальною композицією та кольоровою гамою (фоном, кольором написів), є</w:t>
      </w:r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>схожим: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ab/>
      </w:r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ab/>
      </w:r>
    </w:p>
    <w:p w:rsidR="00BC069E" w:rsidRPr="00BC069E" w:rsidRDefault="00BC069E" w:rsidP="00BC069E">
      <w:pPr>
        <w:tabs>
          <w:tab w:val="left" w:pos="54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 xml:space="preserve">                                  Продукція</w:t>
      </w:r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ab/>
      </w:r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ab/>
        <w:t xml:space="preserve">                                        </w:t>
      </w:r>
      <w:proofErr w:type="spellStart"/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>Продукція</w:t>
      </w:r>
      <w:proofErr w:type="spellEnd"/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 xml:space="preserve"> 1</w:t>
      </w:r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ab/>
      </w:r>
    </w:p>
    <w:p w:rsidR="00BC069E" w:rsidRPr="00BC069E" w:rsidRDefault="00BC069E" w:rsidP="00BC069E">
      <w:pPr>
        <w:tabs>
          <w:tab w:val="left" w:pos="54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tabs>
          <w:tab w:val="left" w:pos="54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t xml:space="preserve"> </w:t>
      </w:r>
      <w:r w:rsidRPr="00BC069E">
        <w:rPr>
          <w:rFonts w:ascii="Calibri" w:eastAsia="Calibri" w:hAnsi="Calibri" w:cs="BALTICA"/>
          <w:noProof/>
          <w:sz w:val="24"/>
          <w:szCs w:val="24"/>
          <w:lang w:eastAsia="ru-RU"/>
        </w:rPr>
        <w:t xml:space="preserve">   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24081E3C" wp14:editId="667C9998">
            <wp:extent cx="2619375" cy="2381250"/>
            <wp:effectExtent l="0" t="0" r="9525" b="0"/>
            <wp:docPr id="4" name="Рисунок 4" descr="Описание: Туалетний папір &quot;Обухів&quot;: продажа, цена в Луцке. туалетная бумага от &quot;Все  для дому&quot; - 69615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Туалетний папір &quot;Обухів&quot;: продажа, цена в Луцке. туалетная бумага от &quot;Все  для дому&quot; - 6961549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69E">
        <w:rPr>
          <w:rFonts w:ascii="Calibri" w:eastAsia="Calibri" w:hAnsi="Calibri" w:cs="BALTICA"/>
          <w:noProof/>
          <w:sz w:val="24"/>
          <w:szCs w:val="24"/>
          <w:lang w:eastAsia="ru-RU"/>
        </w:rPr>
        <w:t xml:space="preserve">      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551D4617" wp14:editId="5F16D372">
            <wp:extent cx="2676525" cy="2390775"/>
            <wp:effectExtent l="0" t="0" r="9525" b="9525"/>
            <wp:docPr id="3" name="Рисунок 3" descr="Описание: Туалетная Бумага Альбатрос 65м — в Категории &quot;Туалетная Бумага&quot; на Bigl.ua  (109007366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Туалетная Бумага Альбатрос 65м — в Категории &quot;Туалетная Бумага&quot; на Bigl.ua  (1090073660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53" t="3175" r="7301" b="4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t xml:space="preserve"> </w:t>
      </w:r>
      <w:bookmarkStart w:id="15" w:name="_Hlk72488840"/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t xml:space="preserve"> </w:t>
      </w:r>
      <w:r w:rsidRPr="00BC069E">
        <w:rPr>
          <w:rFonts w:ascii="Calibri" w:eastAsia="Calibri" w:hAnsi="Calibri" w:cs="BALTICA"/>
          <w:noProof/>
          <w:sz w:val="24"/>
          <w:szCs w:val="24"/>
          <w:lang w:eastAsia="ru-RU"/>
        </w:rPr>
        <w:t xml:space="preserve">     </w:t>
      </w:r>
      <w:bookmarkEnd w:id="15"/>
      <w:r w:rsidRPr="00BC069E">
        <w:rPr>
          <w:rFonts w:ascii="Calibri" w:eastAsia="Calibri" w:hAnsi="Calibri" w:cs="BALTICA"/>
          <w:noProof/>
          <w:sz w:val="24"/>
          <w:szCs w:val="24"/>
          <w:lang w:eastAsia="ru-RU"/>
        </w:rPr>
        <w:t xml:space="preserve"> 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t xml:space="preserve"> </w:t>
      </w:r>
      <w:r w:rsidRPr="00BC069E">
        <w:rPr>
          <w:rFonts w:ascii="Calibri" w:eastAsia="Calibri" w:hAnsi="Calibri" w:cs="BALTICA"/>
          <w:noProof/>
          <w:sz w:val="24"/>
          <w:szCs w:val="24"/>
          <w:lang w:eastAsia="ru-RU"/>
        </w:rPr>
        <w:t xml:space="preserve">      </w:t>
      </w:r>
    </w:p>
    <w:p w:rsidR="00BC069E" w:rsidRPr="00BC069E" w:rsidRDefault="00BC069E" w:rsidP="00BC0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  <w:t xml:space="preserve">                                                                          Фотокопія 4</w:t>
      </w:r>
    </w:p>
    <w:p w:rsidR="00BC069E" w:rsidRPr="00BC069E" w:rsidRDefault="00BC069E" w:rsidP="00BC0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А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наліз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позначень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які використовує Товариство в оформленні Продукції 1, та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позначень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які використовує в оформленні Продукції Заявник, а також їх комбінацій, що утворюють загальний вигляд Продукції 1 та Продукції, вказує на схожість зразків, зображених на фотокопії 4, за використанням гами кольорів, композиційним та графічним розміщенням деталей, які суттєво впливають на формування їх зовнішнього вигляду,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розміщенням основних написів та окремих елементів,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загальним художнім рішенням, шрифтом та просторовим розташуванням.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Зокрема, обидва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о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формлення упаковки Продукції</w:t>
      </w:r>
      <w:r w:rsidRPr="00BC069E">
        <w:rPr>
          <w:rFonts w:ascii="Times New Roman" w:eastAsia="Calibri" w:hAnsi="Times New Roman" w:cs="Times New Roman"/>
          <w:spacing w:val="-3"/>
          <w:sz w:val="24"/>
          <w:szCs w:val="24"/>
          <w:lang w:val="uk-UA" w:eastAsia="uk-UA"/>
        </w:rPr>
        <w:t xml:space="preserve"> та Продукції 1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являють собою смужку </w:t>
      </w:r>
      <w:r w:rsidRPr="00BC069E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 xml:space="preserve">обгорткового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паперу білого </w:t>
      </w:r>
      <w:r w:rsidRPr="00BC069E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 xml:space="preserve">кольору,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 яку нанесено текстові та графічні позначення в синьо-червоній кольоровій гамі на білому фоні, зокрема, обидва зразки оформлення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 xml:space="preserve">Продукції та Продукції 1 містять позначення у вигляді розгорненого рулончика, позначення «65», виконаного червоним кольором.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Крім того, оформлення двох зразків, зображених на фотокопії 4, має схожий спосіб розміщення елементів текстових блоків.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Порівняльний аналіз упаковок Продукції 1 та Продукції вказує на те, що оформлення зазначених виробів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за загальною композицією та стилем, кольоровою гамою (фоном, кольором написів), розміщенням основних написів та окремих елементів є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схожим.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А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наліз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позначень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які використовує Товариство в оформленні Продукції 2, та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позначень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які використовує в оформленні Продукції Заявник, а також їх комбінацій, що утворюють загальний вигляд Продукції 2 та Продукції, вказує на схожість зразків, зображених на фотокопії 5, за використанням гами кольорів, композиційним та графічним розміщенням деталей, які суттєво впливають на формування їх зовнішнього вигляду,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розміщенням основних написів та окремих елементів,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просторовим розташуванням та загальним художнім рішенням.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Зокрема, обидва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о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формлення упаковки Продукції</w:t>
      </w:r>
      <w:r w:rsidRPr="00BC069E">
        <w:rPr>
          <w:rFonts w:ascii="Times New Roman" w:eastAsia="Calibri" w:hAnsi="Times New Roman" w:cs="Times New Roman"/>
          <w:spacing w:val="-3"/>
          <w:sz w:val="24"/>
          <w:szCs w:val="24"/>
          <w:lang w:val="uk-UA" w:eastAsia="uk-UA"/>
        </w:rPr>
        <w:t xml:space="preserve"> та Продукції 2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являють собою смужку </w:t>
      </w:r>
      <w:r w:rsidRPr="00BC069E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 xml:space="preserve">обгорткового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паперу білого </w:t>
      </w:r>
      <w:r w:rsidRPr="00BC069E"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 xml:space="preserve">кольору,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 яку нанесено текстові та графічні позначення в синьо-червоній кольоровій гамі, зокрема, зразки оформлення продукції на фотокопії 5 містять позначення у вигляді розгорненого рулончика, цифрових позначень, виконаних червоним кольором. Крім того, оформлення двох зразків, зображених на фотокопії 5, має схожий спосіб розміщення елементів текстових блоків: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                                                 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 xml:space="preserve">Продукція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                                                 </w:t>
      </w:r>
      <w:proofErr w:type="spellStart"/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Продукція</w:t>
      </w:r>
      <w:proofErr w:type="spellEnd"/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 xml:space="preserve"> 2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BALTICA"/>
          <w:noProof/>
          <w:sz w:val="24"/>
          <w:szCs w:val="24"/>
          <w:lang w:eastAsia="ru-RU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                </w:t>
      </w:r>
      <w:r w:rsidRPr="00BC069E">
        <w:rPr>
          <w:rFonts w:ascii="Calibri" w:eastAsia="Calibri" w:hAnsi="Calibri" w:cs="BALTICA"/>
          <w:noProof/>
          <w:sz w:val="24"/>
          <w:szCs w:val="24"/>
          <w:lang w:eastAsia="ru-RU"/>
        </w:rPr>
        <w:t xml:space="preserve">  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09BA9642" wp14:editId="56230D49">
            <wp:extent cx="2533650" cy="2362200"/>
            <wp:effectExtent l="0" t="0" r="0" b="0"/>
            <wp:docPr id="2" name="Рисунок 2" descr="Описание: Туалетний папір &quot;Обухів&quot;: продажа, цена в Луцке. туалетная бумага от &quot;Все  для дому&quot; - 69615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Туалетний папір &quot;Обухів&quot;: продажа, цена в Луцке. туалетная бумага от &quot;Все  для дому&quot; - 6961549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t xml:space="preserve"> </w:t>
      </w:r>
      <w:r w:rsidRPr="00BC069E">
        <w:rPr>
          <w:rFonts w:ascii="Calibri" w:eastAsia="Calibri" w:hAnsi="Calibri" w:cs="BALTICA"/>
          <w:noProof/>
          <w:sz w:val="24"/>
          <w:szCs w:val="24"/>
          <w:lang w:eastAsia="ru-RU"/>
        </w:rPr>
        <w:t xml:space="preserve">     </w:t>
      </w:r>
      <w:r w:rsidRPr="00BC069E">
        <w:rPr>
          <w:rFonts w:ascii="BALTICA" w:eastAsia="Calibri" w:hAnsi="BALTICA" w:cs="BALTICA"/>
          <w:noProof/>
          <w:sz w:val="24"/>
          <w:szCs w:val="24"/>
          <w:lang w:eastAsia="ru-RU"/>
        </w:rPr>
        <w:drawing>
          <wp:inline distT="0" distB="0" distL="0" distR="0" wp14:anchorId="19C182E9" wp14:editId="2FC7F2DF">
            <wp:extent cx="2581275" cy="2238375"/>
            <wp:effectExtent l="0" t="0" r="9525" b="9525"/>
            <wp:docPr id="1" name="Рисунок 1" descr="Описание: https://apteka911.ua/content/shop/products/98119/photos/261305-98119-big-1500x1500-e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pteka911.ua/content/shop/products/98119/photos/261305-98119-big-1500x1500-e39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ab/>
        <w:t xml:space="preserve">                                                                Фотокопія 5 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 xml:space="preserve">  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Порівняльний аналіз оформлення упаковок Продукції 2 та Продукції вказує на те, що оформлення зазначених виробів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за загальною композицією та стилем, кольоровою гамою (фоном, кольором написів), розміщенням основних написів та окремих елементів є</w:t>
      </w:r>
      <w:r w:rsidRPr="00BC069E"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схожим.</w:t>
      </w:r>
    </w:p>
    <w:p w:rsidR="00BC069E" w:rsidRPr="00BC069E" w:rsidRDefault="00BC069E" w:rsidP="00B470B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Крім того, очевидним є застосування симетр</w:t>
      </w:r>
      <w:r w:rsidR="00FE75D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ії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розміщення основних написів та окремих елементів,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загальний художній підхід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до оформлення етикеток Продукції, Продукції 1 та Продукції 2.</w:t>
      </w:r>
    </w:p>
    <w:p w:rsidR="00BC069E" w:rsidRPr="00BC069E" w:rsidRDefault="00BC069E" w:rsidP="00B470B8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before="120" w:after="120" w:line="240" w:lineRule="auto"/>
        <w:ind w:left="57" w:right="13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BC069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6.2. </w:t>
      </w:r>
      <w:r w:rsidRPr="00BC069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Обставини, встановлені за результатами опитування споживачів</w:t>
      </w:r>
    </w:p>
    <w:p w:rsidR="00BC069E" w:rsidRPr="00BC069E" w:rsidRDefault="00BC069E" w:rsidP="00B470B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eastAsia="Calibri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За результатами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Опитування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Комітету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,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проведеного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по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всій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території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України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,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загальна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кількість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респондентів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якого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становила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301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особу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,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встановлено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таке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:</w:t>
      </w:r>
    </w:p>
    <w:p w:rsidR="00BC069E" w:rsidRPr="00BC069E" w:rsidRDefault="00BC069E" w:rsidP="00BC069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83,7 %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респондентів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надали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ствердну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відповідь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на питання, 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чи схоже зовнішнє оформлення упаковки Продукції 1 на зовнішнє оформлення упаковки  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Продукції;</w:t>
      </w:r>
    </w:p>
    <w:p w:rsidR="00BC069E" w:rsidRPr="00BC069E" w:rsidRDefault="00BC069E" w:rsidP="00BC069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75,4 % респондентів могли б придбати Продукцію 1 внаслідок сплутування її з Продукцією;</w:t>
      </w:r>
    </w:p>
    <w:p w:rsidR="00BC069E" w:rsidRPr="00BC069E" w:rsidRDefault="00B909A6" w:rsidP="00BC069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BC069E"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71,4 % респондентів</w:t>
      </w:r>
      <w:r w:rsidR="00FE75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складається враження, що</w:t>
      </w:r>
      <w:r w:rsidR="00BC069E"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E75D7"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виробник </w:t>
      </w:r>
      <w:r w:rsidR="00BC069E"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Продукці</w:t>
      </w:r>
      <w:r w:rsidR="00FE75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BC069E"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Продукці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BC069E"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 один і той самий;</w:t>
      </w:r>
    </w:p>
    <w:p w:rsidR="00BC069E" w:rsidRPr="00BC069E" w:rsidRDefault="00BC069E" w:rsidP="00BC069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72 %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респондентів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надали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ствердну</w:t>
      </w:r>
      <w:proofErr w:type="spellEnd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відповідь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на питання, 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чи схоже зовнішнє оформлення упаковки Продукції 2 на зовнішнє оформлення упаковки  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Продукції;</w:t>
      </w:r>
    </w:p>
    <w:p w:rsidR="00BC069E" w:rsidRPr="00BC069E" w:rsidRDefault="00BC069E" w:rsidP="00BC069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63,4 % респондентів могли б придбати Продукцію 2 внаслідок сплутування її з Продукцією;</w:t>
      </w:r>
    </w:p>
    <w:p w:rsidR="00BC069E" w:rsidRPr="00BC069E" w:rsidRDefault="00BC069E" w:rsidP="00BC069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у 62,8 % респондентів </w:t>
      </w:r>
      <w:r w:rsidR="00B90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складається враження, що </w:t>
      </w:r>
      <w:r w:rsidR="00B909A6"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виробник 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Продукці</w:t>
      </w:r>
      <w:r w:rsidR="00B90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Продукці</w:t>
      </w:r>
      <w:r w:rsidR="00B90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 один і той самий.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Отже, відповідно до результатів Опитування Комітету для переважної більшості споживачів оформлення упаковки Продукції 1 та Продукції 2 схоже на оформлення упаковки Продукції. Крім того, переважна більшість може сплутати Продукцію 1 та Продукцію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2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виробництва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Відповідача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з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Продукцією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виробництва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Заявника</w:t>
      </w:r>
      <w:proofErr w:type="spellEnd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Відтак результати Опитування Комітету свідчать про можливість змішування діяльності Відповідача з господарською діяльністю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ПрАТ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Київський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» в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результаті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>дій</w:t>
      </w:r>
      <w:proofErr w:type="spellEnd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t xml:space="preserve"> </w:t>
      </w:r>
      <w:bookmarkStart w:id="16" w:name="_Hlk72504312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eastAsia="uk-UA"/>
        </w:rPr>
        <w:br/>
      </w:r>
      <w:bookmarkEnd w:id="16"/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Товариства </w:t>
      </w:r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з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використання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оформлення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упаковки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 та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2 у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господарській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діяльності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:rsidR="00BC069E" w:rsidRPr="00BC069E" w:rsidRDefault="00BC069E" w:rsidP="00BC069E">
      <w:pPr>
        <w:tabs>
          <w:tab w:val="left" w:pos="900"/>
        </w:tabs>
        <w:overflowPunct w:val="0"/>
        <w:adjustRightInd w:val="0"/>
        <w:textAlignment w:val="baseline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BC069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6.3.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Обставини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, встановлені </w:t>
      </w:r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за результатами </w:t>
      </w:r>
      <w:r w:rsidRPr="00BC069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аналізу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експертн</w:t>
      </w:r>
      <w:r w:rsidRPr="00BC069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их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досліджен</w:t>
      </w:r>
      <w:proofErr w:type="spellEnd"/>
      <w:r w:rsidRPr="00BC069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ь</w:t>
      </w:r>
    </w:p>
    <w:p w:rsidR="00BC069E" w:rsidRPr="00BC069E" w:rsidRDefault="00BC069E" w:rsidP="00BC069E">
      <w:pPr>
        <w:numPr>
          <w:ilvl w:val="0"/>
          <w:numId w:val="4"/>
        </w:numPr>
        <w:tabs>
          <w:tab w:val="num" w:pos="720"/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Листом від 22.06.202 № 17-7884 (зареєстрованим у Комітеті 30.06.2021 за № 8-01/9107) Заявник як додаткові докази у Справі  надав   </w:t>
      </w:r>
      <w:bookmarkStart w:id="17" w:name="_Hlk76129652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висновок  № 1322  за результатами проведення експертизи об’єктів інтелектуальної власності (далі – Експертне дослідження 1), складений судовим експертом Коваленко Тетяною Вікторівною, старшим науковим співробітником Центру експертних досліджень Науково-дослідного інституту інтелектуальної власності Національної Академії наук України</w:t>
      </w:r>
      <w:bookmarkEnd w:id="17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(далі – ЦЕД НДІІІВ НАУ), а також висновок  № 1323 за результатами проведення експертизи об’єктів інтелектуальної власності (далі – Експертне дослідження 2), складений експертом Дорошенком Олександром Федоровичем, директором ЦЕД НДІІІВ НАУ. </w:t>
      </w:r>
    </w:p>
    <w:p w:rsidR="00BC069E" w:rsidRPr="00BC069E" w:rsidRDefault="00BC069E" w:rsidP="00BC069E">
      <w:pPr>
        <w:numPr>
          <w:ilvl w:val="0"/>
          <w:numId w:val="4"/>
        </w:numPr>
        <w:tabs>
          <w:tab w:val="num" w:pos="720"/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bookmarkStart w:id="18" w:name="_Hlk76129936"/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Результат Експертного дослідження 1 містить такий висновок: 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>«1. Етикетки паперу туалетного «65 Чесних метрів», які використовує ТОВ «Виробнича Компанія «Альбатрос» є схожими з етикетками «Обухів 65», які використовує для пакування рулончиків паперу туалетного ПрАТ «Київський КПК» настільки, що їх можна сплутати.</w:t>
      </w:r>
    </w:p>
    <w:p w:rsidR="00BC069E" w:rsidRPr="00BC069E" w:rsidRDefault="00BC069E" w:rsidP="00BC069E">
      <w:pPr>
        <w:widowControl w:val="0"/>
        <w:numPr>
          <w:ilvl w:val="0"/>
          <w:numId w:val="21"/>
        </w:num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right="134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bookmarkStart w:id="19" w:name="_Hlk76132086"/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>Оформлення етикетки паперу туалетного «65</w:t>
      </w:r>
      <w:r w:rsidR="00842808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 xml:space="preserve"> Чесних метрів» виробництва ТОВ </w:t>
      </w: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 xml:space="preserve">«Виробнича Компанія «Альбатрос» є таким, що може ввести в оману щодо діяльності особи, яка виробляє товари 16 класу МКТП папір туалетний «Обухів 65», а саме щодо діяльності </w:t>
      </w: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br/>
        <w:t xml:space="preserve">ПрАТ «Київський КПК», власника </w:t>
      </w:r>
      <w:proofErr w:type="spellStart"/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>свідоцтв</w:t>
      </w:r>
      <w:proofErr w:type="spellEnd"/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 xml:space="preserve"> України на знаки для товарів та послуг…. за сукупністю позначень, що входять до складу етикетки паперу туалетного «65 Чесних метрів» виробництва ТОВ «Виробнича Компанія «Альбатрос»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</w:t>
      </w:r>
    </w:p>
    <w:bookmarkEnd w:id="18"/>
    <w:bookmarkEnd w:id="19"/>
    <w:p w:rsidR="00BC069E" w:rsidRPr="00BC069E" w:rsidRDefault="00BC069E" w:rsidP="00BC069E">
      <w:pPr>
        <w:numPr>
          <w:ilvl w:val="0"/>
          <w:numId w:val="4"/>
        </w:numPr>
        <w:tabs>
          <w:tab w:val="num" w:pos="720"/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360" w:hanging="360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Результат Експертного дослідження 2 містить такий висновок: </w:t>
      </w:r>
    </w:p>
    <w:p w:rsidR="00BC069E" w:rsidRPr="00BC069E" w:rsidRDefault="00BC069E" w:rsidP="00BC069E">
      <w:p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>«1. Етикетки паперу туалетного « 60 Чесних метрів», які використовує ТОВ «Виробнича Компанія «Альбатрос» є схожими з етикетками «Обухів 65», які використовує для пакування рулончиків паперу туалетного ПрАТ «Київський КПК» настільки, що їх можна сплутати.</w:t>
      </w:r>
    </w:p>
    <w:p w:rsidR="00BC069E" w:rsidRPr="00BC069E" w:rsidRDefault="00BC069E" w:rsidP="00BC069E">
      <w:pPr>
        <w:widowControl w:val="0"/>
        <w:numPr>
          <w:ilvl w:val="0"/>
          <w:numId w:val="22"/>
        </w:num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right="134" w:hanging="357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>Оформлення етикетки паперу туалетного «60</w:t>
      </w:r>
      <w:r w:rsidR="00842808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 xml:space="preserve"> Чесних метрів» виробництва </w:t>
      </w:r>
      <w:r w:rsidR="00842808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lastRenderedPageBreak/>
        <w:t>ТОВ </w:t>
      </w: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 xml:space="preserve">«Виробнича Компанія «Альбатрос» є таким, що може ввести в оману щодо діяльності особи, яка виробляє товари 16 класу МКТП папір туалетний «Обухів 65», а саме щодо діяльності ПрАТ «Київський КПК», власника </w:t>
      </w:r>
      <w:proofErr w:type="spellStart"/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>свідоцтв</w:t>
      </w:r>
      <w:proofErr w:type="spellEnd"/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 xml:space="preserve"> України на знаки для товарів та послуг…. за сукупністю позначень, що входять до складу етикетки паперу туалетного «65 Чесних метрів» виробництва ТОВ «Виробнича Компанія «Альбатрос»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tabs>
          <w:tab w:val="num" w:pos="720"/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360" w:hanging="357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Результати Експертного дослідження 1 та Експертного дослідження 2 також свідчать про можливість змішування діяльності Відповідача з господарською діяльністю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br/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» в результаті дій ТОВ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«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ВК «Альбатрос» із використання оформлення упаковки Продукції 1 та Продукції 2 у господарській діяльності.</w:t>
      </w:r>
    </w:p>
    <w:p w:rsidR="00BC069E" w:rsidRPr="00BC069E" w:rsidRDefault="00BC069E" w:rsidP="00BC069E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57" w:right="13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BC069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7.  ВИСНОВКИ КОМІТЕТУ ТА КВАЛІФІКАЦІЯ ДІЙ ВІДПОВІДАЧА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Згідно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зі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статтею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3 Закону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Антимонопольний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комітет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»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основним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завданням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є участь у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формуванні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реалізації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конкурентної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політики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зокрема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, в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частині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здійснення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державного контролю за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дотриманням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законодавства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захист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економічної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uk-UA"/>
        </w:rPr>
        <w:t>конкуренції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Відповідно до частини першої статті 7 Закону України «Про Антимонопольний комітет України»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справами; при розгляді заяв і справ про порушення законодавства про захист економічної конкуренції, проведенні перевірки та в інших передбачених законом випадках вимагати від суб'єктів господарювання, об'єднань, органів влади, органів місцевого самоврядування, органів адміністративно-господарського управління та контролю, їх посадових осіб і працівників, інших фізичних та юридичних осіб інформацію</w:t>
      </w:r>
      <w:r w:rsidRPr="00BC069E">
        <w:rPr>
          <w:rFonts w:ascii="Times New Roman" w:hAnsi="Times New Roman" w:cs="Times New Roman"/>
          <w:i/>
          <w:sz w:val="24"/>
          <w:szCs w:val="24"/>
          <w:lang w:val="uk-UA" w:eastAsia="uk-UA"/>
        </w:rPr>
        <w:t xml:space="preserve">, </w:t>
      </w:r>
      <w:r w:rsidRPr="00BC069E">
        <w:rPr>
          <w:rFonts w:ascii="Times New Roman" w:hAnsi="Times New Roman" w:cs="Times New Roman"/>
          <w:sz w:val="24"/>
          <w:szCs w:val="24"/>
          <w:lang w:val="uk-UA" w:eastAsia="uk-UA"/>
        </w:rPr>
        <w:t>в тому числі з обмеженим доступом.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Відповідно до статті 4 Закону неправомірним є використання імені, комерційного (фірмового) найменування, торговельної марки (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/>
        </w:rPr>
        <w:t>знака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товарів і послуг), рекламних матеріалів, оформлення упаковки товарів і періодичних видань, інших позначень без дозволу (згоди) суб’єкта господарювання, який раніше почав використовувати їх або схожі на них позначення у господарській діяльності, що призвело чи може призвести до змішування з діяльністю цього суб’єкта господарювання.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Комітетом встановлено, що Заявник раніше за Відповідача почав використовувати оформлення упаковки Продукції. 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eastAsia="Calibri" w:hAnsi="Times New Roman" w:cs="BALTICA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     Зазначене підтверджується, зокрема,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копіями договорів на поставку Заявником Продукції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br/>
        <w:t xml:space="preserve">№ 1052/41/1208 від 23.12.2008 та </w:t>
      </w:r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№ П1656 </w:t>
      </w:r>
      <w:proofErr w:type="spellStart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>від</w:t>
      </w:r>
      <w:proofErr w:type="spellEnd"/>
      <w:r w:rsidRPr="00BC069E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11.10.2008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(долученими до Додатка до </w:t>
      </w: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br/>
        <w:t xml:space="preserve">Листа 1). </w:t>
      </w:r>
    </w:p>
    <w:p w:rsidR="00BC069E" w:rsidRP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BALTICA"/>
          <w:sz w:val="24"/>
          <w:szCs w:val="24"/>
          <w:lang w:val="uk-UA" w:eastAsia="uk-UA"/>
        </w:rPr>
        <w:t xml:space="preserve">       Відповідач, у свою чергу, розпочав виробництво Продукції 1 з травня 2019 року та Продукції  - із червня 2019 року, що підтверджується наданою Товариством копією договору поставки від 01.04.2019 № 13/5.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Здійснюючи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реалізацію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з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використанням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оформлення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упаковки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(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відповідно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до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наявних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у Комітеті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підтвердних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документів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) з 2008 року,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Заявник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має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пріоритет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на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використання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зазначеного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оформлення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упаковки.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Тривалий та безперервний строк реалізації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ПрАТ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КПК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» 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продукції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під позначенням «Обухів 65</w:t>
      </w:r>
      <w:r w:rsidRPr="00BC069E">
        <w:rPr>
          <w:rFonts w:ascii="Times New Roman" w:eastAsia="Calibri" w:hAnsi="Times New Roman" w:cs="Times New Roman"/>
          <w:sz w:val="24"/>
          <w:szCs w:val="24"/>
          <w:vertAlign w:val="superscript"/>
          <w:lang w:val="uk-UA" w:eastAsia="uk-UA"/>
        </w:rPr>
        <w:t>М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 і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з використанням оформлення упаковки, зображеної на фотокопії 1, </w:t>
      </w:r>
      <w:r w:rsidRPr="00BC069E">
        <w:rPr>
          <w:rFonts w:ascii="Times New Roman" w:hAnsi="Times New Roman" w:cs="Times New Roman"/>
          <w:sz w:val="24"/>
          <w:szCs w:val="24"/>
          <w:lang w:val="uk-UA" w:eastAsia="uk-UA"/>
        </w:rPr>
        <w:t>допомогли Заявнику здобути велику кількість споживачів та контрагентів та набути позитивної ділової репутації.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lastRenderedPageBreak/>
        <w:t xml:space="preserve"> </w:t>
      </w:r>
      <w:r w:rsidRPr="00BC06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 зазначене свідчить надана Заявником інформація про те, що Продукція реалізується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через усі національні мережі супермаркетів та окремі мережі регіональних маркетів, а також через поштові відділення державного підприємства «Укрпошта».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Також на підтвердження напрацьованої ділової репутації ПрАТ «Київський КПК» надало, зокрема, копію диплому, виданого Заявникові як переможцю всеукраїнського конкурсу-виставки «Кращий вітчизняний товар 2009 року» в номінації «Виробництво продукції деревообробної та целюлозно-паперової промисловості «Туалетний папір торгової марки «Обухів 65».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 Матеріали Справи свідчать про те, що оформлення упаковки продукції папір туалетний під позначенням «Обухів 65» виробництва Заявника та оформлення упаковки продукції папір туалетний під позначенням «65 чесних метрів» виробництва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Відповідача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 є схожим: за способом застосування домінуючих написів, за загальною композицією 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(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оформленням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упаковки) та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кольоровою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гамою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(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загальним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фоном та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кольором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написів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). 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 Зазначене підтверджується в тому числі результатами Опитування Комітету, відповідно до якого, зокрема, </w:t>
      </w:r>
      <w:r w:rsidRPr="00BC069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83,7 % респондентів вважають схожим зовнішнє оформлення упаковки Продукції 1 на зовнішнє оформленням упаковки Продукції, 75,4 % респондентів могли б придбати Продукцію </w:t>
      </w:r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сплутування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Продукцією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, а </w:t>
      </w:r>
      <w:r w:rsidRPr="00BC069E">
        <w:rPr>
          <w:rFonts w:ascii="Times New Roman" w:hAnsi="Times New Roman" w:cs="Times New Roman"/>
          <w:sz w:val="24"/>
          <w:szCs w:val="24"/>
          <w:lang w:val="uk-UA" w:eastAsia="ru-RU"/>
        </w:rPr>
        <w:t>в</w:t>
      </w:r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71,4%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респондентів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складається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09A6">
        <w:rPr>
          <w:rFonts w:ascii="Times New Roman" w:hAnsi="Times New Roman" w:cs="Times New Roman"/>
          <w:sz w:val="24"/>
          <w:szCs w:val="24"/>
          <w:lang w:val="uk-UA" w:eastAsia="ru-RU"/>
        </w:rPr>
        <w:t>враження</w:t>
      </w:r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виробник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1 один і той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самий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Оформлення упаковки продукції папір туалетний під позначенням «Обухів 65» виробництва Заявника та оформлення упаковки продукції папір туалетний під позначенням «60 чесних метрів» виробництва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Відповідача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 xml:space="preserve"> також є схожим: за способом застосування домінуючих написів, за загальною композицією 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(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оформленням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упаковки) та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кольоровою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гамою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(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загальним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фоном та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кольором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написів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).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hAnsi="Times New Roman" w:cs="Times New Roman"/>
          <w:spacing w:val="-7"/>
          <w:sz w:val="24"/>
          <w:szCs w:val="24"/>
          <w:lang w:val="uk-UA" w:eastAsia="uk-UA"/>
        </w:rPr>
        <w:t>Зазначене підтверджується в тому числі результатами Опитування Комітету, відповідно до якого, зокрема,</w:t>
      </w:r>
      <w:r w:rsidRPr="00BC069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72 % респондентів вважають, що зовнішнє оформлення упаковки Продукції 2 є схожим на зовнішнє оформлення упаковки Продукції, 63,4 % респондентів могли б придбати Продукцію </w:t>
      </w:r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сплутування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Продукцією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. У 62,8 </w:t>
      </w:r>
      <w:proofErr w:type="gram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% 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респондентів</w:t>
      </w:r>
      <w:proofErr w:type="spellEnd"/>
      <w:proofErr w:type="gram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складається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09A6">
        <w:rPr>
          <w:rFonts w:ascii="Times New Roman" w:hAnsi="Times New Roman" w:cs="Times New Roman"/>
          <w:sz w:val="24"/>
          <w:szCs w:val="24"/>
          <w:lang w:val="uk-UA" w:eastAsia="ru-RU"/>
        </w:rPr>
        <w:t>враження</w:t>
      </w:r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виробник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 xml:space="preserve"> 2 один і той </w:t>
      </w:r>
      <w:proofErr w:type="spellStart"/>
      <w:r w:rsidRPr="00BC069E">
        <w:rPr>
          <w:rFonts w:ascii="Times New Roman" w:hAnsi="Times New Roman" w:cs="Times New Roman"/>
          <w:sz w:val="24"/>
          <w:szCs w:val="24"/>
          <w:lang w:eastAsia="ru-RU"/>
        </w:rPr>
        <w:t>самий</w:t>
      </w:r>
      <w:proofErr w:type="spellEnd"/>
      <w:r w:rsidRPr="00BC069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C069E" w:rsidRPr="00BC069E" w:rsidRDefault="00BC069E" w:rsidP="00842808">
      <w:pPr>
        <w:widowControl w:val="0"/>
        <w:numPr>
          <w:ilvl w:val="0"/>
          <w:numId w:val="4"/>
        </w:numPr>
        <w:tabs>
          <w:tab w:val="num" w:pos="720"/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360" w:right="-1" w:hanging="360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 результатами Експертного дослідження 1 етикетки Продукції 1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є схожими на етикетки Продукції настільки, що їх можна сплутати, при цьому дії Товариства з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оформлення</w:t>
      </w: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етикеток Продукції 1 можуть вводити в оману  щодо діяльності Заявника як власника знаків для товарів та послуг, за сукупністю позначень, використаних в оформленні Продукції 1.</w:t>
      </w:r>
    </w:p>
    <w:p w:rsidR="00BC069E" w:rsidRPr="00BC069E" w:rsidRDefault="00BC069E" w:rsidP="00842808">
      <w:pPr>
        <w:widowControl w:val="0"/>
        <w:numPr>
          <w:ilvl w:val="0"/>
          <w:numId w:val="4"/>
        </w:numPr>
        <w:tabs>
          <w:tab w:val="num" w:pos="720"/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left="360" w:right="-1" w:hanging="360"/>
        <w:jc w:val="both"/>
        <w:textAlignment w:val="baseline"/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За результатами Експертного дослідження 2, етикетки Продукції 2 </w:t>
      </w:r>
      <w:r w:rsidRPr="00BC069E">
        <w:rPr>
          <w:rFonts w:ascii="Times New Roman" w:eastAsia="Calibri" w:hAnsi="Times New Roman" w:cs="Times New Roman"/>
          <w:spacing w:val="-4"/>
          <w:sz w:val="24"/>
          <w:szCs w:val="24"/>
          <w:lang w:val="uk-UA" w:eastAsia="uk-UA"/>
        </w:rPr>
        <w:t>є схожими з етикетками Продукції настільки, що їх можна сплутати, при цьому дії Товариства з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оформлення</w:t>
      </w:r>
      <w:r w:rsidRPr="00BC069E">
        <w:rPr>
          <w:rFonts w:ascii="Times New Roman" w:eastAsia="Calibri" w:hAnsi="Times New Roman" w:cs="Times New Roman"/>
          <w:i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етикеток Продукції 2 можуть вводити в оману  щодо діяльності Заявника як власника знаків для товарів та послуг, за сукупністю позначень, використаних у оформленні Продукції 2.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Отже, матеріалами Справи підтверджено, що дії Відповідача з використання в господарській діяльності оформлення Продукції 1 та Продукції 2 можуть призвести до змішування з господарською діяльністю </w:t>
      </w:r>
      <w:bookmarkStart w:id="20" w:name="_Hlk72751389"/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ПрАТ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>Київський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КПК»</w:t>
      </w:r>
      <w:bookmarkEnd w:id="20"/>
      <w:r w:rsidRPr="00BC069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внаслідок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використання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ділової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репутації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,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напрацьованої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Заявником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Заявник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не надавав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дозволів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(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згоди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)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Відповідачу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на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використання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оформлення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упаковки,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схожого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на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оформлення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упаковки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Продукції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папір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туалетний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під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позначенням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«</w:t>
      </w:r>
      <w:proofErr w:type="spellStart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>Обухів</w:t>
      </w:r>
      <w:proofErr w:type="spellEnd"/>
      <w:r w:rsidRPr="00BC069E">
        <w:rPr>
          <w:rFonts w:ascii="Times New Roman" w:hAnsi="Times New Roman" w:cs="Times New Roman"/>
          <w:spacing w:val="-7"/>
          <w:sz w:val="24"/>
          <w:szCs w:val="24"/>
          <w:lang w:eastAsia="uk-UA"/>
        </w:rPr>
        <w:t xml:space="preserve"> 65».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Відтак дії  Відповідача у вигляді використання без дозволу Заявника під час виробництва та реалізації 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>продукції папір туалетний під позначенням «65 чесних метрів» та продукції папір туалетний під позначенням «60 чесних метрів»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оформлення упаковки,  схожого на оформлення упаковки продукції 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папір туалетний під позначенням «Обухів 65» </w:t>
      </w:r>
      <w:r w:rsidR="00842808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виробництва </w:t>
      </w:r>
      <w:r w:rsidR="00842808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lastRenderedPageBreak/>
        <w:t>ПрАТ 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«Київський КПК», яке раніше почало використовувати його у своїй господарській діяльності, можуть призвести до змішування з діяльністю Заявника, отже, є порушенням, передбаченим статтею 4 Закону.</w:t>
      </w:r>
    </w:p>
    <w:p w:rsidR="00BC069E" w:rsidRPr="00BC069E" w:rsidRDefault="00BC069E" w:rsidP="00BC06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>Відповідач Листом 2 та Листом 3 повідомив про те, що Продукцію 1 та Продукцію 2 не виробляє, водночас підтвердних документів щодо зняття з виробництва Продукції 1 та Продукції 2 (наказів про припинення виробництва спірної продукції, розпоряджень Товариства тощо) не надав.</w:t>
      </w:r>
    </w:p>
    <w:p w:rsidR="00BC069E" w:rsidRDefault="00BC069E" w:rsidP="00BC069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pacing w:val="-7"/>
          <w:sz w:val="24"/>
          <w:szCs w:val="24"/>
          <w:lang w:val="uk-UA" w:eastAsia="uk-UA"/>
        </w:rPr>
        <w:t>8. ВИЗНАЧЕННЯ ВІДПОВІДАЛЬНОСТІ ВІДПОВІДАЧА</w:t>
      </w:r>
    </w:p>
    <w:p w:rsidR="00BC069E" w:rsidRDefault="00BC069E" w:rsidP="0023176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Згідно зі статтею 30 Закону органи Антимонопольного комітету України у справах про недобросовісну конкуренцію приймають обов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’</w:t>
      </w:r>
      <w:r>
        <w:rPr>
          <w:rFonts w:ascii="Times New Roman" w:hAnsi="Times New Roman"/>
          <w:bCs/>
          <w:sz w:val="24"/>
          <w:szCs w:val="24"/>
          <w:lang w:val="uk-UA"/>
        </w:rPr>
        <w:t>язкові для виконання рішення, зокрема, про визнання факту недобросовісної конкуренції, припинення недобросовісної конкуренції, накладання штрафів.</w:t>
      </w:r>
    </w:p>
    <w:p w:rsidR="00BC069E" w:rsidRDefault="00BC069E" w:rsidP="0023176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Відповідно до статті 20 Закону вчинення дій, визначених цим Законом як недобросовісна конкуренція, тягне за собою відповідальність, передбачену цим Законом.</w:t>
      </w:r>
    </w:p>
    <w:p w:rsidR="00BC069E" w:rsidRDefault="00BC069E" w:rsidP="0023176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Відповідно до частини першої статті 21 Закону вчинення суб’єктами господарювання дій, визначених цим Законом як недобросовісна конкуренція, тягне за собою накладення штрафу у розмірі до п’яти відсотків доходу (виручки) від реалізації продукції (товарів, робіт, послуг) суб’єкта господарювання за останній звітний рік, що передував року, в якому накладається штраф.</w:t>
      </w:r>
    </w:p>
    <w:p w:rsidR="00BC069E" w:rsidRDefault="00BC069E" w:rsidP="0023176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bookmarkStart w:id="21" w:name="_Hlk87967435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 інформацією, наданою Державною фіскальною службою України листом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  <w:t>від 15.07.2021 № 8896/5/99-00-18-04-01-05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Комітету № 7-01/10009 від 15.07.2021), чистий дохід від реалізації продукції (товарів, робіт, послуг)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ТОВ «ВК «Альбатрос»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>за 2020 рік становив 257 531 500 грн (двісті п’ятдесят  сім мільйонів п’ятсот тридцять одна тисяча п’ятсот) грн.</w:t>
      </w:r>
    </w:p>
    <w:p w:rsidR="00BC069E" w:rsidRDefault="00BC069E" w:rsidP="00BC069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2" w:name="_Hlk87969373"/>
      <w:bookmarkEnd w:id="21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Враховуючи викладене, керуючись статтею 7 Закону України «Про Антимонопольний комітет України», статтями 21, 27 і 30 Закону України «Про захист від недобросовісної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</w:t>
      </w:r>
      <w:r w:rsidR="0084280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Міністерстві юстиції України 6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травня 1994 року за № 90/299 (у редакції розпорядження Антимонопольного комітету України від 29 червня 1998 року № 169-р) (із змінами), Антимонопольний комітет України</w:t>
      </w:r>
    </w:p>
    <w:bookmarkEnd w:id="22"/>
    <w:p w:rsidR="00BC069E" w:rsidRDefault="00BC069E" w:rsidP="00BC069E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</w:p>
    <w:p w:rsidR="00BC069E" w:rsidRDefault="00BC069E" w:rsidP="00BC069E">
      <w:pPr>
        <w:tabs>
          <w:tab w:val="left" w:pos="1260"/>
          <w:tab w:val="left" w:pos="93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lang w:val="uk-UA" w:eastAsia="uk-UA"/>
        </w:rPr>
        <w:t xml:space="preserve">ПОСТАНОВИВ: </w:t>
      </w:r>
    </w:p>
    <w:p w:rsidR="00BC069E" w:rsidRDefault="00BC069E" w:rsidP="00BC069E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12"/>
          <w:szCs w:val="12"/>
          <w:lang w:val="uk-UA" w:eastAsia="uk-UA"/>
        </w:rPr>
      </w:pPr>
    </w:p>
    <w:p w:rsidR="00BC069E" w:rsidRPr="00B470B8" w:rsidRDefault="00BC069E" w:rsidP="00B470B8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before="120" w:after="120" w:line="240" w:lineRule="auto"/>
        <w:ind w:left="538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Визнати дії товариства з обмеженою відповідальністю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Пейпер-Прод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</w:t>
      </w:r>
      <w:r>
        <w:rPr>
          <w:rFonts w:ascii="Times New Roman" w:eastAsia="Calibri" w:hAnsi="Times New Roman" w:cs="Times New Roman"/>
          <w:spacing w:val="-5"/>
          <w:sz w:val="24"/>
          <w:szCs w:val="24"/>
          <w:lang w:val="uk-UA" w:eastAsia="uk-UA"/>
        </w:rPr>
        <w:t>(ідентифікаційний код юридичної особи 41501062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) порушенням, </w:t>
      </w:r>
      <w:bookmarkStart w:id="23" w:name="_Hlk79744008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передбаченим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статтею 4 Закону України «Про захист від недобросовісної конкуренції»,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у вигляді використання у господарській діяльності без дозволу (згоди) приватного акціонерного товариства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«Київський картонно-паперовий комбінат» (ідентифікаційний код юридичної особи 05509659) </w:t>
      </w:r>
      <w:bookmarkStart w:id="24" w:name="_Hlk72758019"/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оформлень упаковки</w:t>
      </w:r>
      <w:bookmarkEnd w:id="24"/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продукції папір туалетний під позначенням «65 чесних метрів» та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упаковки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 продукції папір туалетний під позначенням «60 чесних метрів», </w:t>
      </w:r>
      <w:bookmarkStart w:id="25" w:name="_Hlk72758074"/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схожих на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оформлення упаковки продукції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папір туалетний під позначенням «Обухів 65»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виробництва приватного акціонерного товариства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«Київський картонно-паперов</w:t>
      </w:r>
      <w:r w:rsidR="0084280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ий комбінат» (Київська обл., м. 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Обухів, ідентифікаційний код юридичної особи 05509659)</w:t>
      </w:r>
      <w:bookmarkEnd w:id="25"/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, що може призвести до змішування з його діяльністю.</w:t>
      </w:r>
      <w:bookmarkEnd w:id="23"/>
    </w:p>
    <w:p w:rsidR="00BC069E" w:rsidRPr="00B470B8" w:rsidRDefault="00BC069E" w:rsidP="00B470B8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before="120" w:after="120" w:line="240" w:lineRule="auto"/>
        <w:ind w:left="538" w:hanging="357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 порушення, зазначене в пункті 1 резолютивної частини цього рішення, відповідно до частини першої статті 21 Закону України «Про захист від недобросовісної конкуренції»</w:t>
      </w:r>
      <w:r w:rsidR="00B470B8" w:rsidRPr="00B470B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накласти на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товариство з обмеженою відповідальністю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Пейпер-Прод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» </w:t>
      </w:r>
      <w:r w:rsidR="00B470B8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lastRenderedPageBreak/>
        <w:t xml:space="preserve">штраф у розмірі 2 </w:t>
      </w:r>
      <w:r>
        <w:rPr>
          <w:rFonts w:ascii="Times New Roman" w:hAnsi="Times New Roman" w:cs="Times New Roman"/>
          <w:sz w:val="24"/>
          <w:szCs w:val="24"/>
        </w:rPr>
        <w:t>085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733 (два м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льйони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вісімдесят п’ять тисяч сімсот тридцять три)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гривні.</w:t>
      </w:r>
    </w:p>
    <w:p w:rsidR="00BC069E" w:rsidRDefault="00BC069E" w:rsidP="00B470B8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Зобов’язати 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товариство з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обмеженою відповідальністю «</w:t>
      </w:r>
      <w:proofErr w:type="spellStart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Пейпер-Прод</w:t>
      </w:r>
      <w:proofErr w:type="spellEnd"/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припинити у  місячний строк із дня одержання цього рішення використання оформлення упаковки 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продукції папір туалетний під позначенням «65 чесних метрів» та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упаковки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 xml:space="preserve"> продукції папір туалетний під позначенням «60 чесних метрів»,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схожого на оформлення упаковки продукції </w:t>
      </w:r>
      <w:r w:rsidRPr="00BC069E"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>папір туалетний під позначенням «Обухів 65»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, без дозволу приватного акціонерного товариства </w:t>
      </w:r>
      <w:r w:rsidRPr="00BC069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«Київський картонно-паперовий комбінат», </w:t>
      </w:r>
      <w:r w:rsidRPr="00BC069E"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яке раніше почало використовувати таке оформлення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 xml:space="preserve"> в господарській діяльності для продукції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 w:eastAsia="uk-UA"/>
        </w:rPr>
        <w:t>папір туалетний під позначенням «Обухів 65»</w:t>
      </w:r>
      <w:r>
        <w:rPr>
          <w:rFonts w:ascii="Times New Roman" w:eastAsia="Calibri" w:hAnsi="Times New Roman" w:cs="Times New Roman"/>
          <w:spacing w:val="-7"/>
          <w:sz w:val="24"/>
          <w:szCs w:val="24"/>
          <w:lang w:val="uk-UA" w:eastAsia="uk-UA"/>
        </w:rPr>
        <w:t>.</w:t>
      </w:r>
    </w:p>
    <w:p w:rsidR="00BC069E" w:rsidRDefault="00BC069E" w:rsidP="00842808">
      <w:pPr>
        <w:pStyle w:val="aa"/>
        <w:tabs>
          <w:tab w:val="left" w:pos="0"/>
        </w:tabs>
        <w:adjustRightInd w:val="0"/>
        <w:spacing w:before="240" w:after="240"/>
        <w:ind w:left="0" w:firstLine="567"/>
        <w:rPr>
          <w:sz w:val="24"/>
          <w:szCs w:val="24"/>
          <w:lang w:eastAsia="ru-RU"/>
        </w:rPr>
      </w:pPr>
      <w:r>
        <w:rPr>
          <w:rFonts w:eastAsia="Calibri"/>
          <w:spacing w:val="-7"/>
          <w:sz w:val="24"/>
          <w:szCs w:val="24"/>
          <w:lang w:eastAsia="uk-UA"/>
        </w:rPr>
        <w:t>Товариству з обмеженою відповідальністю «</w:t>
      </w:r>
      <w:proofErr w:type="spellStart"/>
      <w:r>
        <w:rPr>
          <w:rFonts w:eastAsia="Calibri"/>
          <w:sz w:val="24"/>
          <w:szCs w:val="24"/>
          <w:lang w:eastAsia="uk-UA"/>
        </w:rPr>
        <w:t>Пейпер-Прод</w:t>
      </w:r>
      <w:proofErr w:type="spellEnd"/>
      <w:r>
        <w:rPr>
          <w:rFonts w:eastAsia="Calibri"/>
          <w:sz w:val="24"/>
          <w:szCs w:val="24"/>
          <w:lang w:eastAsia="uk-UA"/>
        </w:rPr>
        <w:t xml:space="preserve">» </w:t>
      </w:r>
      <w:r>
        <w:rPr>
          <w:sz w:val="24"/>
          <w:szCs w:val="24"/>
          <w:lang w:eastAsia="ru-RU"/>
        </w:rPr>
        <w:t xml:space="preserve">повідомити про виконання зобов’язання, викладеного в пункті 3 резолютивної частини цього рішення, протягом </w:t>
      </w:r>
      <w:r w:rsidR="009E44CA" w:rsidRPr="009E44CA">
        <w:rPr>
          <w:sz w:val="24"/>
          <w:szCs w:val="24"/>
          <w:lang w:eastAsia="ru-RU"/>
        </w:rPr>
        <w:t>двох</w:t>
      </w:r>
      <w:r>
        <w:rPr>
          <w:sz w:val="24"/>
          <w:szCs w:val="24"/>
          <w:lang w:eastAsia="ru-RU"/>
        </w:rPr>
        <w:t xml:space="preserve"> місяців із дня одержання рішення.</w:t>
      </w:r>
    </w:p>
    <w:p w:rsidR="00BC069E" w:rsidRDefault="00BC069E" w:rsidP="00BC069E">
      <w:pPr>
        <w:pStyle w:val="aa"/>
        <w:ind w:left="540" w:firstLine="0"/>
        <w:rPr>
          <w:sz w:val="24"/>
          <w:szCs w:val="24"/>
        </w:rPr>
      </w:pPr>
      <w:r>
        <w:rPr>
          <w:sz w:val="24"/>
          <w:szCs w:val="24"/>
        </w:rPr>
        <w:t>Штраф підлягає сплаті у двомісячний строк з дня одержання рішення.</w:t>
      </w:r>
    </w:p>
    <w:p w:rsidR="00BC069E" w:rsidRDefault="00BC069E" w:rsidP="00BC069E">
      <w:pPr>
        <w:pStyle w:val="aa"/>
        <w:ind w:left="540" w:firstLine="0"/>
        <w:rPr>
          <w:sz w:val="24"/>
          <w:szCs w:val="24"/>
        </w:rPr>
      </w:pPr>
    </w:p>
    <w:p w:rsidR="00BC069E" w:rsidRDefault="00BC069E" w:rsidP="00842808">
      <w:pPr>
        <w:pStyle w:val="aa"/>
        <w:ind w:left="0" w:firstLine="540"/>
        <w:rPr>
          <w:sz w:val="24"/>
          <w:szCs w:val="24"/>
        </w:rPr>
      </w:pPr>
      <w:r>
        <w:rPr>
          <w:sz w:val="24"/>
          <w:szCs w:val="24"/>
        </w:rPr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:rsidR="00BC069E" w:rsidRDefault="00BC069E" w:rsidP="00BC069E">
      <w:pPr>
        <w:pStyle w:val="aa"/>
        <w:ind w:left="540" w:firstLine="0"/>
        <w:rPr>
          <w:sz w:val="24"/>
          <w:szCs w:val="24"/>
        </w:rPr>
      </w:pPr>
    </w:p>
    <w:p w:rsidR="00BC069E" w:rsidRDefault="00842808" w:rsidP="00842808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BC069E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може бути оскаржене до господарського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суду міста Києва у двомісячний </w:t>
      </w:r>
      <w:r w:rsidR="00BC069E">
        <w:rPr>
          <w:rFonts w:ascii="Times New Roman" w:eastAsia="Times New Roman" w:hAnsi="Times New Roman" w:cs="Times New Roman"/>
          <w:sz w:val="24"/>
          <w:szCs w:val="24"/>
          <w:lang w:val="uk-UA"/>
        </w:rPr>
        <w:t>строк з</w:t>
      </w:r>
      <w:r w:rsidR="00BC069E">
        <w:rPr>
          <w:sz w:val="24"/>
          <w:szCs w:val="24"/>
        </w:rPr>
        <w:t xml:space="preserve"> </w:t>
      </w:r>
      <w:r w:rsidR="00BC069E">
        <w:rPr>
          <w:rFonts w:ascii="Times New Roman" w:eastAsia="Times New Roman" w:hAnsi="Times New Roman" w:cs="Times New Roman"/>
          <w:sz w:val="24"/>
          <w:szCs w:val="24"/>
          <w:lang w:val="uk-UA"/>
        </w:rPr>
        <w:t>дня його одержання.</w:t>
      </w:r>
    </w:p>
    <w:p w:rsidR="00BC069E" w:rsidRDefault="00BC069E" w:rsidP="00BC069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BC069E" w:rsidRDefault="00BC069E" w:rsidP="00BC069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Комітету                                                                                </w:t>
      </w:r>
      <w:r w:rsidR="0084280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Ольга  ПІЩАНСЬКА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32030" w:rsidRDefault="00532030" w:rsidP="00BC069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</w:p>
    <w:sectPr w:rsidR="00532030" w:rsidSect="009A5477"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1B7" w:rsidRDefault="005771B7" w:rsidP="00467AB8">
      <w:pPr>
        <w:spacing w:after="0" w:line="240" w:lineRule="auto"/>
      </w:pPr>
      <w:r>
        <w:separator/>
      </w:r>
    </w:p>
  </w:endnote>
  <w:endnote w:type="continuationSeparator" w:id="0">
    <w:p w:rsidR="005771B7" w:rsidRDefault="005771B7" w:rsidP="00467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1B7" w:rsidRDefault="005771B7" w:rsidP="00467AB8">
      <w:pPr>
        <w:spacing w:after="0" w:line="240" w:lineRule="auto"/>
      </w:pPr>
      <w:r>
        <w:separator/>
      </w:r>
    </w:p>
  </w:footnote>
  <w:footnote w:type="continuationSeparator" w:id="0">
    <w:p w:rsidR="005771B7" w:rsidRDefault="005771B7" w:rsidP="00467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2949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67AB8" w:rsidRPr="009A5477" w:rsidRDefault="00467AB8">
        <w:pPr>
          <w:pStyle w:val="a3"/>
          <w:jc w:val="center"/>
          <w:rPr>
            <w:rFonts w:ascii="Times New Roman" w:hAnsi="Times New Roman" w:cs="Times New Roman"/>
          </w:rPr>
        </w:pPr>
        <w:r w:rsidRPr="009A5477">
          <w:rPr>
            <w:rFonts w:ascii="Times New Roman" w:hAnsi="Times New Roman" w:cs="Times New Roman"/>
          </w:rPr>
          <w:fldChar w:fldCharType="begin"/>
        </w:r>
        <w:r w:rsidRPr="009A5477">
          <w:rPr>
            <w:rFonts w:ascii="Times New Roman" w:hAnsi="Times New Roman" w:cs="Times New Roman"/>
          </w:rPr>
          <w:instrText>PAGE   \* MERGEFORMAT</w:instrText>
        </w:r>
        <w:r w:rsidRPr="009A5477">
          <w:rPr>
            <w:rFonts w:ascii="Times New Roman" w:hAnsi="Times New Roman" w:cs="Times New Roman"/>
          </w:rPr>
          <w:fldChar w:fldCharType="separate"/>
        </w:r>
        <w:r w:rsidR="00D525CC" w:rsidRPr="00D525CC">
          <w:rPr>
            <w:rFonts w:ascii="Times New Roman" w:hAnsi="Times New Roman" w:cs="Times New Roman"/>
            <w:noProof/>
            <w:lang w:val="ru-RU"/>
          </w:rPr>
          <w:t>14</w:t>
        </w:r>
        <w:r w:rsidRPr="009A5477">
          <w:rPr>
            <w:rFonts w:ascii="Times New Roman" w:hAnsi="Times New Roman" w:cs="Times New Roman"/>
          </w:rPr>
          <w:fldChar w:fldCharType="end"/>
        </w:r>
      </w:p>
    </w:sdtContent>
  </w:sdt>
  <w:p w:rsidR="00467AB8" w:rsidRDefault="00467A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54EC"/>
    <w:multiLevelType w:val="hybridMultilevel"/>
    <w:tmpl w:val="887A2914"/>
    <w:lvl w:ilvl="0" w:tplc="DAFA3130">
      <w:start w:val="20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9B93B13"/>
    <w:multiLevelType w:val="hybridMultilevel"/>
    <w:tmpl w:val="B34E6106"/>
    <w:lvl w:ilvl="0" w:tplc="DB4A4D08">
      <w:start w:val="1"/>
      <w:numFmt w:val="decimal"/>
      <w:suff w:val="space"/>
      <w:lvlText w:val="(%1)"/>
      <w:lvlJc w:val="left"/>
      <w:pPr>
        <w:ind w:left="113" w:firstLine="284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04F57"/>
    <w:multiLevelType w:val="hybridMultilevel"/>
    <w:tmpl w:val="47B0847A"/>
    <w:lvl w:ilvl="0" w:tplc="34D2CC8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DAC9602">
      <w:start w:val="5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39808FC">
      <w:start w:val="1"/>
      <w:numFmt w:val="decimal"/>
      <w:lvlText w:val="%4."/>
      <w:lvlJc w:val="left"/>
      <w:pPr>
        <w:tabs>
          <w:tab w:val="num" w:pos="2445"/>
        </w:tabs>
        <w:ind w:left="2445" w:hanging="645"/>
      </w:pPr>
      <w:rPr>
        <w:rFonts w:ascii="Times New Roman" w:eastAsia="Times New Roman" w:hAnsi="Times New Roman" w:cs="Times New Roman"/>
        <w:b/>
      </w:rPr>
    </w:lvl>
    <w:lvl w:ilvl="4" w:tplc="042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A71DA1"/>
    <w:multiLevelType w:val="hybridMultilevel"/>
    <w:tmpl w:val="91B2D682"/>
    <w:lvl w:ilvl="0" w:tplc="17B279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FC59E1"/>
    <w:multiLevelType w:val="hybridMultilevel"/>
    <w:tmpl w:val="8D206D80"/>
    <w:lvl w:ilvl="0" w:tplc="2B9ED86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A670CE2"/>
    <w:multiLevelType w:val="hybridMultilevel"/>
    <w:tmpl w:val="B5307D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E86371D"/>
    <w:multiLevelType w:val="hybridMultilevel"/>
    <w:tmpl w:val="33B893E8"/>
    <w:lvl w:ilvl="0" w:tplc="2290690C">
      <w:start w:val="2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  <w:b/>
        <w:color w:val="000000"/>
      </w:rPr>
    </w:lvl>
    <w:lvl w:ilvl="1" w:tplc="63C01F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F70C0F"/>
    <w:multiLevelType w:val="hybridMultilevel"/>
    <w:tmpl w:val="D92CE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936D1"/>
    <w:multiLevelType w:val="hybridMultilevel"/>
    <w:tmpl w:val="8DF2F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355F"/>
    <w:multiLevelType w:val="singleLevel"/>
    <w:tmpl w:val="6FFC780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i w:val="0"/>
        <w:sz w:val="24"/>
        <w:u w:val="none"/>
      </w:rPr>
    </w:lvl>
  </w:abstractNum>
  <w:abstractNum w:abstractNumId="10" w15:restartNumberingAfterBreak="0">
    <w:nsid w:val="36603597"/>
    <w:multiLevelType w:val="hybridMultilevel"/>
    <w:tmpl w:val="4D46F054"/>
    <w:lvl w:ilvl="0" w:tplc="A5424AFC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0B51CA9"/>
    <w:multiLevelType w:val="hybridMultilevel"/>
    <w:tmpl w:val="FA5653FA"/>
    <w:lvl w:ilvl="0" w:tplc="17B279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5C0294"/>
    <w:multiLevelType w:val="singleLevel"/>
    <w:tmpl w:val="6FFC780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i w:val="0"/>
        <w:sz w:val="24"/>
        <w:u w:val="none"/>
      </w:rPr>
    </w:lvl>
  </w:abstractNum>
  <w:abstractNum w:abstractNumId="13" w15:restartNumberingAfterBreak="0">
    <w:nsid w:val="55E036EC"/>
    <w:multiLevelType w:val="hybridMultilevel"/>
    <w:tmpl w:val="91B2D682"/>
    <w:lvl w:ilvl="0" w:tplc="17B279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E33DAE"/>
    <w:multiLevelType w:val="hybridMultilevel"/>
    <w:tmpl w:val="7F4857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F641E"/>
    <w:multiLevelType w:val="hybridMultilevel"/>
    <w:tmpl w:val="28800406"/>
    <w:lvl w:ilvl="0" w:tplc="486E22E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61DD154D"/>
    <w:multiLevelType w:val="hybridMultilevel"/>
    <w:tmpl w:val="EEBEB172"/>
    <w:lvl w:ilvl="0" w:tplc="17B279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3B10B4"/>
    <w:multiLevelType w:val="hybridMultilevel"/>
    <w:tmpl w:val="725835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A3B98"/>
    <w:multiLevelType w:val="hybridMultilevel"/>
    <w:tmpl w:val="3F400DFA"/>
    <w:lvl w:ilvl="0" w:tplc="04323512">
      <w:start w:val="1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D3950"/>
    <w:multiLevelType w:val="hybridMultilevel"/>
    <w:tmpl w:val="55EEE656"/>
    <w:lvl w:ilvl="0" w:tplc="958CBEC8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22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8192BC7"/>
    <w:multiLevelType w:val="hybridMultilevel"/>
    <w:tmpl w:val="4100084C"/>
    <w:lvl w:ilvl="0" w:tplc="9736981C">
      <w:start w:val="1"/>
      <w:numFmt w:val="decimal"/>
      <w:lvlText w:val="%1)"/>
      <w:lvlJc w:val="left"/>
      <w:pPr>
        <w:ind w:left="1026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uk-UA" w:eastAsia="en-US" w:bidi="ar-SA"/>
      </w:rPr>
    </w:lvl>
    <w:lvl w:ilvl="1" w:tplc="E6B07D3A">
      <w:numFmt w:val="bullet"/>
      <w:lvlText w:val="•"/>
      <w:lvlJc w:val="left"/>
      <w:pPr>
        <w:ind w:left="1904" w:hanging="360"/>
      </w:pPr>
      <w:rPr>
        <w:rFonts w:hint="default"/>
        <w:lang w:val="uk-UA" w:eastAsia="en-US" w:bidi="ar-SA"/>
      </w:rPr>
    </w:lvl>
    <w:lvl w:ilvl="2" w:tplc="86B2BAE8">
      <w:numFmt w:val="bullet"/>
      <w:lvlText w:val="•"/>
      <w:lvlJc w:val="left"/>
      <w:pPr>
        <w:ind w:left="2788" w:hanging="360"/>
      </w:pPr>
      <w:rPr>
        <w:rFonts w:hint="default"/>
        <w:lang w:val="uk-UA" w:eastAsia="en-US" w:bidi="ar-SA"/>
      </w:rPr>
    </w:lvl>
    <w:lvl w:ilvl="3" w:tplc="D4C2C6A0">
      <w:numFmt w:val="bullet"/>
      <w:lvlText w:val="•"/>
      <w:lvlJc w:val="left"/>
      <w:pPr>
        <w:ind w:left="3672" w:hanging="360"/>
      </w:pPr>
      <w:rPr>
        <w:rFonts w:hint="default"/>
        <w:lang w:val="uk-UA" w:eastAsia="en-US" w:bidi="ar-SA"/>
      </w:rPr>
    </w:lvl>
    <w:lvl w:ilvl="4" w:tplc="6AB05308">
      <w:numFmt w:val="bullet"/>
      <w:lvlText w:val="•"/>
      <w:lvlJc w:val="left"/>
      <w:pPr>
        <w:ind w:left="4556" w:hanging="360"/>
      </w:pPr>
      <w:rPr>
        <w:rFonts w:hint="default"/>
        <w:lang w:val="uk-UA" w:eastAsia="en-US" w:bidi="ar-SA"/>
      </w:rPr>
    </w:lvl>
    <w:lvl w:ilvl="5" w:tplc="B40814E0">
      <w:numFmt w:val="bullet"/>
      <w:lvlText w:val="•"/>
      <w:lvlJc w:val="left"/>
      <w:pPr>
        <w:ind w:left="5440" w:hanging="360"/>
      </w:pPr>
      <w:rPr>
        <w:rFonts w:hint="default"/>
        <w:lang w:val="uk-UA" w:eastAsia="en-US" w:bidi="ar-SA"/>
      </w:rPr>
    </w:lvl>
    <w:lvl w:ilvl="6" w:tplc="3FC60894">
      <w:numFmt w:val="bullet"/>
      <w:lvlText w:val="•"/>
      <w:lvlJc w:val="left"/>
      <w:pPr>
        <w:ind w:left="6324" w:hanging="360"/>
      </w:pPr>
      <w:rPr>
        <w:rFonts w:hint="default"/>
        <w:lang w:val="uk-UA" w:eastAsia="en-US" w:bidi="ar-SA"/>
      </w:rPr>
    </w:lvl>
    <w:lvl w:ilvl="7" w:tplc="6166F95E">
      <w:numFmt w:val="bullet"/>
      <w:lvlText w:val="•"/>
      <w:lvlJc w:val="left"/>
      <w:pPr>
        <w:ind w:left="7208" w:hanging="360"/>
      </w:pPr>
      <w:rPr>
        <w:rFonts w:hint="default"/>
        <w:lang w:val="uk-UA" w:eastAsia="en-US" w:bidi="ar-SA"/>
      </w:rPr>
    </w:lvl>
    <w:lvl w:ilvl="8" w:tplc="18EA3FBE">
      <w:numFmt w:val="bullet"/>
      <w:lvlText w:val="•"/>
      <w:lvlJc w:val="left"/>
      <w:pPr>
        <w:ind w:left="8092" w:hanging="360"/>
      </w:pPr>
      <w:rPr>
        <w:rFonts w:hint="default"/>
        <w:lang w:val="uk-UA" w:eastAsia="en-US" w:bidi="ar-SA"/>
      </w:rPr>
    </w:lvl>
  </w:abstractNum>
  <w:abstractNum w:abstractNumId="21" w15:restartNumberingAfterBreak="0">
    <w:nsid w:val="7CD53CFA"/>
    <w:multiLevelType w:val="hybridMultilevel"/>
    <w:tmpl w:val="55E8000A"/>
    <w:lvl w:ilvl="0" w:tplc="77B83ADE">
      <w:start w:val="1"/>
      <w:numFmt w:val="decimal"/>
      <w:suff w:val="nothing"/>
      <w:lvlText w:val="(%1)"/>
      <w:lvlJc w:val="left"/>
      <w:pPr>
        <w:ind w:left="0" w:firstLine="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21"/>
  </w:num>
  <w:num w:numId="5">
    <w:abstractNumId w:val="18"/>
  </w:num>
  <w:num w:numId="6">
    <w:abstractNumId w:val="20"/>
  </w:num>
  <w:num w:numId="7">
    <w:abstractNumId w:val="3"/>
  </w:num>
  <w:num w:numId="8">
    <w:abstractNumId w:val="13"/>
  </w:num>
  <w:num w:numId="9">
    <w:abstractNumId w:val="0"/>
  </w:num>
  <w:num w:numId="10">
    <w:abstractNumId w:val="12"/>
  </w:num>
  <w:num w:numId="11">
    <w:abstractNumId w:val="1"/>
  </w:num>
  <w:num w:numId="12">
    <w:abstractNumId w:val="16"/>
  </w:num>
  <w:num w:numId="13">
    <w:abstractNumId w:val="6"/>
  </w:num>
  <w:num w:numId="14">
    <w:abstractNumId w:val="19"/>
  </w:num>
  <w:num w:numId="15">
    <w:abstractNumId w:val="5"/>
  </w:num>
  <w:num w:numId="16">
    <w:abstractNumId w:val="4"/>
  </w:num>
  <w:num w:numId="17">
    <w:abstractNumId w:val="11"/>
  </w:num>
  <w:num w:numId="18">
    <w:abstractNumId w:val="8"/>
  </w:num>
  <w:num w:numId="19">
    <w:abstractNumId w:val="7"/>
  </w:num>
  <w:num w:numId="20">
    <w:abstractNumId w:val="21"/>
    <w:lvlOverride w:ilvl="0">
      <w:lvl w:ilvl="0" w:tplc="77B83ADE">
        <w:start w:val="1"/>
        <w:numFmt w:val="decimal"/>
        <w:lvlText w:val="(%1)"/>
        <w:lvlJc w:val="left"/>
        <w:pPr>
          <w:tabs>
            <w:tab w:val="num" w:pos="720"/>
          </w:tabs>
          <w:ind w:left="227" w:firstLine="113"/>
        </w:pPr>
        <w:rPr>
          <w:rFonts w:hint="default"/>
          <w:b/>
          <w:i w:val="0"/>
        </w:rPr>
      </w:lvl>
    </w:lvlOverride>
    <w:lvlOverride w:ilvl="1">
      <w:lvl w:ilvl="1" w:tplc="0422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2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2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2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2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2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2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2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17"/>
  </w:num>
  <w:num w:numId="22">
    <w:abstractNumId w:val="14"/>
  </w:num>
  <w:num w:numId="23">
    <w:abstractNumId w:val="10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9E"/>
    <w:rsid w:val="00081FD5"/>
    <w:rsid w:val="0009563A"/>
    <w:rsid w:val="000E3F1F"/>
    <w:rsid w:val="00231769"/>
    <w:rsid w:val="00467AB8"/>
    <w:rsid w:val="004E5FAF"/>
    <w:rsid w:val="00532030"/>
    <w:rsid w:val="0056782F"/>
    <w:rsid w:val="005771B7"/>
    <w:rsid w:val="00651F0D"/>
    <w:rsid w:val="00673D30"/>
    <w:rsid w:val="00842808"/>
    <w:rsid w:val="008B553C"/>
    <w:rsid w:val="00912E24"/>
    <w:rsid w:val="00936B96"/>
    <w:rsid w:val="009A5477"/>
    <w:rsid w:val="009E44CA"/>
    <w:rsid w:val="00B470B8"/>
    <w:rsid w:val="00B909A6"/>
    <w:rsid w:val="00BC069E"/>
    <w:rsid w:val="00C37574"/>
    <w:rsid w:val="00D525CC"/>
    <w:rsid w:val="00E32636"/>
    <w:rsid w:val="00E447E6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17CBC-D4E8-461F-87AA-AEFE2AE41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C069E"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BC06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rsid w:val="00BC069E"/>
    <w:pPr>
      <w:tabs>
        <w:tab w:val="center" w:pos="4819"/>
        <w:tab w:val="right" w:pos="9639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eastAsia="Calibri" w:hAnsi="BALTICA" w:cs="BALTICA"/>
      <w:sz w:val="24"/>
      <w:szCs w:val="24"/>
      <w:lang w:val="en-GB" w:eastAsia="uk-UA"/>
    </w:rPr>
  </w:style>
  <w:style w:type="character" w:customStyle="1" w:styleId="a4">
    <w:name w:val="Верхній колонтитул Знак"/>
    <w:basedOn w:val="a0"/>
    <w:link w:val="a3"/>
    <w:uiPriority w:val="99"/>
    <w:rsid w:val="00BC069E"/>
    <w:rPr>
      <w:rFonts w:ascii="BALTICA" w:eastAsia="Calibri" w:hAnsi="BALTICA" w:cs="BALTICA"/>
      <w:sz w:val="24"/>
      <w:szCs w:val="24"/>
      <w:lang w:val="en-GB" w:eastAsia="uk-UA"/>
    </w:rPr>
  </w:style>
  <w:style w:type="character" w:styleId="a5">
    <w:name w:val="page number"/>
    <w:basedOn w:val="a0"/>
    <w:rsid w:val="00BC069E"/>
  </w:style>
  <w:style w:type="paragraph" w:styleId="a6">
    <w:name w:val="Balloon Text"/>
    <w:basedOn w:val="a"/>
    <w:link w:val="a7"/>
    <w:semiHidden/>
    <w:rsid w:val="00BC06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Calibri" w:hAnsi="Tahoma" w:cs="Tahoma"/>
      <w:sz w:val="16"/>
      <w:szCs w:val="16"/>
      <w:lang w:val="en-GB" w:eastAsia="uk-UA"/>
    </w:rPr>
  </w:style>
  <w:style w:type="character" w:customStyle="1" w:styleId="a7">
    <w:name w:val="Текст у виносці Знак"/>
    <w:basedOn w:val="a0"/>
    <w:link w:val="a6"/>
    <w:semiHidden/>
    <w:rsid w:val="00BC069E"/>
    <w:rPr>
      <w:rFonts w:ascii="Tahoma" w:eastAsia="Calibri" w:hAnsi="Tahoma" w:cs="Tahoma"/>
      <w:sz w:val="16"/>
      <w:szCs w:val="16"/>
      <w:lang w:val="en-GB" w:eastAsia="uk-UA"/>
    </w:rPr>
  </w:style>
  <w:style w:type="character" w:customStyle="1" w:styleId="emoji">
    <w:name w:val="emoji"/>
    <w:basedOn w:val="a0"/>
    <w:rsid w:val="00BC069E"/>
  </w:style>
  <w:style w:type="character" w:customStyle="1" w:styleId="apple-converted-space">
    <w:name w:val="apple-converted-space"/>
    <w:basedOn w:val="a0"/>
    <w:rsid w:val="00BC069E"/>
  </w:style>
  <w:style w:type="paragraph" w:styleId="a8">
    <w:name w:val="Body Text"/>
    <w:basedOn w:val="a"/>
    <w:link w:val="a9"/>
    <w:uiPriority w:val="1"/>
    <w:qFormat/>
    <w:rsid w:val="00BC069E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9">
    <w:name w:val="Основний текст Знак"/>
    <w:basedOn w:val="a0"/>
    <w:link w:val="a8"/>
    <w:uiPriority w:val="1"/>
    <w:rsid w:val="00BC069E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BC069E"/>
    <w:pPr>
      <w:widowControl w:val="0"/>
      <w:autoSpaceDE w:val="0"/>
      <w:autoSpaceDN w:val="0"/>
      <w:spacing w:after="0" w:line="240" w:lineRule="auto"/>
      <w:ind w:left="1026" w:right="134" w:hanging="360"/>
      <w:jc w:val="both"/>
    </w:pPr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rsid w:val="00BC069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eastAsia="Calibri" w:hAnsi="BALTICA" w:cs="BALTICA"/>
      <w:sz w:val="24"/>
      <w:szCs w:val="24"/>
      <w:lang w:val="en-GB" w:eastAsia="uk-UA"/>
    </w:rPr>
  </w:style>
  <w:style w:type="character" w:customStyle="1" w:styleId="ac">
    <w:name w:val="Нижній колонтитул Знак"/>
    <w:basedOn w:val="a0"/>
    <w:link w:val="ab"/>
    <w:rsid w:val="00BC069E"/>
    <w:rPr>
      <w:rFonts w:ascii="BALTICA" w:eastAsia="Calibri" w:hAnsi="BALTICA" w:cs="BALTICA"/>
      <w:sz w:val="24"/>
      <w:szCs w:val="24"/>
      <w:lang w:val="en-GB" w:eastAsia="uk-UA"/>
    </w:rPr>
  </w:style>
  <w:style w:type="character" w:styleId="ad">
    <w:name w:val="annotation reference"/>
    <w:rsid w:val="00BC069E"/>
    <w:rPr>
      <w:sz w:val="16"/>
      <w:szCs w:val="16"/>
    </w:rPr>
  </w:style>
  <w:style w:type="paragraph" w:styleId="ae">
    <w:name w:val="annotation text"/>
    <w:basedOn w:val="a"/>
    <w:link w:val="af"/>
    <w:rsid w:val="00BC06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eastAsia="Calibri" w:hAnsi="BALTICA" w:cs="BALTICA"/>
      <w:sz w:val="20"/>
      <w:szCs w:val="20"/>
      <w:lang w:val="en-GB" w:eastAsia="uk-UA"/>
    </w:rPr>
  </w:style>
  <w:style w:type="character" w:customStyle="1" w:styleId="af">
    <w:name w:val="Текст примітки Знак"/>
    <w:basedOn w:val="a0"/>
    <w:link w:val="ae"/>
    <w:rsid w:val="00BC069E"/>
    <w:rPr>
      <w:rFonts w:ascii="BALTICA" w:eastAsia="Calibri" w:hAnsi="BALTICA" w:cs="BALTICA"/>
      <w:sz w:val="20"/>
      <w:szCs w:val="20"/>
      <w:lang w:val="en-GB" w:eastAsia="uk-UA"/>
    </w:rPr>
  </w:style>
  <w:style w:type="paragraph" w:styleId="af0">
    <w:name w:val="annotation subject"/>
    <w:basedOn w:val="ae"/>
    <w:next w:val="ae"/>
    <w:link w:val="af1"/>
    <w:rsid w:val="00BC069E"/>
    <w:rPr>
      <w:b/>
      <w:bCs/>
    </w:rPr>
  </w:style>
  <w:style w:type="character" w:customStyle="1" w:styleId="af1">
    <w:name w:val="Тема примітки Знак"/>
    <w:basedOn w:val="af"/>
    <w:link w:val="af0"/>
    <w:rsid w:val="00BC069E"/>
    <w:rPr>
      <w:rFonts w:ascii="BALTICA" w:eastAsia="Calibri" w:hAnsi="BALTICA" w:cs="BALTICA"/>
      <w:b/>
      <w:bCs/>
      <w:sz w:val="20"/>
      <w:szCs w:val="20"/>
      <w:lang w:val="en-GB" w:eastAsia="uk-UA"/>
    </w:rPr>
  </w:style>
  <w:style w:type="paragraph" w:customStyle="1" w:styleId="xmsonormal">
    <w:name w:val="x_msonormal"/>
    <w:basedOn w:val="a"/>
    <w:rsid w:val="00BC0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24523</Words>
  <Characters>13979</Characters>
  <Application>Microsoft Office Word</Application>
  <DocSecurity>0</DocSecurity>
  <Lines>116</Lines>
  <Paragraphs>76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Катерина Юріївна</dc:creator>
  <cp:lastModifiedBy>Журавель Олена Миколаївна</cp:lastModifiedBy>
  <cp:revision>2</cp:revision>
  <cp:lastPrinted>2021-12-06T09:19:00Z</cp:lastPrinted>
  <dcterms:created xsi:type="dcterms:W3CDTF">2021-12-13T09:20:00Z</dcterms:created>
  <dcterms:modified xsi:type="dcterms:W3CDTF">2021-12-13T09:20:00Z</dcterms:modified>
</cp:coreProperties>
</file>